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rPr>
            </w:pPr>
            <w:r>
              <w:rPr>
                <w:rFonts w:cs="Arial" w:ascii="Calibri" w:hAnsi="Calibri" w:asciiTheme="minorHAnsi" w:hAnsiTheme="minorHAnsi"/>
              </w:rPr>
              <w:t>Yuan Ding, Shunling Li, Minghao Liu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cs="Arial" w:ascii="Calibri" w:hAnsi="Calibri" w:asciiTheme="minorHAnsi" w:hAnsiTheme="minorHAnsi"/>
              </w:rPr>
              <w:t xml:space="preserve">Critical Methods (Blog) </w:t>
            </w:r>
            <w:hyperlink r:id="rId2">
              <w:r>
                <w:rPr>
                  <w:rStyle w:val="VisitedInternetLink"/>
                  <w:rFonts w:ascii="Helvetica Neue" w:hAnsi="Helvetica Neue"/>
                  <w:color w:val="B5121B"/>
                  <w:sz w:val="21"/>
                  <w:szCs w:val="21"/>
                </w:rPr>
                <w:t>https://fandomstudies618319829.wordpress.com/</w:t>
              </w:r>
            </w:hyperlink>
          </w:p>
          <w:p>
            <w:pPr>
              <w:pStyle w:val="Normal"/>
              <w:rPr>
                <w:rFonts w:ascii="Calibri" w:hAnsi="Calibri" w:cs="Arial" w:asciiTheme="minorHAnsi" w:hAnsiTheme="minorHAnsi"/>
              </w:rPr>
            </w:pPr>
            <w:r>
              <w:rPr>
                <w:rFonts w:cs="Arial" w:ascii="Calibri" w:hAnsi="Calibri"/>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65</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rPr>
            </w:pPr>
            <w:r>
              <w:rPr>
                <w:rFonts w:cs="Arial" w:ascii="Calibri" w:hAnsi="Calibri"/>
              </w:rPr>
            </w:r>
          </w:p>
        </w:tc>
      </w:tr>
    </w:tbl>
    <w:p>
      <w:pPr>
        <w:pStyle w:val="Normal"/>
        <w:ind w:left="180" w:hanging="0"/>
        <w:jc w:val="center"/>
        <w:rPr>
          <w:rFonts w:ascii="Calibri" w:hAnsi="Calibri" w:cs="Arial" w:asciiTheme="minorHAnsi" w:hAnsiTheme="minorHAnsi"/>
          <w:b/>
          <w:b/>
          <w:bCs/>
        </w:rPr>
      </w:pPr>
      <w:r>
        <w:rPr>
          <w:rFonts w:cs="Arial" w:ascii="Calibri" w:hAnsi="Calibri"/>
          <w:b/>
          <w:bCs/>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rPr>
              <w:t xml:space="preserve">Marker Comments </w:t>
            </w:r>
          </w:p>
          <w:p>
            <w:pPr>
              <w:pStyle w:val="ListParagraph"/>
              <w:numPr>
                <w:ilvl w:val="0"/>
                <w:numId w:val="1"/>
              </w:numPr>
              <w:rPr>
                <w:rStyle w:val="Appleconvertedspace"/>
                <w:rFonts w:ascii="Calibri" w:hAnsi="Calibri" w:cs="Calibri"/>
              </w:rPr>
            </w:pPr>
            <w:r>
              <w:rPr>
                <w:rFonts w:cs="Calibri" w:ascii="Calibri" w:hAnsi="Calibri"/>
              </w:rPr>
              <w:t>Your analysis post does a nice job of connecting your interpretation of data to a conceptual argument. (ie “</w:t>
            </w:r>
            <w:r>
              <w:rPr>
                <w:rFonts w:cs="Calibri" w:ascii="Calibri" w:hAnsi="Calibri"/>
                <w:color w:val="1A1A1A"/>
                <w:shd w:fill="FFFFFF" w:val="clear"/>
              </w:rPr>
              <w:t>Based on finding 2, a particular kind of ‘empowerment’ inside the fan community can be captured through the comments mentioned above. This kind of empowerment makes the official sides no longer the only controller of the industry, at least in the s</w:t>
            </w:r>
            <w:bookmarkStart w:id="0" w:name="_GoBack"/>
            <w:bookmarkEnd w:id="0"/>
            <w:r>
              <w:rPr>
                <w:rFonts w:cs="Calibri" w:ascii="Calibri" w:hAnsi="Calibri"/>
                <w:color w:val="1A1A1A"/>
                <w:shd w:fill="FFFFFF" w:val="clear"/>
              </w:rPr>
              <w:t>ense of fans reaction.</w:t>
            </w:r>
            <w:r>
              <w:rPr>
                <w:rStyle w:val="Appleconvertedspace"/>
                <w:rFonts w:cs="Calibri" w:ascii="Calibri" w:hAnsi="Calibri"/>
                <w:color w:val="1A1A1A"/>
                <w:shd w:fill="FFFFFF" w:val="clear"/>
              </w:rPr>
              <w:t>”</w:t>
            </w:r>
          </w:p>
          <w:p>
            <w:pPr>
              <w:pStyle w:val="ListParagraph"/>
              <w:numPr>
                <w:ilvl w:val="0"/>
                <w:numId w:val="1"/>
              </w:numPr>
              <w:rPr>
                <w:rStyle w:val="Appleconvertedspace"/>
                <w:rFonts w:ascii="Calibri" w:hAnsi="Calibri" w:cs="Calibri"/>
              </w:rPr>
            </w:pPr>
            <w:r>
              <w:rPr>
                <w:rStyle w:val="Appleconvertedspace"/>
                <w:rFonts w:cs="Calibri" w:ascii="Calibri" w:hAnsi="Calibri"/>
                <w:color w:val="1A1A1A"/>
                <w:shd w:fill="FFFFFF" w:val="clear"/>
              </w:rPr>
              <w:t>I am a bit confused still about the idea of “media battle.” The blog is really the place to make your case and provide some examples of what this looks like, using the analysis itself and actual data rather than just description. That would help a lot to see, then, how the method operates with the data and theory.</w:t>
            </w:r>
          </w:p>
          <w:p>
            <w:pPr>
              <w:pStyle w:val="ListParagraph"/>
              <w:numPr>
                <w:ilvl w:val="0"/>
                <w:numId w:val="1"/>
              </w:numPr>
              <w:rPr>
                <w:rFonts w:ascii="Calibri" w:hAnsi="Calibri" w:cs="Calibri"/>
              </w:rPr>
            </w:pPr>
            <w:r>
              <w:rPr>
                <w:rStyle w:val="Appleconvertedspace"/>
                <w:rFonts w:cs="Calibri" w:ascii="Calibri" w:hAnsi="Calibri"/>
                <w:color w:val="1A1A1A"/>
                <w:shd w:fill="FFFFFF" w:val="clear"/>
              </w:rPr>
              <w:t>I like how you used the blog to outline the participation of all group members and shared responsibility. It is still quite text heavy, and it would have been good to use the space to link to other papers that you referenced and make it much more interactive.</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lang w:val="en-GB"/>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lang w:val="en-GB"/>
                        </w:rPr>
                        <w:t>x</w:t>
                      </w:r>
                    </w:p>
                  </w:txbxContent>
                </v:textbox>
                <w10:wrap type="square"/>
                <v:fill o:detectmouseclick="t" type="solid" color2="black"/>
                <v:stroke color="black" weight="25560" joinstyle="round" endcap="flat"/>
              </v:rect>
            </w:pict>
          </mc:Fallback>
        </mc:AlternateContent>
      </w:r>
    </w:p>
    <w:p>
      <w:pPr>
        <w:pStyle w:val="Normal"/>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87dff"/>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4c43c6"/>
    <w:rPr>
      <w:color w:val="0000FF"/>
      <w:u w:val="single"/>
    </w:rPr>
  </w:style>
  <w:style w:type="character" w:styleId="Appleconvertedspace" w:customStyle="1">
    <w:name w:val="apple-converted-space"/>
    <w:basedOn w:val="DefaultParagraphFont"/>
    <w:qFormat/>
    <w:rsid w:val="00987dff"/>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alibri" w:hAnsi="Calibri"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jc w:val="both"/>
    </w:pPr>
    <w:rPr>
      <w:rFonts w:ascii="Tahoma" w:hAnsi="Tahoma" w:cs="Tahoma"/>
      <w:sz w:val="16"/>
      <w:szCs w:val="16"/>
      <w:lang w:val="en-GB"/>
    </w:rPr>
  </w:style>
  <w:style w:type="paragraph" w:styleId="Header">
    <w:name w:val="Header"/>
    <w:basedOn w:val="Normal"/>
    <w:link w:val="HeaderChar"/>
    <w:uiPriority w:val="99"/>
    <w:unhideWhenUsed/>
    <w:rsid w:val="00876a63"/>
    <w:pPr>
      <w:tabs>
        <w:tab w:val="center" w:pos="4513" w:leader="none"/>
        <w:tab w:val="right" w:pos="9026" w:leader="none"/>
      </w:tabs>
      <w:jc w:val="both"/>
    </w:pPr>
    <w:rPr>
      <w:sz w:val="20"/>
      <w:szCs w:val="20"/>
      <w:lang w:val="en-GB"/>
    </w:rPr>
  </w:style>
  <w:style w:type="paragraph" w:styleId="Footer">
    <w:name w:val="Footer"/>
    <w:basedOn w:val="Normal"/>
    <w:link w:val="FooterChar"/>
    <w:uiPriority w:val="99"/>
    <w:unhideWhenUsed/>
    <w:rsid w:val="00876a63"/>
    <w:pPr>
      <w:tabs>
        <w:tab w:val="center" w:pos="4513" w:leader="none"/>
        <w:tab w:val="right" w:pos="9026" w:leader="none"/>
      </w:tabs>
      <w:jc w:val="both"/>
    </w:pPr>
    <w:rPr>
      <w:sz w:val="20"/>
      <w:szCs w:val="20"/>
      <w:lang w:val="en-GB"/>
    </w:rPr>
  </w:style>
  <w:style w:type="paragraph" w:styleId="ListParagraph">
    <w:name w:val="List Paragraph"/>
    <w:basedOn w:val="Normal"/>
    <w:uiPriority w:val="34"/>
    <w:qFormat/>
    <w:rsid w:val="00987dff"/>
    <w:pPr>
      <w:spacing w:before="0" w:after="0"/>
      <w:ind w:left="720" w:hanging="0"/>
      <w:contextualSpacing/>
      <w:jc w:val="both"/>
    </w:pPr>
    <w:rPr>
      <w:sz w:val="20"/>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ndomstudies618319829.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LibreOffice/5.4.1.2$Linux_X86_64 LibreOffice_project/40m0$Build-2</Application>
  <Pages>1</Pages>
  <Words>235</Words>
  <Characters>1167</Characters>
  <CharactersWithSpaces>1395</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2018-04-21T10:01:00Z</dcterms:created>
  <dc:creator>Gilloch, Graeme</dc:creator>
  <dc:description/>
  <dc:language>en-GB</dc:language>
  <cp:lastModifiedBy>Adrian</cp:lastModifiedBy>
  <cp:lastPrinted>2015-03-23T11:33:00Z</cp:lastPrinted>
  <dcterms:modified xsi:type="dcterms:W3CDTF">2018-04-27T14:23:33Z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