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78"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48" w:type="dxa"/>
          <w:bottom w:w="0" w:type="dxa"/>
          <w:right w:w="108" w:type="dxa"/>
        </w:tblCellMar>
      </w:tblPr>
      <w:tblGrid>
        <w:gridCol w:w="2626"/>
        <w:gridCol w:w="2617"/>
        <w:gridCol w:w="2466"/>
        <w:gridCol w:w="2593"/>
      </w:tblGrid>
      <w:tr>
        <w:trPr>
          <w:trHeight w:val="454" w:hRule="atLeast"/>
          <w:cantSplit w:val="false"/>
        </w:trPr>
        <w:tc>
          <w:tcPr>
            <w:tcW w:w="10302"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626"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vAlign w:val="center"/>
          </w:tcPr>
          <w:p>
            <w:pPr>
              <w:pStyle w:val="Normal"/>
              <w:spacing w:before="0" w:after="0"/>
              <w:jc w:val="center"/>
              <w:rPr>
                <w:sz w:val="28"/>
                <w:szCs w:val="28"/>
              </w:rPr>
            </w:pPr>
            <w:r>
              <w:rPr>
                <w:sz w:val="28"/>
                <w:szCs w:val="28"/>
              </w:rPr>
              <w:t>This mark is provisional</w:t>
            </w:r>
          </w:p>
        </w:tc>
        <w:tc>
          <w:tcPr>
            <w:tcW w:w="2617"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First marked by:</w:t>
            </w:r>
          </w:p>
          <w:p>
            <w:pPr>
              <w:pStyle w:val="Normal"/>
              <w:spacing w:before="0" w:after="0"/>
              <w:rPr/>
            </w:pPr>
            <w:r>
              <w:rPr/>
            </w:r>
          </w:p>
          <w:p>
            <w:pPr>
              <w:pStyle w:val="Normal"/>
              <w:spacing w:before="0" w:after="0"/>
              <w:rPr>
                <w:sz w:val="28"/>
                <w:szCs w:val="28"/>
              </w:rPr>
            </w:pPr>
            <w:r>
              <w:rPr>
                <w:sz w:val="28"/>
                <w:szCs w:val="28"/>
              </w:rPr>
              <w:t>Adrian Mackenzie</w:t>
            </w:r>
          </w:p>
        </w:tc>
        <w:tc>
          <w:tcPr>
            <w:tcW w:w="246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Date:</w:t>
            </w:r>
          </w:p>
          <w:p>
            <w:pPr>
              <w:pStyle w:val="Normal"/>
              <w:spacing w:before="0" w:after="0"/>
              <w:rPr>
                <w:sz w:val="28"/>
                <w:szCs w:val="28"/>
              </w:rPr>
            </w:pPr>
            <w:r>
              <w:rPr>
                <w:sz w:val="28"/>
                <w:szCs w:val="28"/>
              </w:rPr>
              <w:t>15 May 2015</w:t>
            </w:r>
          </w:p>
        </w:tc>
        <w:tc>
          <w:tcPr>
            <w:tcW w:w="259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Mark Awarded:</w:t>
            </w:r>
          </w:p>
          <w:p>
            <w:pPr>
              <w:pStyle w:val="Normal"/>
              <w:spacing w:before="0" w:after="0"/>
              <w:rPr/>
            </w:pPr>
            <w:r>
              <w:rPr/>
            </w:r>
          </w:p>
          <w:p>
            <w:pPr>
              <w:pStyle w:val="Normal"/>
              <w:spacing w:before="0" w:after="0"/>
              <w:rPr>
                <w:sz w:val="28"/>
                <w:szCs w:val="28"/>
              </w:rPr>
            </w:pPr>
            <w:r>
              <w:rPr>
                <w:sz w:val="28"/>
                <w:szCs w:val="28"/>
              </w:rPr>
              <w:t>68</w:t>
            </w:r>
          </w:p>
        </w:tc>
      </w:tr>
      <w:tr>
        <w:trPr>
          <w:trHeight w:val="723" w:hRule="atLeast"/>
          <w:cantSplit w:val="false"/>
        </w:trPr>
        <w:tc>
          <w:tcPr>
            <w:tcW w:w="2626"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2617"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Second marked by: Imogen Tyler</w:t>
            </w:r>
          </w:p>
        </w:tc>
        <w:tc>
          <w:tcPr>
            <w:tcW w:w="246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Date:</w:t>
            </w:r>
          </w:p>
        </w:tc>
        <w:tc>
          <w:tcPr>
            <w:tcW w:w="259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Mark Awarded:</w:t>
            </w:r>
          </w:p>
          <w:p>
            <w:pPr>
              <w:pStyle w:val="Normal"/>
              <w:spacing w:before="0" w:after="0"/>
              <w:rPr>
                <w:sz w:val="28"/>
                <w:szCs w:val="28"/>
              </w:rPr>
            </w:pPr>
            <w:r>
              <w:rPr>
                <w:sz w:val="28"/>
                <w:szCs w:val="28"/>
              </w:rPr>
              <w:t>66</w:t>
            </w:r>
          </w:p>
        </w:tc>
      </w:tr>
      <w:tr>
        <w:trPr>
          <w:trHeight w:val="461" w:hRule="atLeast"/>
          <w:cantSplit w:val="false"/>
        </w:trPr>
        <w:tc>
          <w:tcPr>
            <w:tcW w:w="2626"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676"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Module: socl923</w:t>
            </w:r>
          </w:p>
        </w:tc>
      </w:tr>
      <w:tr>
        <w:trPr>
          <w:trHeight w:val="461" w:hRule="atLeast"/>
          <w:cantSplit w:val="false"/>
        </w:trPr>
        <w:tc>
          <w:tcPr>
            <w:tcW w:w="2626"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676"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 xml:space="preserve">Agreed mark: </w:t>
            </w:r>
            <w:r>
              <w:rPr>
                <w:sz w:val="28"/>
                <w:szCs w:val="28"/>
              </w:rPr>
              <w:t>67</w:t>
            </w:r>
          </w:p>
        </w:tc>
      </w:tr>
      <w:tr>
        <w:trPr>
          <w:trHeight w:val="461" w:hRule="atLeast"/>
          <w:cantSplit w:val="false"/>
        </w:trPr>
        <w:tc>
          <w:tcPr>
            <w:tcW w:w="2626"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676"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jc w:val="both"/>
              <w:rPr>
                <w:sz w:val="28"/>
                <w:szCs w:val="28"/>
              </w:rPr>
            </w:pPr>
            <w:r>
              <w:rPr>
                <w:sz w:val="28"/>
                <w:szCs w:val="28"/>
              </w:rPr>
              <w:t>Student Name: see below</w:t>
            </w:r>
          </w:p>
        </w:tc>
      </w:tr>
    </w:tbl>
    <w:p>
      <w:pPr>
        <w:pStyle w:val="Normal"/>
        <w:rPr>
          <w:sz w:val="28"/>
          <w:szCs w:val="28"/>
        </w:rPr>
      </w:pPr>
      <w:r>
        <w:rPr>
          <w:sz w:val="28"/>
          <w:szCs w:val="28"/>
        </w:rPr>
      </w:r>
    </w:p>
    <w:tbl>
      <w:tblPr>
        <w:jc w:val="left"/>
        <w:tblInd w:w="-3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53"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53" w:type="dxa"/>
            </w:tcMar>
          </w:tcPr>
          <w:p>
            <w:pPr>
              <w:pStyle w:val="Normal"/>
              <w:spacing w:before="0" w:after="0"/>
              <w:rPr>
                <w:b/>
                <w:sz w:val="28"/>
                <w:szCs w:val="28"/>
              </w:rPr>
            </w:pPr>
            <w:r>
              <w:rPr>
                <w:b/>
                <w:sz w:val="28"/>
                <w:szCs w:val="28"/>
              </w:rPr>
              <w:t xml:space="preserve">First Marker Comments: </w:t>
            </w:r>
          </w:p>
          <w:p>
            <w:pPr>
              <w:pStyle w:val="Heading2"/>
              <w:numPr>
                <w:ilvl w:val="1"/>
                <w:numId w:val="1"/>
              </w:numPr>
              <w:rPr/>
            </w:pPr>
            <w:r>
              <w:rPr/>
              <w:t>Group South 'All about that bass'</w:t>
            </w:r>
          </w:p>
          <w:p>
            <w:pPr>
              <w:pStyle w:val="TextBody"/>
              <w:rPr>
                <w:rStyle w:val="InternetLink"/>
              </w:rPr>
            </w:pPr>
            <w:hyperlink r:id="rId2">
              <w:r>
                <w:rPr>
                  <w:rStyle w:val="InternetLink"/>
                </w:rPr>
                <w:t>https://www.facebook.com/groups/1042465462436540/</w:t>
              </w:r>
            </w:hyperlink>
          </w:p>
          <w:p>
            <w:pPr>
              <w:pStyle w:val="TextBody"/>
              <w:rPr>
                <w:rStyle w:val="InternetLink"/>
              </w:rPr>
            </w:pPr>
            <w:hyperlink r:id="rId3">
              <w:r>
                <w:rPr>
                  <w:rStyle w:val="InternetLink"/>
                </w:rPr>
                <w:t>http://socl923groupsouth.blogspot.co.uk/</w:t>
              </w:r>
            </w:hyperlink>
          </w:p>
          <w:p>
            <w:pPr>
              <w:pStyle w:val="TextBody"/>
              <w:rPr/>
            </w:pPr>
            <w:r>
              <w:rPr/>
              <w:t>Becky Cook</w:t>
            </w:r>
          </w:p>
          <w:p>
            <w:pPr>
              <w:pStyle w:val="TextBody"/>
              <w:rPr/>
            </w:pPr>
            <w:r>
              <w:rPr/>
              <w:t>Li Zhou-Xian</w:t>
            </w:r>
          </w:p>
          <w:p>
            <w:pPr>
              <w:pStyle w:val="TextBody"/>
              <w:rPr/>
            </w:pPr>
            <w:r>
              <w:rPr/>
              <w:t>Xiao Xiao-Jun</w:t>
            </w:r>
          </w:p>
          <w:p>
            <w:pPr>
              <w:pStyle w:val="TextBody"/>
              <w:rPr/>
            </w:pPr>
            <w:r>
              <w:rPr/>
              <w:t>Yidu Que</w:t>
            </w:r>
          </w:p>
          <w:p>
            <w:pPr>
              <w:pStyle w:val="TextBody"/>
              <w:rPr/>
            </w:pPr>
            <w:r>
              <w:rPr/>
            </w:r>
          </w:p>
          <w:p>
            <w:pPr>
              <w:pStyle w:val="TextBody"/>
              <w:rPr/>
            </w:pPr>
            <w:r>
              <w:rPr/>
              <w:t xml:space="preserve">I assessed the blog rather than facebook pages. It was much easier to read the blog, so I'm glad you decided to move the project there. On the other hand, the move to the blog meant your project lost some of the conversation and live commentary that was on the Facebook version. I could see that you had tried to compensate for this by quite conscientiously using screenshots of the Facebook project in your blogspot. That was an inventive workaround, and possibly somewhat unique: a blog that documents a set of Facebook postings.  </w:t>
            </w:r>
          </w:p>
          <w:p>
            <w:pPr>
              <w:pStyle w:val="TextBody"/>
              <w:rPr/>
            </w:pPr>
            <w:r>
              <w:rPr/>
              <w:t>I think the project was an interesting one, and it draws on a diverse range of materials, sometimes generating very worthwhile insights. Some of these were buried o</w:t>
            </w:r>
            <w:r>
              <w:rPr/>
              <w:t>i</w:t>
            </w:r>
            <w:r>
              <w:rPr/>
              <w:t xml:space="preserve"> comments, which was a slightly missed opportunity. On occasions, there were some slightly wobbly uses of methods and concepts (for instance, indexicality, or the phenomenologically-oriented 'showing seeing' techniques), and I would like to have seen more use of the affordances of the media platforms  you were using.  </w:t>
            </w:r>
          </w:p>
          <w:p>
            <w:pPr>
              <w:pStyle w:val="TextBody"/>
              <w:rPr/>
            </w:pPr>
            <w:r>
              <w:rPr/>
              <w:t xml:space="preserve">Particularly strong parts of the project included the ethnographic elements, and the research plan. This was really well documented, as was the mapping of the relevant literature onto the research questions. </w:t>
            </w:r>
          </w:p>
          <w:p>
            <w:pPr>
              <w:pStyle w:val="TextBody"/>
              <w:spacing w:before="0" w:after="0"/>
              <w:rPr>
                <w:b/>
                <w:sz w:val="28"/>
                <w:szCs w:val="28"/>
              </w:rPr>
            </w:pPr>
            <w:r>
              <w:rPr>
                <w:b/>
                <w:sz w:val="28"/>
                <w:szCs w:val="28"/>
              </w:rPr>
              <w:t xml:space="preserve">.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53" w:type="dxa"/>
            </w:tcMar>
          </w:tcPr>
          <w:p>
            <w:pPr>
              <w:pStyle w:val="Normal"/>
              <w:spacing w:before="0" w:after="0"/>
              <w:rPr>
                <w:b/>
                <w:sz w:val="28"/>
                <w:szCs w:val="28"/>
              </w:rPr>
            </w:pPr>
            <w:r>
              <w:rPr>
                <w:b/>
                <w:sz w:val="28"/>
                <w:szCs w:val="28"/>
              </w:rPr>
              <w:t xml:space="preserve">Second Marker Comments: </w:t>
            </w:r>
          </w:p>
          <w:p>
            <w:pPr>
              <w:pStyle w:val="Normal"/>
              <w:spacing w:before="0" w:after="0"/>
              <w:rPr>
                <w:sz w:val="28"/>
                <w:szCs w:val="28"/>
              </w:rPr>
            </w:pPr>
            <w:r>
              <w:rPr>
                <w:sz w:val="28"/>
                <w:szCs w:val="28"/>
              </w:rPr>
              <w:t>This blog worked well as a way of documenting and tracking the development of the group project over the course of the term. I felt that your use of screen shots, to document conversations and also inclusion of video materials and other resources was very effective. This made me reflect on how I might develop the use of blogs as closed spaces foe group works in my own teaching practice. Clearly some efforts have been put into the design of the space. I want to highlight in particular how useful the sharing of reviews of key literature by Becky was, this is an example of good practice and an excellent demonstration of the positives of groupwork—sharing resources and labour in a group setting to identify key literature and reading. Overall, I felt this was a good exercise, well documented, but would have been good to have a more dynamic</w:t>
            </w:r>
            <w:bookmarkStart w:id="0" w:name="_GoBack"/>
            <w:bookmarkEnd w:id="0"/>
            <w:r>
              <w:rPr>
                <w:sz w:val="28"/>
                <w:szCs w:val="28"/>
              </w:rPr>
              <w:t xml:space="preserve"> conversational space, realising the potential of the interactive nature of blog media.</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200" w:lineRule="auto" w:line="276"/>
      <w:jc w:val="left"/>
    </w:pPr>
    <w:rPr>
      <w:rFonts w:ascii="Calibri" w:hAnsi="Calibri" w:eastAsia="Droid Sans Fallback" w:cs="Calibri"/>
      <w:color w:val="auto"/>
      <w:sz w:val="22"/>
      <w:szCs w:val="22"/>
      <w:lang w:val="en-GB" w:eastAsia="en-US" w:bidi="ar-SA"/>
    </w:rPr>
  </w:style>
  <w:style w:type="paragraph" w:styleId="Heading2">
    <w:name w:val="Heading 2"/>
    <w:basedOn w:val="Heading"/>
    <w:pPr>
      <w:outlineLvl w:val="1"/>
    </w:pPr>
    <w:rPr>
      <w:b/>
      <w:bCs/>
      <w:i/>
      <w:iCs/>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character" w:styleId="InternetLink" w:customStyle="1">
    <w:name w:val="Internet Link"/>
    <w:rPr>
      <w:color w:val="000080"/>
      <w:u w:val="single"/>
      <w:lang w:val="uz-Cyrl-UZ" w:eastAsia="uz-Cyrl-UZ" w:bidi="uz-Cyrl-UZ"/>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groups/1042465462436540/" TargetMode="External"/><Relationship Id="rId3" Type="http://schemas.openxmlformats.org/officeDocument/2006/relationships/hyperlink" Target="http://socl923groupsouth.blogspot.co.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2015-05-27T13:29:00Z</dcterms:created>
  <dc:creator>Prill, Cathlin</dc:creator>
  <dc:language>en-GB</dc:language>
  <cp:lastModifiedBy>Imogen Tyler</cp:lastModifiedBy>
  <dcterms:modified xsi:type="dcterms:W3CDTF">2015-05-27T13:29:00Z</dcterms:modified>
  <cp:revision>2</cp:revision>
</cp:coreProperties>
</file>