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78" w:type="dxa"/>
        <w:tbl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blBorders>
        <w:tblCellMar>
          <w:top w:w="0" w:type="dxa"/>
          <w:left w:w="48" w:type="dxa"/>
          <w:bottom w:w="0" w:type="dxa"/>
          <w:right w:w="108" w:type="dxa"/>
        </w:tblCellMar>
      </w:tblPr>
      <w:tblGrid>
        <w:gridCol w:w="2575"/>
        <w:gridCol w:w="2573"/>
        <w:gridCol w:w="2576"/>
        <w:gridCol w:w="2578"/>
      </w:tblGrid>
      <w:tr>
        <w:trPr>
          <w:trHeight w:val="454" w:hRule="atLeast"/>
          <w:cantSplit w:val="false"/>
        </w:trPr>
        <w:tc>
          <w:tcPr>
            <w:tcW w:w="10302" w:type="dxa"/>
            <w:gridSpan w:val="4"/>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48" w:type="dxa"/>
            </w:tcMar>
            <w:vAlign w:val="center"/>
          </w:tcPr>
          <w:p>
            <w:pPr>
              <w:pStyle w:val="Normal"/>
              <w:spacing w:before="0" w:after="0"/>
              <w:jc w:val="center"/>
              <w:rPr>
                <w:b/>
                <w:sz w:val="60"/>
                <w:szCs w:val="60"/>
              </w:rPr>
            </w:pPr>
            <w:r>
              <w:rPr>
                <w:b/>
                <w:sz w:val="60"/>
                <w:szCs w:val="60"/>
              </w:rPr>
              <w:t>MARK SHEET</w:t>
            </w:r>
          </w:p>
        </w:tc>
      </w:tr>
      <w:tr>
        <w:trPr>
          <w:trHeight w:val="454" w:hRule="atLeast"/>
          <w:cantSplit w:val="false"/>
        </w:trPr>
        <w:tc>
          <w:tcPr>
            <w:tcW w:w="2575" w:type="dxa"/>
            <w:vMerge w:val="restart"/>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48" w:type="dxa"/>
            </w:tcMar>
            <w:vAlign w:val="center"/>
          </w:tcPr>
          <w:p>
            <w:pPr>
              <w:pStyle w:val="Normal"/>
              <w:spacing w:before="0" w:after="0"/>
              <w:jc w:val="center"/>
              <w:rPr>
                <w:sz w:val="28"/>
                <w:szCs w:val="28"/>
              </w:rPr>
            </w:pPr>
            <w:r>
              <w:rPr>
                <w:sz w:val="28"/>
                <w:szCs w:val="28"/>
              </w:rPr>
              <w:t>This mark is provisional</w:t>
            </w:r>
          </w:p>
        </w:tc>
        <w:tc>
          <w:tcPr>
            <w:tcW w:w="2573"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t>First marked by:</w:t>
            </w:r>
          </w:p>
          <w:p>
            <w:pPr>
              <w:pStyle w:val="Normal"/>
              <w:spacing w:before="0" w:after="0"/>
              <w:rPr/>
            </w:pPr>
            <w:r>
              <w:rPr/>
            </w:r>
          </w:p>
          <w:p>
            <w:pPr>
              <w:pStyle w:val="Normal"/>
              <w:spacing w:before="0" w:after="0"/>
              <w:rPr>
                <w:sz w:val="28"/>
                <w:szCs w:val="28"/>
              </w:rPr>
            </w:pPr>
            <w:r>
              <w:rPr>
                <w:sz w:val="28"/>
                <w:szCs w:val="28"/>
              </w:rPr>
              <w:t>Adrian Mackenzie</w:t>
            </w:r>
          </w:p>
        </w:tc>
        <w:tc>
          <w:tcPr>
            <w:tcW w:w="2576"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t>Date:</w:t>
            </w:r>
          </w:p>
          <w:p>
            <w:pPr>
              <w:pStyle w:val="Normal"/>
              <w:spacing w:before="0" w:after="0"/>
              <w:rPr>
                <w:sz w:val="28"/>
                <w:szCs w:val="28"/>
              </w:rPr>
            </w:pPr>
            <w:r>
              <w:rPr>
                <w:sz w:val="28"/>
                <w:szCs w:val="28"/>
              </w:rPr>
              <w:t>15 May 2015</w:t>
            </w:r>
          </w:p>
        </w:tc>
        <w:tc>
          <w:tcPr>
            <w:tcW w:w="2578"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t>Mark Awarded:</w:t>
            </w:r>
          </w:p>
          <w:p>
            <w:pPr>
              <w:pStyle w:val="Normal"/>
              <w:spacing w:before="0" w:after="0"/>
              <w:rPr/>
            </w:pPr>
            <w:r>
              <w:rPr/>
            </w:r>
          </w:p>
          <w:p>
            <w:pPr>
              <w:pStyle w:val="Normal"/>
              <w:spacing w:before="0" w:after="0"/>
              <w:rPr>
                <w:sz w:val="28"/>
                <w:szCs w:val="28"/>
              </w:rPr>
            </w:pPr>
            <w:r>
              <w:rPr>
                <w:sz w:val="28"/>
                <w:szCs w:val="28"/>
              </w:rPr>
              <w:t>61</w:t>
            </w:r>
          </w:p>
        </w:tc>
      </w:tr>
      <w:tr>
        <w:trPr>
          <w:trHeight w:val="723" w:hRule="atLeast"/>
          <w:cantSplit w:val="false"/>
        </w:trPr>
        <w:tc>
          <w:tcPr>
            <w:tcW w:w="2575"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r>
          </w:p>
        </w:tc>
        <w:tc>
          <w:tcPr>
            <w:tcW w:w="2573"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t>Second marked by:</w:t>
            </w:r>
          </w:p>
        </w:tc>
        <w:tc>
          <w:tcPr>
            <w:tcW w:w="2576"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t>Date:</w:t>
            </w:r>
          </w:p>
        </w:tc>
        <w:tc>
          <w:tcPr>
            <w:tcW w:w="2578"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t>Mark Awarded:</w:t>
            </w:r>
          </w:p>
        </w:tc>
      </w:tr>
      <w:tr>
        <w:trPr>
          <w:trHeight w:val="461" w:hRule="atLeast"/>
          <w:cantSplit w:val="false"/>
        </w:trPr>
        <w:tc>
          <w:tcPr>
            <w:tcW w:w="2575"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r>
          </w:p>
        </w:tc>
        <w:tc>
          <w:tcPr>
            <w:tcW w:w="7727" w:type="dxa"/>
            <w:gridSpan w:val="3"/>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t>Module:</w:t>
            </w:r>
            <w:bookmarkStart w:id="0" w:name="_GoBack"/>
            <w:bookmarkEnd w:id="0"/>
            <w:r>
              <w:rPr>
                <w:sz w:val="28"/>
                <w:szCs w:val="28"/>
              </w:rPr>
              <w:t xml:space="preserve"> socl923</w:t>
            </w:r>
          </w:p>
        </w:tc>
      </w:tr>
      <w:tr>
        <w:trPr>
          <w:trHeight w:val="461" w:hRule="atLeast"/>
          <w:cantSplit w:val="false"/>
        </w:trPr>
        <w:tc>
          <w:tcPr>
            <w:tcW w:w="2575"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r>
          </w:p>
        </w:tc>
        <w:tc>
          <w:tcPr>
            <w:tcW w:w="7727" w:type="dxa"/>
            <w:gridSpan w:val="3"/>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t>Agreed mark:</w:t>
            </w:r>
          </w:p>
        </w:tc>
      </w:tr>
      <w:tr>
        <w:trPr>
          <w:trHeight w:val="461" w:hRule="atLeast"/>
          <w:cantSplit w:val="false"/>
        </w:trPr>
        <w:tc>
          <w:tcPr>
            <w:tcW w:w="2575" w:type="dxa"/>
            <w:vMerge w:val="continue"/>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48" w:type="dxa"/>
            </w:tcMar>
          </w:tcPr>
          <w:p>
            <w:pPr>
              <w:pStyle w:val="Normal"/>
              <w:spacing w:before="0" w:after="0"/>
              <w:rPr>
                <w:sz w:val="28"/>
                <w:szCs w:val="28"/>
              </w:rPr>
            </w:pPr>
            <w:r>
              <w:rPr>
                <w:sz w:val="28"/>
                <w:szCs w:val="28"/>
              </w:rPr>
            </w:r>
          </w:p>
        </w:tc>
        <w:tc>
          <w:tcPr>
            <w:tcW w:w="7727" w:type="dxa"/>
            <w:gridSpan w:val="3"/>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48" w:type="dxa"/>
            </w:tcMar>
          </w:tcPr>
          <w:p>
            <w:pPr>
              <w:pStyle w:val="Normal"/>
              <w:spacing w:before="0" w:after="0"/>
              <w:jc w:val="both"/>
              <w:rPr>
                <w:sz w:val="28"/>
                <w:szCs w:val="28"/>
              </w:rPr>
            </w:pPr>
            <w:r>
              <w:rPr>
                <w:sz w:val="28"/>
                <w:szCs w:val="28"/>
              </w:rPr>
              <w:t>Student Name: see below</w:t>
            </w:r>
          </w:p>
        </w:tc>
      </w:tr>
    </w:tbl>
    <w:p>
      <w:pPr>
        <w:pStyle w:val="Normal"/>
        <w:rPr>
          <w:sz w:val="28"/>
          <w:szCs w:val="28"/>
        </w:rPr>
      </w:pPr>
      <w:r>
        <w:rPr>
          <w:sz w:val="28"/>
          <w:szCs w:val="28"/>
        </w:rPr>
      </w:r>
    </w:p>
    <w:tbl>
      <w:tblPr>
        <w:jc w:val="left"/>
        <w:tblInd w:w="-30" w:type="dxa"/>
        <w:tbl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blBorders>
        <w:tblCellMar>
          <w:top w:w="0" w:type="dxa"/>
          <w:left w:w="53" w:type="dxa"/>
          <w:bottom w:w="0" w:type="dxa"/>
          <w:right w:w="108" w:type="dxa"/>
        </w:tblCellMar>
      </w:tblPr>
      <w:tblGrid>
        <w:gridCol w:w="9242"/>
      </w:tblGrid>
      <w:tr>
        <w:trPr>
          <w:cantSplit w:val="false"/>
        </w:trPr>
        <w:tc>
          <w:tcPr>
            <w:tcW w:w="924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53" w:type="dxa"/>
            </w:tcMar>
          </w:tcPr>
          <w:p>
            <w:pPr>
              <w:pStyle w:val="Normal"/>
              <w:spacing w:before="0" w:after="0"/>
              <w:rPr>
                <w:b/>
                <w:sz w:val="28"/>
                <w:szCs w:val="28"/>
              </w:rPr>
            </w:pPr>
            <w:r>
              <w:rPr>
                <w:b/>
                <w:sz w:val="28"/>
                <w:szCs w:val="28"/>
              </w:rPr>
              <w:t xml:space="preserve">First Marker Comments: </w:t>
            </w:r>
          </w:p>
          <w:p>
            <w:pPr>
              <w:pStyle w:val="Heading2"/>
              <w:numPr>
                <w:ilvl w:val="1"/>
                <w:numId w:val="1"/>
              </w:numPr>
              <w:rPr/>
            </w:pPr>
            <w:r>
              <w:rPr/>
              <w:t>Group North '</w:t>
            </w:r>
            <w:hyperlink r:id="rId2">
              <w:r>
                <w:rPr>
                  <w:rStyle w:val="InternetLink"/>
                </w:rPr>
                <w:t>The Ched Evans Case: A Cultural Analysis</w:t>
              </w:r>
            </w:hyperlink>
            <w:r>
              <w:rPr/>
              <w:t>'</w:t>
            </w:r>
          </w:p>
          <w:p>
            <w:pPr>
              <w:pStyle w:val="TextBody"/>
              <w:rPr/>
            </w:pPr>
            <w:r>
              <w:rPr/>
            </w:r>
          </w:p>
          <w:p>
            <w:pPr>
              <w:pStyle w:val="TextBody"/>
              <w:rPr>
                <w:rStyle w:val="InternetLink"/>
              </w:rPr>
            </w:pPr>
            <w:hyperlink r:id="rId3">
              <w:r>
                <w:rPr>
                  <w:rStyle w:val="InternetLink"/>
                </w:rPr>
                <w:t>http://socl923groupnorth.tumblr.com</w:t>
              </w:r>
            </w:hyperlink>
          </w:p>
          <w:p>
            <w:pPr>
              <w:pStyle w:val="TextBody"/>
              <w:rPr/>
            </w:pPr>
            <w:r>
              <w:rPr/>
            </w:r>
          </w:p>
          <w:p>
            <w:pPr>
              <w:pStyle w:val="TextBody"/>
              <w:rPr/>
            </w:pPr>
            <w:r>
              <w:rPr/>
              <w:t>Yaser Bahrami Ghasrejami</w:t>
            </w:r>
          </w:p>
          <w:p>
            <w:pPr>
              <w:pStyle w:val="TextBody"/>
              <w:rPr/>
            </w:pPr>
            <w:r>
              <w:rPr/>
              <w:t>Katie Capstick</w:t>
            </w:r>
          </w:p>
          <w:p>
            <w:pPr>
              <w:pStyle w:val="TextBody"/>
              <w:rPr/>
            </w:pPr>
            <w:r>
              <w:rPr/>
              <w:t>Hong Kim</w:t>
            </w:r>
          </w:p>
          <w:p>
            <w:pPr>
              <w:pStyle w:val="TextBody"/>
              <w:rPr/>
            </w:pPr>
            <w:r>
              <w:rPr/>
              <w:t>Zhang Yuting</w:t>
            </w:r>
          </w:p>
          <w:p>
            <w:pPr>
              <w:pStyle w:val="TextBody"/>
              <w:rPr/>
            </w:pPr>
            <w:r>
              <w:rPr/>
            </w:r>
          </w:p>
          <w:p>
            <w:pPr>
              <w:pStyle w:val="TextBody"/>
              <w:spacing w:before="0" w:after="0"/>
              <w:rPr>
                <w:b w:val="false"/>
                <w:bCs w:val="false"/>
                <w:sz w:val="28"/>
                <w:szCs w:val="28"/>
              </w:rPr>
            </w:pPr>
            <w:r>
              <w:rPr>
                <w:b w:val="false"/>
                <w:bCs w:val="false"/>
                <w:sz w:val="28"/>
                <w:szCs w:val="28"/>
              </w:rPr>
              <w:t xml:space="preserve">The group research project effectively documented work on many of the methods exercises for the course. It actually brought together quite a few interesting empirical materials and did generate some interesting insights around the Chad Evans case. </w:t>
            </w:r>
          </w:p>
          <w:p>
            <w:pPr>
              <w:pStyle w:val="TextBody"/>
              <w:spacing w:before="0" w:after="0"/>
              <w:rPr>
                <w:b w:val="false"/>
                <w:bCs w:val="false"/>
              </w:rPr>
            </w:pPr>
            <w:r>
              <w:rPr>
                <w:b w:val="false"/>
                <w:bCs w:val="false"/>
              </w:rPr>
            </w:r>
          </w:p>
          <w:p>
            <w:pPr>
              <w:pStyle w:val="TextBody"/>
              <w:spacing w:before="0" w:after="0"/>
              <w:rPr>
                <w:b w:val="false"/>
                <w:bCs w:val="false"/>
                <w:sz w:val="28"/>
                <w:szCs w:val="28"/>
              </w:rPr>
            </w:pPr>
            <w:r>
              <w:rPr>
                <w:b w:val="false"/>
                <w:bCs w:val="false"/>
                <w:sz w:val="28"/>
                <w:szCs w:val="28"/>
              </w:rPr>
              <w:t xml:space="preserve">I could see that most members of the group were contributing during the different parts of the group project. Some of the contributions were very brief, and it was at times quite hard to follow what they were referring </w:t>
            </w:r>
            <w:r>
              <w:rPr>
                <w:b w:val="false"/>
                <w:bCs w:val="false"/>
                <w:sz w:val="28"/>
                <w:szCs w:val="28"/>
              </w:rPr>
              <w:t>to</w:t>
            </w:r>
            <w:r>
              <w:rPr>
                <w:b w:val="false"/>
                <w:bCs w:val="false"/>
                <w:sz w:val="28"/>
                <w:szCs w:val="28"/>
              </w:rPr>
              <w:t xml:space="preserve">. While they were nearly all relevant to the project topic, it would have been good to provide a little more by way of contextual linking and framing of the materials you were discussing.  I thought too that </w:t>
            </w:r>
            <w:r>
              <w:rPr>
                <w:b w:val="false"/>
                <w:bCs w:val="false"/>
                <w:sz w:val="28"/>
                <w:szCs w:val="28"/>
              </w:rPr>
              <w:t xml:space="preserve">individual </w:t>
            </w:r>
            <w:r>
              <w:rPr>
                <w:b w:val="false"/>
                <w:bCs w:val="false"/>
                <w:sz w:val="28"/>
                <w:szCs w:val="28"/>
              </w:rPr>
              <w:t xml:space="preserve">entries on particular weeks were often somewhat isolated from each other, as if they were not really in conversation in a group.  The presentation in the final week of the case did better in bringing the different parts of the project together. </w:t>
            </w:r>
          </w:p>
          <w:p>
            <w:pPr>
              <w:pStyle w:val="Normal"/>
              <w:spacing w:before="0" w:after="0"/>
              <w:rPr>
                <w:b/>
                <w:sz w:val="28"/>
                <w:szCs w:val="28"/>
              </w:rPr>
            </w:pPr>
            <w:r>
              <w:rPr>
                <w:b/>
                <w:sz w:val="28"/>
                <w:szCs w:val="28"/>
              </w:rPr>
            </w:r>
          </w:p>
        </w:tc>
      </w:tr>
      <w:tr>
        <w:trPr>
          <w:cantSplit w:val="false"/>
        </w:trPr>
        <w:tc>
          <w:tcPr>
            <w:tcW w:w="924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FFFFFF" w:val="clear"/>
            <w:tcMar>
              <w:left w:w="53" w:type="dxa"/>
            </w:tcMar>
          </w:tcPr>
          <w:p>
            <w:pPr>
              <w:pStyle w:val="Normal"/>
              <w:spacing w:before="0" w:after="0"/>
              <w:rPr>
                <w:b/>
                <w:sz w:val="28"/>
                <w:szCs w:val="28"/>
              </w:rPr>
            </w:pPr>
            <w:r>
              <w:rPr>
                <w:b/>
                <w:sz w:val="28"/>
                <w:szCs w:val="28"/>
              </w:rPr>
              <w:t xml:space="preserve">Second Marker Comments: </w:t>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sz w:val="28"/>
                <w:szCs w:val="28"/>
              </w:rPr>
            </w:pPr>
            <w:r>
              <w:rPr>
                <w:sz w:val="28"/>
                <w:szCs w:val="28"/>
              </w:rPr>
            </w:r>
          </w:p>
        </w:tc>
      </w:tr>
    </w:tbl>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GB" w:eastAsia="en-US" w:bidi="ar-SA"/>
    </w:rPr>
  </w:style>
  <w:style w:type="paragraph" w:styleId="Heading2">
    <w:name w:val="Heading 2"/>
    <w:basedOn w:val="Heading"/>
    <w:pPr>
      <w:outlineLvl w:val="1"/>
    </w:pPr>
    <w:rPr>
      <w:b/>
      <w:bCs/>
      <w:i/>
      <w:iCs/>
      <w:sz w:val="28"/>
      <w:szCs w:val="28"/>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86556f"/>
    <w:basedOn w:val="DefaultParagraphFont"/>
    <w:rPr>
      <w:rFonts w:ascii="Tahoma" w:hAnsi="Tahoma" w:cs="Tahoma"/>
      <w:sz w:val="16"/>
      <w:szCs w:val="16"/>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86556f"/>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6556f"/>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cl923groupnorth.tumblr.com/" TargetMode="External"/><Relationship Id="rId3" Type="http://schemas.openxmlformats.org/officeDocument/2006/relationships/hyperlink" Target="http://socl923groupnorth.tumblr.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2015-01-15T15:08:00Z</dcterms:created>
  <dc:creator>Prill, Cathlin</dc:creator>
  <dc:language>en-GB</dc:language>
  <cp:lastModifiedBy>Prill, Cathlin</cp:lastModifiedBy>
  <dcterms:modified xsi:type="dcterms:W3CDTF">2015-01-15T15:08:00Z</dcterms:modified>
  <cp:revision>2</cp:revision>
</cp:coreProperties>
</file>