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Module De</w:t>
      </w:r>
      <w:bookmarkStart w:id="0" w:name="_GoBack"/>
      <w:bookmarkEnd w:id="0"/>
      <w:r>
        <w:rPr/>
        <w:t>scriptions</w:t>
      </w:r>
    </w:p>
    <w:p>
      <w:pPr>
        <w:pStyle w:val="Subtitle"/>
        <w:rPr/>
      </w:pPr>
      <w:r>
        <w:rPr>
          <w:color w:val="00000A"/>
        </w:rPr>
        <w:t>SOCL</w:t>
      </w:r>
      <w:r>
        <w:rPr>
          <w:color w:val="00000A"/>
        </w:rPr>
        <w:t>923 Critical Methods in Media and Cultural Studies</w:t>
      </w:r>
    </w:p>
    <w:p>
      <w:pPr>
        <w:pStyle w:val="Subtitle"/>
        <w:rPr/>
      </w:pPr>
      <w:r>
        <w:rPr/>
        <w:t>Module Convenor(s)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course  explores </w:t>
      </w:r>
      <w:r>
        <w:rPr/>
        <w:t xml:space="preserve">research practice  in  Media  and  Cultural  Studies  (MCS).  </w:t>
      </w:r>
      <w:r>
        <w:rPr/>
        <w:t>M</w:t>
      </w:r>
      <w:r>
        <w:rPr/>
        <w:t xml:space="preserve">ethod  in  MCS  is  quite plural. It includes textual  </w:t>
      </w:r>
      <w:r>
        <w:rPr/>
        <w:t xml:space="preserve">and discourse </w:t>
      </w:r>
      <w:r>
        <w:rPr/>
        <w:t xml:space="preserve">analysis, visual analysis, ethnography and participatory approaches, </w:t>
      </w:r>
      <w:r>
        <w:rPr/>
        <w:t xml:space="preserve">but with strong emphasis on engaging with issues of identity, differences, power and experience in the hyper-complex media and cultural environments we inhabit. </w:t>
      </w:r>
    </w:p>
    <w:p>
      <w:pPr>
        <w:pStyle w:val="Normal"/>
        <w:rPr/>
      </w:pPr>
      <w:r>
        <w:rPr/>
        <w:t xml:space="preserve">This course is designed to introduce students to </w:t>
      </w:r>
      <w:r>
        <w:rPr/>
        <w:t xml:space="preserve">contemporary </w:t>
      </w:r>
      <w:r>
        <w:rPr/>
        <w:t xml:space="preserve">methodological issues, </w:t>
      </w:r>
      <w:r>
        <w:rPr/>
        <w:t xml:space="preserve">key </w:t>
      </w:r>
      <w:r>
        <w:rPr/>
        <w:t xml:space="preserve">approaches, practical techniques,  and exemplary cases </w:t>
      </w:r>
      <w:r>
        <w:rPr/>
        <w:t xml:space="preserve">relating to the study of </w:t>
      </w:r>
      <w:r>
        <w:rPr/>
        <w:t xml:space="preserve">media and </w:t>
      </w:r>
      <w:r>
        <w:rPr/>
        <w:t>culture</w:t>
      </w:r>
      <w:r>
        <w:rPr/>
        <w:t xml:space="preserve">.  It uses recent examples of media and cultural research done here at Lancaster to give a taste of particular research methods and approaches, and encourage an exploration of their theoretical and practical implications and consequences. </w:t>
      </w:r>
      <w:r>
        <w:rPr/>
        <w:t>In conversation with invited guests, p</w:t>
      </w:r>
      <w:r>
        <w:rPr/>
        <w:t xml:space="preserve">articipants in the course will also discuss and critically evaluate different methodological approaches and learn how to draw on these </w:t>
      </w:r>
      <w:r>
        <w:rPr/>
        <w:t xml:space="preserve">approaches </w:t>
      </w:r>
      <w:r>
        <w:rPr/>
        <w:t xml:space="preserve"> as a starting point for </w:t>
      </w:r>
      <w:r>
        <w:rPr/>
        <w:t xml:space="preserve">their </w:t>
      </w:r>
      <w:r>
        <w:rPr/>
        <w:t xml:space="preserve">own research. By the end of the course, students should have </w:t>
      </w:r>
      <w:r>
        <w:rPr/>
        <w:t xml:space="preserve">a strong understanding of key elements </w:t>
      </w:r>
      <w:r>
        <w:rPr/>
        <w:t xml:space="preserve">in planning and carrying out independent research </w:t>
      </w:r>
      <w:r>
        <w:rPr/>
        <w:t>projects</w:t>
      </w:r>
      <w:r>
        <w:rPr/>
        <w:t>.</w:t>
      </w:r>
    </w:p>
    <w:p>
      <w:pPr>
        <w:pStyle w:val="Subtitle"/>
        <w:rPr/>
      </w:pPr>
      <w:r>
        <w:rPr/>
        <w:t>Course Aims and Objectives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 xml:space="preserve"> </w:t>
      </w:r>
      <w:r>
        <w:rPr>
          <w:sz w:val="24"/>
        </w:rPr>
        <w:t>1. To explore the main methods used in media and cultural studies and how they relate to the key problems and approaches of that field.</w:t>
      </w:r>
    </w:p>
    <w:p>
      <w:pPr>
        <w:pStyle w:val="TextBody"/>
        <w:numPr>
          <w:ilvl w:val="0"/>
          <w:numId w:val="1"/>
        </w:numPr>
        <w:rPr/>
      </w:pPr>
      <w:r>
        <w:rPr/>
        <w:t>2. In dialogue with media and cultural studies researchers, to show how issues of identity, power, value and experience can be researched.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 xml:space="preserve">3. Using visual, textual and observational materials, show how media and other cultural processes can be understood differently using different methodological approaches. 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 xml:space="preserve">Key Readings </w:t>
      </w:r>
    </w:p>
    <w:p>
      <w:pPr>
        <w:pStyle w:val="Normal"/>
        <w:numPr>
          <w:ilvl w:val="0"/>
          <w:numId w:val="0"/>
        </w:numPr>
        <w:rPr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Couldry, Nick. 2012. </w:t>
      </w:r>
      <w:r>
        <w:rPr>
          <w:i/>
        </w:rPr>
        <w:t>Media, Society, World: Social Theory and Digital Media Practice</w:t>
      </w:r>
      <w:r>
        <w:rPr/>
        <w:t>. Cambridge ; Malden, MA: Polity.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Back, Les, and Nirmal Puwar. 2012. “A Manifesto for Live Methods: Provocations and Capacities.” </w:t>
      </w:r>
      <w:r>
        <w:rPr>
          <w:i/>
        </w:rPr>
        <w:t>The Sociological Review</w:t>
      </w:r>
      <w:r>
        <w:rPr/>
        <w:t xml:space="preserve"> 60: 6–17. doi:10.1111/j.1467-954X.2012.02114.x.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Rose, Gillian. 2011. </w:t>
      </w:r>
      <w:r>
        <w:rPr>
          <w:i/>
        </w:rPr>
        <w:t>Visual Methodologies: An Introduction to Researching with Visual Materials</w:t>
      </w:r>
      <w:r>
        <w:rPr/>
        <w:t>. Sage.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Johnson, Richard, Deborah Chambers, Parvati Raghuram, and Estella Tincknell. 2004. </w:t>
      </w:r>
      <w:r>
        <w:rPr>
          <w:i/>
        </w:rPr>
        <w:t>The Practice of Cultural Studies</w:t>
      </w:r>
      <w:r>
        <w:rPr/>
        <w:t>. Sage.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spacing w:before="0" w:after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4ac0"/>
    <w:pPr>
      <w:widowControl/>
      <w:suppressAutoHyphens w:val="true"/>
      <w:bidi w:val="0"/>
      <w:spacing w:lineRule="auto" w:line="240" w:before="0" w:after="240"/>
      <w:jc w:val="left"/>
    </w:pPr>
    <w:rPr>
      <w:rFonts w:ascii="Cambria" w:hAnsi="Cambria" w:eastAsia="" w:asciiTheme="majorHAnsi" w:eastAsiaTheme="minorEastAsia" w:hAnsiTheme="majorHAnsi" w:cs=""/>
      <w:color w:val="414042"/>
      <w:sz w:val="20"/>
      <w:szCs w:val="24"/>
      <w:lang w:val="en-GB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f14ac0"/>
    <w:pPr>
      <w:keepNext/>
      <w:keepLines/>
      <w:widowControl/>
      <w:bidi w:val="0"/>
      <w:spacing w:lineRule="auto" w:line="240" w:before="240" w:after="240"/>
      <w:jc w:val="left"/>
      <w:outlineLvl w:val="0"/>
    </w:pPr>
    <w:rPr>
      <w:rFonts w:eastAsia="" w:cs="" w:cstheme="majorBidi" w:eastAsiaTheme="majorEastAsia"/>
      <w:bCs/>
      <w:color w:val="818A8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12231b"/>
    <w:rPr>
      <w:rFonts w:ascii="Cambria" w:hAnsi="Cambria" w:eastAsia="" w:cs="" w:asciiTheme="majorHAnsi" w:cstheme="majorBidi" w:eastAsiaTheme="majorEastAsia" w:hAnsiTheme="majorHAnsi"/>
      <w:b/>
      <w:iCs/>
      <w:color w:val="D52B1E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ac0"/>
    <w:rPr>
      <w:rFonts w:eastAsia="" w:cs="" w:cstheme="majorBidi" w:eastAsiaTheme="majorEastAsia"/>
      <w:bCs/>
      <w:color w:val="818A8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f14ac0"/>
    <w:rPr>
      <w:rFonts w:eastAsia="" w:cs="" w:cstheme="majorBidi" w:eastAsiaTheme="majorEastAsia"/>
      <w:b/>
      <w:color w:val="D52B1E"/>
      <w:spacing w:val="5"/>
      <w:sz w:val="56"/>
      <w:szCs w:val="52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Normal"/>
    <w:link w:val="SubtitleChar"/>
    <w:uiPriority w:val="11"/>
    <w:qFormat/>
    <w:rsid w:val="0012231b"/>
    <w:pPr>
      <w:widowControl/>
      <w:bidi w:val="0"/>
      <w:spacing w:lineRule="auto" w:line="240" w:before="240" w:after="0"/>
      <w:jc w:val="left"/>
    </w:pPr>
    <w:rPr>
      <w:rFonts w:ascii="Cambria" w:hAnsi="Cambria" w:eastAsia="" w:cs="" w:asciiTheme="majorHAnsi" w:cstheme="majorBidi" w:eastAsiaTheme="majorEastAsia" w:hAnsiTheme="majorHAnsi"/>
      <w:b/>
      <w:iCs/>
      <w:color w:val="D52B1E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31b"/>
    <w:pPr>
      <w:spacing w:before="0" w:after="0"/>
      <w:contextualSpacing/>
    </w:pPr>
    <w:rPr>
      <w:rFonts w:ascii="Calibri" w:hAnsi="Calibri"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f14ac0"/>
    <w:pPr>
      <w:spacing w:before="0" w:after="240"/>
      <w:contextualSpacing/>
    </w:pPr>
    <w:rPr>
      <w:rFonts w:ascii="Calibri" w:hAnsi="Calibri" w:eastAsia="" w:cs="" w:asciiTheme="minorHAnsi" w:cstheme="majorBidi" w:eastAsiaTheme="majorEastAsia" w:hAnsiTheme="minorHAnsi"/>
      <w:b/>
      <w:color w:val="D52B1E"/>
      <w:spacing w:val="5"/>
      <w:sz w:val="56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09B3-F53C-4970-9FBC-15649528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Application>LibreOffice/4.4.2.2$Linux_X86_64 LibreOffice_project/40m0$Build-2</Application>
  <Paragraphs>15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2015-08-19T09:33:00Z</dcterms:created>
  <dc:creator>Prill, Cathlin</dc:creator>
  <dc:language>en-GB</dc:language>
  <dcterms:modified xsi:type="dcterms:W3CDTF">2015-09-09T15:08:58Z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