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2E37A4F0">
                <wp:simplePos x="0" y="0"/>
                <wp:positionH relativeFrom="column">
                  <wp:posOffset>-342900</wp:posOffset>
                </wp:positionH>
                <wp:positionV relativeFrom="paragraph">
                  <wp:posOffset>-314325</wp:posOffset>
                </wp:positionV>
                <wp:extent cx="4648835" cy="866140"/>
                <wp:effectExtent l="0" t="0" r="0" b="0"/>
                <wp:wrapSquare wrapText="bothSides"/>
                <wp:docPr id="1" name="Text Box 1"/>
                <a:graphic xmlns:a="http://schemas.openxmlformats.org/drawingml/2006/main">
                  <a:graphicData uri="http://schemas.microsoft.com/office/word/2010/wordprocessingShape">
                    <wps:wsp>
                      <wps:cNvSpPr/>
                      <wps:spPr>
                        <a:xfrm>
                          <a:off x="0" y="0"/>
                          <a:ext cx="4648320" cy="865440"/>
                        </a:xfrm>
                        <a:prstGeom prst="rect">
                          <a:avLst/>
                        </a:prstGeom>
                        <a:solidFill>
                          <a:srgbClr val="ffffff"/>
                        </a:solidFill>
                        <a:ln>
                          <a:noFill/>
                        </a:ln>
                      </wps:spPr>
                      <wps:style>
                        <a:lnRef idx="0"/>
                        <a:fillRef idx="0"/>
                        <a:effectRef idx="0"/>
                        <a:fontRef idx="minor"/>
                      </wps:style>
                      <wps:txbx>
                        <w:txbxContent>
                          <w:p>
                            <w:pPr>
                              <w:pStyle w:val="FrameContents"/>
                              <w:rPr>
                                <w:rFonts w:ascii="Trebuchet MS" w:hAnsi="Trebuchet MS" w:cs="Arial"/>
                                <w:b/>
                                <w:b/>
                                <w:sz w:val="46"/>
                              </w:rPr>
                            </w:pPr>
                            <w:r>
                              <w:rPr>
                                <w:rFonts w:cs="Arial" w:ascii="Trebuchet MS" w:hAnsi="Trebuchet MS"/>
                                <w:b/>
                                <w:color w:val="auto"/>
                                <w:sz w:val="46"/>
                              </w:rPr>
                              <w:t>Department of Sociology</w:t>
                            </w:r>
                          </w:p>
                          <w:p>
                            <w:pPr>
                              <w:pStyle w:val="FrameContents"/>
                              <w:rPr>
                                <w:rFonts w:ascii="Trebuchet MS" w:hAnsi="Trebuchet MS" w:cs="Arial"/>
                                <w:b/>
                                <w:b/>
                                <w:sz w:val="36"/>
                              </w:rPr>
                            </w:pPr>
                            <w:r>
                              <w:rPr>
                                <w:rFonts w:cs="Arial" w:ascii="Trebuchet MS" w:hAnsi="Trebuchet MS"/>
                                <w:b/>
                                <w:color w:val="auto"/>
                                <w:sz w:val="36"/>
                              </w:rPr>
                              <w:t>END OF YEAR COURSE REPORT 2016/17</w:t>
                            </w:r>
                          </w:p>
                          <w:p>
                            <w:pPr>
                              <w:pStyle w:val="FrameContents"/>
                              <w:jc w:val="center"/>
                              <w:rPr>
                                <w:rFonts w:ascii="Trebuchet MS" w:hAnsi="Trebuchet MS" w:cs="Arial"/>
                                <w:b/>
                                <w:b/>
                                <w:color w:val="auto"/>
                              </w:rPr>
                            </w:pPr>
                            <w:r>
                              <w:rPr>
                                <w:rFonts w:cs="Arial" w:ascii="Trebuchet MS" w:hAnsi="Trebuchet MS"/>
                                <w:b/>
                                <w:color w:val="auto"/>
                              </w:rPr>
                            </w:r>
                          </w:p>
                          <w:p>
                            <w:pPr>
                              <w:pStyle w:val="FrameContents"/>
                              <w:spacing w:before="0" w:after="200"/>
                              <w:rPr>
                                <w:color w:val="auto"/>
                              </w:rPr>
                            </w:pPr>
                            <w:r>
                              <w:rPr>
                                <w:color w:val="auto"/>
                              </w:rPr>
                            </w:r>
                          </w:p>
                        </w:txbxContent>
                      </wps:txbx>
                      <wps:bodyPr>
                        <a:noAutofit/>
                      </wps:bodyPr>
                    </wps:wsp>
                  </a:graphicData>
                </a:graphic>
              </wp:anchor>
            </w:drawing>
          </mc:Choice>
          <mc:Fallback>
            <w:pict>
              <v:rect id="shape_0" ID="Text Box 1" fillcolor="white" stroked="f" style="position:absolute;margin-left:-27pt;margin-top:-24.75pt;width:365.95pt;height:68.1pt" wp14:anchorId="2E37A4F0">
                <w10:wrap type="square"/>
                <v:fill o:detectmouseclick="t" type="solid" color2="black"/>
                <v:stroke color="#3465a4" joinstyle="round" endcap="flat"/>
                <v:textbox>
                  <w:txbxContent>
                    <w:p>
                      <w:pPr>
                        <w:pStyle w:val="FrameContents"/>
                        <w:rPr>
                          <w:rFonts w:ascii="Trebuchet MS" w:hAnsi="Trebuchet MS" w:cs="Arial"/>
                          <w:b/>
                          <w:b/>
                          <w:sz w:val="46"/>
                        </w:rPr>
                      </w:pPr>
                      <w:r>
                        <w:rPr>
                          <w:rFonts w:cs="Arial" w:ascii="Trebuchet MS" w:hAnsi="Trebuchet MS"/>
                          <w:b/>
                          <w:color w:val="auto"/>
                          <w:sz w:val="46"/>
                        </w:rPr>
                        <w:t>Department of Sociology</w:t>
                      </w:r>
                    </w:p>
                    <w:p>
                      <w:pPr>
                        <w:pStyle w:val="FrameContents"/>
                        <w:rPr>
                          <w:rFonts w:ascii="Trebuchet MS" w:hAnsi="Trebuchet MS" w:cs="Arial"/>
                          <w:b/>
                          <w:b/>
                          <w:sz w:val="36"/>
                        </w:rPr>
                      </w:pPr>
                      <w:r>
                        <w:rPr>
                          <w:rFonts w:cs="Arial" w:ascii="Trebuchet MS" w:hAnsi="Trebuchet MS"/>
                          <w:b/>
                          <w:color w:val="auto"/>
                          <w:sz w:val="36"/>
                        </w:rPr>
                        <w:t>END OF YEAR COURSE REPORT 2016/17</w:t>
                      </w:r>
                    </w:p>
                    <w:p>
                      <w:pPr>
                        <w:pStyle w:val="FrameContents"/>
                        <w:jc w:val="center"/>
                        <w:rPr>
                          <w:rFonts w:ascii="Trebuchet MS" w:hAnsi="Trebuchet MS" w:cs="Arial"/>
                          <w:b/>
                          <w:b/>
                          <w:color w:val="auto"/>
                        </w:rPr>
                      </w:pPr>
                      <w:r>
                        <w:rPr>
                          <w:rFonts w:cs="Arial" w:ascii="Trebuchet MS" w:hAnsi="Trebuchet MS"/>
                          <w:b/>
                          <w:color w:val="auto"/>
                        </w:rPr>
                      </w:r>
                    </w:p>
                    <w:p>
                      <w:pPr>
                        <w:pStyle w:val="FrameContents"/>
                        <w:spacing w:before="0" w:after="200"/>
                        <w:rPr>
                          <w:color w:val="auto"/>
                        </w:rPr>
                      </w:pPr>
                      <w:r>
                        <w:rPr>
                          <w:color w:val="auto"/>
                        </w:rPr>
                      </w:r>
                    </w:p>
                  </w:txbxContent>
                </v:textbox>
              </v:rect>
            </w:pict>
          </mc:Fallback>
        </mc:AlternateContent>
        <w:drawing>
          <wp:anchor behindDoc="0" distT="0" distB="8890" distL="114300" distR="114300" simplePos="0" locked="0" layoutInCell="1" allowOverlap="1" relativeHeight="3">
            <wp:simplePos x="0" y="0"/>
            <wp:positionH relativeFrom="column">
              <wp:posOffset>4782185</wp:posOffset>
            </wp:positionH>
            <wp:positionV relativeFrom="paragraph">
              <wp:posOffset>-349885</wp:posOffset>
            </wp:positionV>
            <wp:extent cx="2158365" cy="676910"/>
            <wp:effectExtent l="0" t="0" r="0" b="0"/>
            <wp:wrapTight wrapText="bothSides">
              <wp:wrapPolygon edited="0">
                <wp:start x="-45" y="0"/>
                <wp:lineTo x="-45" y="15770"/>
                <wp:lineTo x="6832" y="19410"/>
                <wp:lineTo x="18102" y="21230"/>
                <wp:lineTo x="19438" y="21230"/>
                <wp:lineTo x="20202" y="19410"/>
                <wp:lineTo x="21349" y="14557"/>
                <wp:lineTo x="21349" y="0"/>
                <wp:lineTo x="-45"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2158365" cy="676910"/>
                    </a:xfrm>
                    <a:prstGeom prst="rect">
                      <a:avLst/>
                    </a:prstGeom>
                  </pic:spPr>
                </pic:pic>
              </a:graphicData>
            </a:graphic>
          </wp:anchor>
        </w:drawing>
      </w:r>
    </w:p>
    <w:p>
      <w:pPr>
        <w:pStyle w:val="Normal"/>
        <w:rPr/>
      </w:pPr>
      <w:r>
        <w:rPr/>
      </w:r>
    </w:p>
    <w:p>
      <w:pPr>
        <w:pStyle w:val="Normal"/>
        <w:rPr/>
      </w:pPr>
      <w:r>
        <w:rPr/>
      </w:r>
      <w:r>
        <mc:AlternateContent>
          <mc:Choice Requires="wps">
            <w:drawing>
              <wp:anchor behindDoc="0" distT="0" distB="0" distL="114300" distR="114300" simplePos="0" locked="0" layoutInCell="1" allowOverlap="1" relativeHeight="5">
                <wp:simplePos x="0" y="0"/>
                <wp:positionH relativeFrom="margin">
                  <wp:posOffset>-71755</wp:posOffset>
                </wp:positionH>
                <wp:positionV relativeFrom="paragraph">
                  <wp:posOffset>437515</wp:posOffset>
                </wp:positionV>
                <wp:extent cx="6100445" cy="10692130"/>
                <wp:effectExtent l="0" t="0" r="0" b="0"/>
                <wp:wrapSquare wrapText="bothSides"/>
                <wp:docPr id="4" name="Frame2"/>
                <a:graphic xmlns:a="http://schemas.openxmlformats.org/drawingml/2006/main">
                  <a:graphicData uri="http://schemas.microsoft.com/office/word/2010/wordprocessingShape">
                    <wps:wsp>
                      <wps:cNvSpPr txBox="1"/>
                      <wps:spPr>
                        <a:xfrm>
                          <a:off x="0" y="0"/>
                          <a:ext cx="6100445" cy="10692130"/>
                        </a:xfrm>
                        <a:prstGeom prst="rect"/>
                      </wps:spPr>
                      <wps:txbx>
                        <w:txbxContent>
                          <w:tbl>
                            <w:tblPr>
                              <w:tblpPr w:bottomFromText="0" w:horzAnchor="margin" w:leftFromText="180" w:rightFromText="180" w:tblpX="0" w:tblpY="689" w:topFromText="0" w:vertAnchor="text"/>
                              <w:tblW w:w="9607"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9607"/>
                            </w:tblGrid>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r>
                                    <w:rPr>
                                      <w:rFonts w:eastAsia="Times New Roman" w:cs="Times New Roman" w:ascii="Trebuchet MS" w:hAnsi="Trebuchet MS"/>
                                      <w:color w:val="000000"/>
                                    </w:rPr>
                                    <w:t xml:space="preserve">Name of Course and Mnemonic: </w:t>
                                  </w:r>
                                  <w:bookmarkStart w:id="0" w:name="__UnoMark__42_1769299242"/>
                                  <w:bookmarkEnd w:id="0"/>
                                  <w:r>
                                    <w:rPr>
                                      <w:rFonts w:eastAsia="Times New Roman" w:cs="Times New Roman" w:ascii="Trebuchet MS" w:hAnsi="Trebuchet MS"/>
                                      <w:color w:val="000000"/>
                                    </w:rPr>
                                    <w:t>Critical Methods in MCS SOCL923</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1" w:name="__UnoMark__43_1769299242"/>
                                  <w:bookmarkEnd w:id="1"/>
                                  <w:r>
                                    <w:rPr>
                                      <w:rFonts w:eastAsia="Times New Roman" w:cs="Times New Roman" w:ascii="Trebuchet MS" w:hAnsi="Trebuchet MS"/>
                                      <w:color w:val="000000"/>
                                    </w:rPr>
                                    <w:t xml:space="preserve">Course Convenor(s):   </w:t>
                                  </w:r>
                                  <w:bookmarkStart w:id="2" w:name="_GoBack1"/>
                                  <w:bookmarkStart w:id="3" w:name="__UnoMark__44_1769299242"/>
                                  <w:bookmarkEnd w:id="2"/>
                                  <w:bookmarkEnd w:id="3"/>
                                  <w:r>
                                    <w:rPr>
                                      <w:rFonts w:eastAsia="Times New Roman" w:cs="Times New Roman" w:ascii="Trebuchet MS" w:hAnsi="Trebuchet MS"/>
                                      <w:color w:val="000000"/>
                                    </w:rPr>
                                    <w:t>Adrian Mackenzie</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4" w:name="__UnoMark__46_1769299242"/>
                                  <w:bookmarkEnd w:id="4"/>
                                  <w:r>
                                    <w:rPr>
                                      <w:rFonts w:eastAsia="Times New Roman" w:cs="Times New Roman" w:ascii="Trebuchet MS" w:hAnsi="Trebuchet MS"/>
                                      <w:color w:val="000000"/>
                                    </w:rPr>
                                    <w:t xml:space="preserve">Term Taught: </w:t>
                                  </w:r>
                                  <w:bookmarkStart w:id="5" w:name="__UnoMark__47_1769299242"/>
                                  <w:bookmarkEnd w:id="5"/>
                                  <w:r>
                                    <w:rPr>
                                      <w:rFonts w:eastAsia="Times New Roman" w:cs="Times New Roman" w:ascii="Trebuchet MS" w:hAnsi="Trebuchet MS"/>
                                      <w:color w:val="000000"/>
                                    </w:rPr>
                                    <w:t>2</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6" w:name="__UnoMark__48_1769299242"/>
                                  <w:bookmarkEnd w:id="6"/>
                                  <w:r>
                                    <w:rPr>
                                      <w:rFonts w:eastAsia="Times New Roman" w:cs="Times New Roman" w:ascii="Trebuchet MS" w:hAnsi="Trebuchet MS"/>
                                      <w:color w:val="000000"/>
                                    </w:rPr>
                                    <w:t>Number of students taking the module (including break-down of those doing it for credit, auditor, students' degree scheme):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16 all for credit; all MA MCS (I think)</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bookmarkStart w:id="7" w:name="__UnoMark__49_1769299242"/>
                                  <w:bookmarkStart w:id="8" w:name="__UnoMark__49_1769299242"/>
                                  <w:bookmarkEnd w:id="8"/>
                                  <w:r>
                                    <w:rPr>
                                      <w:rFonts w:eastAsia="Times New Roman" w:cs="Times New Roman" w:ascii="Trebuchet MS" w:hAnsi="Trebuchet MS"/>
                                      <w:color w:val="000000"/>
                                    </w:rPr>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9" w:name="__UnoMark__50_1769299242"/>
                                  <w:bookmarkEnd w:id="9"/>
                                  <w:r>
                                    <w:rPr>
                                      <w:rFonts w:eastAsia="Times New Roman" w:cs="Times New Roman" w:ascii="Trebuchet MS" w:hAnsi="Trebuchet MS"/>
                                      <w:color w:val="000000"/>
                                    </w:rPr>
                                    <w:t>Any important elements of student feedback from the University electronic survey and/or the departmental paper survey:</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TBA</w:t>
                                  </w:r>
                                </w:p>
                                <w:p>
                                  <w:pPr>
                                    <w:pStyle w:val="Normal"/>
                                    <w:spacing w:lineRule="auto" w:line="240" w:before="240" w:after="240"/>
                                    <w:ind w:right="1059" w:hanging="0"/>
                                    <w:rPr>
                                      <w:rFonts w:ascii="Trebuchet MS" w:hAnsi="Trebuchet MS" w:eastAsia="Times New Roman" w:cs="Times New Roman"/>
                                      <w:color w:val="000000"/>
                                    </w:rPr>
                                  </w:pPr>
                                  <w:bookmarkStart w:id="10" w:name="__UnoMark__51_1769299242"/>
                                  <w:bookmarkStart w:id="11" w:name="__UnoMark__51_1769299242"/>
                                  <w:bookmarkEnd w:id="11"/>
                                  <w:r>
                                    <w:rPr>
                                      <w:rFonts w:eastAsia="Times New Roman" w:cs="Times New Roman" w:ascii="Trebuchet MS" w:hAnsi="Trebuchet MS"/>
                                      <w:color w:val="000000"/>
                                    </w:rPr>
                                  </w:r>
                                </w:p>
                              </w:tc>
                            </w:tr>
                            <w:tr>
                              <w:trPr>
                                <w:trHeight w:val="1232"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12" w:name="__UnoMark__52_1769299242"/>
                                  <w:bookmarkEnd w:id="12"/>
                                  <w:r>
                                    <w:rPr>
                                      <w:rFonts w:eastAsia="Times New Roman" w:cs="Times New Roman" w:ascii="Trebuchet MS" w:hAnsi="Trebuchet MS"/>
                                      <w:color w:val="000000"/>
                                    </w:rPr>
                                    <w:t>Any logistical, organisational issues (timetabling, rooms,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None to report really. The room was slightly too small, but this is fairly normal.</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bookmarkStart w:id="13" w:name="__UnoMark__53_1769299242"/>
                                  <w:bookmarkStart w:id="14" w:name="__UnoMark__53_1769299242"/>
                                  <w:bookmarkEnd w:id="14"/>
                                  <w:r>
                                    <w:rPr>
                                      <w:rFonts w:eastAsia="Times New Roman" w:cs="Times New Roman" w:ascii="Trebuchet MS" w:hAnsi="Trebuchet MS"/>
                                      <w:color w:val="000000"/>
                                    </w:rPr>
                                  </w:r>
                                </w:p>
                              </w:tc>
                            </w:tr>
                            <w:tr>
                              <w:trPr>
                                <w:trHeight w:val="96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15" w:name="__UnoMark__54_1769299242"/>
                                  <w:bookmarkEnd w:id="15"/>
                                  <w:r>
                                    <w:rPr>
                                      <w:rFonts w:eastAsia="Times New Roman" w:cs="Times New Roman" w:ascii="Trebuchet MS" w:hAnsi="Trebuchet MS"/>
                                      <w:color w:val="000000"/>
                                    </w:rPr>
                                    <w:t>Reflections on module content and structure: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This module is based around groupwork research, as well as a series of talks with colleagues from the department. As a structure, the mixture of regular work on a project and encounters with different approaches to research seems to work well. </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 </w:t>
                                  </w:r>
                                  <w:r>
                                    <w:rPr>
                                      <w:rFonts w:eastAsia="Times New Roman" w:cs="Times New Roman" w:ascii="Trebuchet MS" w:hAnsi="Trebuchet MS"/>
                                      <w:color w:val="000000"/>
                                    </w:rPr>
                                    <w:t xml:space="preserve">Although this is ostensibly a methods course, it places a lot of emphasis on engagement with substantial issues in contemporary media and culture. That sometimes poses problems for students new to MCS. </w:t>
                                  </w:r>
                                </w:p>
                                <w:p>
                                  <w:pPr>
                                    <w:pStyle w:val="Normal"/>
                                    <w:spacing w:lineRule="auto" w:line="240" w:before="240" w:after="240"/>
                                    <w:ind w:right="1059" w:hanging="0"/>
                                    <w:rPr>
                                      <w:rFonts w:ascii="Trebuchet MS" w:hAnsi="Trebuchet MS" w:eastAsia="Times New Roman" w:cs="Times New Roman"/>
                                      <w:color w:val="000000"/>
                                    </w:rPr>
                                  </w:pPr>
                                  <w:bookmarkStart w:id="16" w:name="__UnoMark__55_1769299242"/>
                                  <w:bookmarkStart w:id="17" w:name="__UnoMark__55_1769299242"/>
                                  <w:bookmarkEnd w:id="17"/>
                                  <w:r>
                                    <w:rPr>
                                      <w:rFonts w:eastAsia="Times New Roman" w:cs="Times New Roman" w:ascii="Trebuchet MS" w:hAnsi="Trebuchet MS"/>
                                      <w:color w:val="000000"/>
                                    </w:rPr>
                                  </w:r>
                                </w:p>
                              </w:tc>
                            </w:tr>
                            <w:tr>
                              <w:trPr>
                                <w:trHeight w:val="979"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18" w:name="__UnoMark__56_1769299242"/>
                                  <w:bookmarkEnd w:id="18"/>
                                  <w:r>
                                    <w:rPr>
                                      <w:rFonts w:eastAsia="Times New Roman" w:cs="Times New Roman" w:ascii="Trebuchet MS" w:hAnsi="Trebuchet MS"/>
                                      <w:color w:val="000000"/>
                                    </w:rPr>
                                    <w:t>Comments about teaching issues (lessons learned, examples of good practice, reflections on new LT strategy introduced this year,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The best idea I had for the course this year was to unilaterally asssign group research topics, and to assign them all the same topic. In past years, I’ve allowed them to choose their own, and they’ve often floundered. This year I just set a single topic – fake news – and all the groups worked on it in different ways. That become a key part of the course experience – groups could see how other groups were developing research question or their methodology, and they seemed to learn quite a bit from that. Not sure if this is generalizable. </w:t>
                                  </w:r>
                                </w:p>
                                <w:p>
                                  <w:pPr>
                                    <w:pStyle w:val="Normal"/>
                                    <w:spacing w:lineRule="auto" w:line="240" w:before="240" w:after="240"/>
                                    <w:ind w:right="1059" w:hanging="0"/>
                                    <w:rPr>
                                      <w:rFonts w:ascii="Trebuchet MS" w:hAnsi="Trebuchet MS" w:eastAsia="Times New Roman" w:cs="Times New Roman"/>
                                      <w:color w:val="000000"/>
                                      <w:u w:val="single"/>
                                    </w:rPr>
                                  </w:pPr>
                                  <w:r>
                                    <w:rPr>
                                      <w:rFonts w:eastAsia="Times New Roman" w:cs="Times New Roman" w:ascii="Trebuchet MS" w:hAnsi="Trebuchet MS"/>
                                      <w:color w:val="000000"/>
                                      <w:u w:val="single"/>
                                    </w:rPr>
                                  </w:r>
                                </w:p>
                              </w:tc>
                            </w:tr>
                          </w:tbl>
                        </w:txbxContent>
                      </wps:txbx>
                      <wps:bodyPr anchor="t" lIns="0" tIns="0" rIns="0" bIns="0">
                        <a:spAutoFit/>
                      </wps:bodyPr>
                    </wps:wsp>
                  </a:graphicData>
                </a:graphic>
              </wp:anchor>
            </w:drawing>
          </mc:Choice>
          <mc:Fallback>
            <w:pict>
              <v:rect style="position:absolute;rotation:0;width:480.35pt;height:841.9pt;mso-wrap-distance-left:9pt;mso-wrap-distance-right:9pt;mso-wrap-distance-top:0pt;mso-wrap-distance-bottom:0pt;margin-top:34.45pt;mso-position-vertical-relative:text;margin-left:-5.65pt;mso-position-horizontal-relative:margin">
                <v:textbox inset="0in,0in,0in,0in">
                  <w:txbxContent>
                    <w:tbl>
                      <w:tblPr>
                        <w:tblpPr w:bottomFromText="0" w:horzAnchor="margin" w:leftFromText="180" w:rightFromText="180" w:tblpX="0" w:tblpY="689" w:topFromText="0" w:vertAnchor="text"/>
                        <w:tblW w:w="9607"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9607"/>
                      </w:tblGrid>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r>
                              <w:rPr>
                                <w:rFonts w:eastAsia="Times New Roman" w:cs="Times New Roman" w:ascii="Trebuchet MS" w:hAnsi="Trebuchet MS"/>
                                <w:color w:val="000000"/>
                              </w:rPr>
                              <w:t xml:space="preserve">Name of Course and Mnemonic: </w:t>
                            </w:r>
                            <w:bookmarkStart w:id="19" w:name="__UnoMark__42_1769299242"/>
                            <w:bookmarkEnd w:id="19"/>
                            <w:r>
                              <w:rPr>
                                <w:rFonts w:eastAsia="Times New Roman" w:cs="Times New Roman" w:ascii="Trebuchet MS" w:hAnsi="Trebuchet MS"/>
                                <w:color w:val="000000"/>
                              </w:rPr>
                              <w:t>Critical Methods in MCS SOCL923</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20" w:name="__UnoMark__43_1769299242"/>
                            <w:bookmarkEnd w:id="20"/>
                            <w:r>
                              <w:rPr>
                                <w:rFonts w:eastAsia="Times New Roman" w:cs="Times New Roman" w:ascii="Trebuchet MS" w:hAnsi="Trebuchet MS"/>
                                <w:color w:val="000000"/>
                              </w:rPr>
                              <w:t xml:space="preserve">Course Convenor(s):   </w:t>
                            </w:r>
                            <w:bookmarkStart w:id="21" w:name="_GoBack1"/>
                            <w:bookmarkStart w:id="22" w:name="__UnoMark__44_1769299242"/>
                            <w:bookmarkEnd w:id="21"/>
                            <w:bookmarkEnd w:id="22"/>
                            <w:r>
                              <w:rPr>
                                <w:rFonts w:eastAsia="Times New Roman" w:cs="Times New Roman" w:ascii="Trebuchet MS" w:hAnsi="Trebuchet MS"/>
                                <w:color w:val="000000"/>
                              </w:rPr>
                              <w:t>Adrian Mackenzie</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23" w:name="__UnoMark__46_1769299242"/>
                            <w:bookmarkEnd w:id="23"/>
                            <w:r>
                              <w:rPr>
                                <w:rFonts w:eastAsia="Times New Roman" w:cs="Times New Roman" w:ascii="Trebuchet MS" w:hAnsi="Trebuchet MS"/>
                                <w:color w:val="000000"/>
                              </w:rPr>
                              <w:t xml:space="preserve">Term Taught: </w:t>
                            </w:r>
                            <w:bookmarkStart w:id="24" w:name="__UnoMark__47_1769299242"/>
                            <w:bookmarkEnd w:id="24"/>
                            <w:r>
                              <w:rPr>
                                <w:rFonts w:eastAsia="Times New Roman" w:cs="Times New Roman" w:ascii="Trebuchet MS" w:hAnsi="Trebuchet MS"/>
                                <w:color w:val="000000"/>
                              </w:rPr>
                              <w:t>2</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25" w:name="__UnoMark__48_1769299242"/>
                            <w:bookmarkEnd w:id="25"/>
                            <w:r>
                              <w:rPr>
                                <w:rFonts w:eastAsia="Times New Roman" w:cs="Times New Roman" w:ascii="Trebuchet MS" w:hAnsi="Trebuchet MS"/>
                                <w:color w:val="000000"/>
                              </w:rPr>
                              <w:t>Number of students taking the module (including break-down of those doing it for credit, auditor, students' degree scheme):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16 all for credit; all MA MCS (I think)</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bookmarkStart w:id="26" w:name="__UnoMark__49_1769299242"/>
                            <w:bookmarkStart w:id="27" w:name="__UnoMark__49_1769299242"/>
                            <w:bookmarkEnd w:id="27"/>
                            <w:r>
                              <w:rPr>
                                <w:rFonts w:eastAsia="Times New Roman" w:cs="Times New Roman" w:ascii="Trebuchet MS" w:hAnsi="Trebuchet MS"/>
                                <w:color w:val="000000"/>
                              </w:rPr>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28" w:name="__UnoMark__50_1769299242"/>
                            <w:bookmarkEnd w:id="28"/>
                            <w:r>
                              <w:rPr>
                                <w:rFonts w:eastAsia="Times New Roman" w:cs="Times New Roman" w:ascii="Trebuchet MS" w:hAnsi="Trebuchet MS"/>
                                <w:color w:val="000000"/>
                              </w:rPr>
                              <w:t>Any important elements of student feedback from the University electronic survey and/or the departmental paper survey:</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TBA</w:t>
                            </w:r>
                          </w:p>
                          <w:p>
                            <w:pPr>
                              <w:pStyle w:val="Normal"/>
                              <w:spacing w:lineRule="auto" w:line="240" w:before="240" w:after="240"/>
                              <w:ind w:right="1059" w:hanging="0"/>
                              <w:rPr>
                                <w:rFonts w:ascii="Trebuchet MS" w:hAnsi="Trebuchet MS" w:eastAsia="Times New Roman" w:cs="Times New Roman"/>
                                <w:color w:val="000000"/>
                              </w:rPr>
                            </w:pPr>
                            <w:bookmarkStart w:id="29" w:name="__UnoMark__51_1769299242"/>
                            <w:bookmarkStart w:id="30" w:name="__UnoMark__51_1769299242"/>
                            <w:bookmarkEnd w:id="30"/>
                            <w:r>
                              <w:rPr>
                                <w:rFonts w:eastAsia="Times New Roman" w:cs="Times New Roman" w:ascii="Trebuchet MS" w:hAnsi="Trebuchet MS"/>
                                <w:color w:val="000000"/>
                              </w:rPr>
                            </w:r>
                          </w:p>
                        </w:tc>
                      </w:tr>
                      <w:tr>
                        <w:trPr>
                          <w:trHeight w:val="1232"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31" w:name="__UnoMark__52_1769299242"/>
                            <w:bookmarkEnd w:id="31"/>
                            <w:r>
                              <w:rPr>
                                <w:rFonts w:eastAsia="Times New Roman" w:cs="Times New Roman" w:ascii="Trebuchet MS" w:hAnsi="Trebuchet MS"/>
                                <w:color w:val="000000"/>
                              </w:rPr>
                              <w:t>Any logistical, organisational issues (timetabling, rooms,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None to report really. The room was slightly too small, but this is fairly normal.</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bookmarkStart w:id="32" w:name="__UnoMark__53_1769299242"/>
                            <w:bookmarkStart w:id="33" w:name="__UnoMark__53_1769299242"/>
                            <w:bookmarkEnd w:id="33"/>
                            <w:r>
                              <w:rPr>
                                <w:rFonts w:eastAsia="Times New Roman" w:cs="Times New Roman" w:ascii="Trebuchet MS" w:hAnsi="Trebuchet MS"/>
                                <w:color w:val="000000"/>
                              </w:rPr>
                            </w:r>
                          </w:p>
                        </w:tc>
                      </w:tr>
                      <w:tr>
                        <w:trPr>
                          <w:trHeight w:val="96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34" w:name="__UnoMark__54_1769299242"/>
                            <w:bookmarkEnd w:id="34"/>
                            <w:r>
                              <w:rPr>
                                <w:rFonts w:eastAsia="Times New Roman" w:cs="Times New Roman" w:ascii="Trebuchet MS" w:hAnsi="Trebuchet MS"/>
                                <w:color w:val="000000"/>
                              </w:rPr>
                              <w:t>Reflections on module content and structure: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This module is based around groupwork research, as well as a series of talks with colleagues from the department. As a structure, the mixture of regular work on a project and encounters with different approaches to research seems to work well. </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 </w:t>
                            </w:r>
                            <w:r>
                              <w:rPr>
                                <w:rFonts w:eastAsia="Times New Roman" w:cs="Times New Roman" w:ascii="Trebuchet MS" w:hAnsi="Trebuchet MS"/>
                                <w:color w:val="000000"/>
                              </w:rPr>
                              <w:t xml:space="preserve">Although this is ostensibly a methods course, it places a lot of emphasis on engagement with substantial issues in contemporary media and culture. That sometimes poses problems for students new to MCS. </w:t>
                            </w:r>
                          </w:p>
                          <w:p>
                            <w:pPr>
                              <w:pStyle w:val="Normal"/>
                              <w:spacing w:lineRule="auto" w:line="240" w:before="240" w:after="240"/>
                              <w:ind w:right="1059" w:hanging="0"/>
                              <w:rPr>
                                <w:rFonts w:ascii="Trebuchet MS" w:hAnsi="Trebuchet MS" w:eastAsia="Times New Roman" w:cs="Times New Roman"/>
                                <w:color w:val="000000"/>
                              </w:rPr>
                            </w:pPr>
                            <w:bookmarkStart w:id="35" w:name="__UnoMark__55_1769299242"/>
                            <w:bookmarkStart w:id="36" w:name="__UnoMark__55_1769299242"/>
                            <w:bookmarkEnd w:id="36"/>
                            <w:r>
                              <w:rPr>
                                <w:rFonts w:eastAsia="Times New Roman" w:cs="Times New Roman" w:ascii="Trebuchet MS" w:hAnsi="Trebuchet MS"/>
                                <w:color w:val="000000"/>
                              </w:rPr>
                            </w:r>
                          </w:p>
                        </w:tc>
                      </w:tr>
                      <w:tr>
                        <w:trPr>
                          <w:trHeight w:val="979"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240" w:after="240"/>
                              <w:ind w:right="1059" w:hanging="0"/>
                              <w:rPr/>
                            </w:pPr>
                            <w:bookmarkStart w:id="37" w:name="__UnoMark__56_1769299242"/>
                            <w:bookmarkEnd w:id="37"/>
                            <w:r>
                              <w:rPr>
                                <w:rFonts w:eastAsia="Times New Roman" w:cs="Times New Roman" w:ascii="Trebuchet MS" w:hAnsi="Trebuchet MS"/>
                                <w:color w:val="000000"/>
                              </w:rPr>
                              <w:t>Comments about teaching issues (lessons learned, examples of good practice, reflections on new LT strategy introduced this year,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The best idea I had for the course this year was to unilaterally asssign group research topics, and to assign them all the same topic. In past years, I’ve allowed them to choose their own, and they’ve often floundered. This year I just set a single topic – fake news – and all the groups worked on it in different ways. That become a key part of the course experience – groups could see how other groups were developing research question or their methodology, and they seemed to learn quite a bit from that. Not sure if this is generalizable. </w:t>
                            </w:r>
                          </w:p>
                          <w:p>
                            <w:pPr>
                              <w:pStyle w:val="Normal"/>
                              <w:spacing w:lineRule="auto" w:line="240" w:before="240" w:after="240"/>
                              <w:ind w:right="1059" w:hanging="0"/>
                              <w:rPr>
                                <w:rFonts w:ascii="Trebuchet MS" w:hAnsi="Trebuchet MS" w:eastAsia="Times New Roman" w:cs="Times New Roman"/>
                                <w:color w:val="000000"/>
                                <w:u w:val="single"/>
                              </w:rPr>
                            </w:pPr>
                            <w:r>
                              <w:rPr>
                                <w:rFonts w:eastAsia="Times New Roman" w:cs="Times New Roman" w:ascii="Trebuchet MS" w:hAnsi="Trebuchet MS"/>
                                <w:color w:val="000000"/>
                                <w:u w:val="single"/>
                              </w:rPr>
                            </w:r>
                          </w:p>
                        </w:tc>
                      </w:tr>
                    </w:tbl>
                  </w:txbxContent>
                </v:textbox>
                <w10:wrap type="square"/>
              </v:rect>
            </w:pict>
          </mc:Fallback>
        </mc:AlternateContent>
      </w:r>
    </w:p>
    <w:p>
      <w:pPr>
        <w:pStyle w:val="Normal"/>
        <w:spacing w:lineRule="auto" w:line="240" w:before="0" w:after="0"/>
        <w:ind w:right="1059" w:hanging="0"/>
        <w:rPr>
          <w:rFonts w:ascii="Trebuchet MS" w:hAnsi="Trebuchet MS" w:eastAsia="Times New Roman" w:cs="Times New Roman"/>
          <w:color w:val="000000"/>
          <w:szCs w:val="24"/>
        </w:rPr>
      </w:pPr>
      <w:r>
        <w:rPr>
          <w:rFonts w:eastAsia="Times New Roman" w:cs="Times New Roman" w:ascii="Trebuchet MS" w:hAnsi="Trebuchet MS"/>
          <w:color w:val="000000"/>
          <w:szCs w:val="24"/>
        </w:rPr>
      </w:r>
    </w:p>
    <w:p>
      <w:pPr>
        <w:pStyle w:val="Normal"/>
        <w:spacing w:lineRule="auto" w:line="240" w:before="0" w:after="0"/>
        <w:ind w:right="1059" w:hanging="0"/>
        <w:rPr>
          <w:rFonts w:ascii="Trebuchet MS" w:hAnsi="Trebuchet MS" w:eastAsia="Times New Roman" w:cs="Times New Roman"/>
          <w:color w:val="000000"/>
          <w:sz w:val="24"/>
          <w:szCs w:val="24"/>
        </w:rPr>
      </w:pPr>
      <w:r>
        <w:rPr>
          <w:rFonts w:eastAsia="Times New Roman" w:cs="Times New Roman" w:ascii="Trebuchet MS" w:hAnsi="Trebuchet MS"/>
          <w:color w:val="000000"/>
          <w:sz w:val="24"/>
          <w:szCs w:val="24"/>
        </w:rPr>
      </w:r>
    </w:p>
    <w:p>
      <w:pPr>
        <w:pStyle w:val="Normal"/>
        <w:spacing w:lineRule="auto" w:line="240" w:before="0" w:after="0"/>
        <w:ind w:right="1059" w:hanging="0"/>
        <w:rPr>
          <w:rFonts w:ascii="Trebuchet MS" w:hAnsi="Trebuchet MS" w:eastAsia="Times New Roman" w:cs="Times New Roman"/>
          <w:color w:val="000000"/>
          <w:szCs w:val="24"/>
        </w:rPr>
      </w:pPr>
      <w:r>
        <w:rPr>
          <w:rFonts w:eastAsia="Times New Roman" w:cs="Times New Roman" w:ascii="Trebuchet MS" w:hAnsi="Trebuchet MS"/>
          <w:color w:val="000000"/>
          <w:szCs w:val="24"/>
        </w:rPr>
      </w:r>
    </w:p>
    <w:p>
      <w:pPr>
        <w:pStyle w:val="Normal"/>
        <w:keepNext/>
        <w:numPr>
          <w:ilvl w:val="0"/>
          <w:numId w:val="0"/>
        </w:numPr>
        <w:spacing w:lineRule="atLeast" w:line="240" w:before="0" w:after="0"/>
        <w:ind w:right="-45" w:hanging="0"/>
        <w:outlineLvl w:val="0"/>
        <w:rPr>
          <w:rFonts w:ascii="Tahoma" w:hAnsi="Tahoma" w:eastAsia="Times New Roman" w:cs="Times New Roman"/>
          <w:b/>
          <w:b/>
          <w:sz w:val="24"/>
          <w:szCs w:val="20"/>
        </w:rPr>
      </w:pPr>
      <w:r>
        <w:rPr>
          <w:rFonts w:eastAsia="Times New Roman" w:cs="Times New Roman" w:ascii="Tahoma" w:hAnsi="Tahoma"/>
          <w:b/>
          <w:sz w:val="24"/>
          <w:szCs w:val="20"/>
        </w:rPr>
      </w:r>
    </w:p>
    <w:p>
      <w:pPr>
        <w:pStyle w:val="Normal"/>
        <w:tabs>
          <w:tab w:val="left" w:pos="6982" w:leader="none"/>
        </w:tabs>
        <w:spacing w:before="0" w:after="200"/>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55dd8"/>
    <w:rPr>
      <w:color w:val="0000FF" w:themeColor="hyperlink"/>
      <w:u w:val="single"/>
    </w:rPr>
  </w:style>
  <w:style w:type="character" w:styleId="BalloonTextChar" w:customStyle="1">
    <w:name w:val="Balloon Text Char"/>
    <w:basedOn w:val="DefaultParagraphFont"/>
    <w:link w:val="BalloonText"/>
    <w:uiPriority w:val="99"/>
    <w:semiHidden/>
    <w:qFormat/>
    <w:rsid w:val="00e55dd8"/>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55dd8"/>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LibreOffice/5.3.1.2$Linux_X86_64 LibreOffice_project/30m0$Build-2</Application>
  <Pages>2</Pages>
  <Words>287</Words>
  <Characters>1487</Characters>
  <CharactersWithSpaces>1767</CharactersWithSpaces>
  <Paragraphs>16</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2017-05-24T12:42:00Z</dcterms:created>
  <dc:creator>Oulton, Claire</dc:creator>
  <dc:description/>
  <dc:language>en-GB</dc:language>
  <cp:lastModifiedBy/>
  <dcterms:modified xsi:type="dcterms:W3CDTF">2017-06-02T16:21:39Z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