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2E37A4F0">
                <wp:simplePos x="0" y="0"/>
                <wp:positionH relativeFrom="column">
                  <wp:posOffset>-342900</wp:posOffset>
                </wp:positionH>
                <wp:positionV relativeFrom="paragraph">
                  <wp:posOffset>-314325</wp:posOffset>
                </wp:positionV>
                <wp:extent cx="4650105" cy="867410"/>
                <wp:effectExtent l="0" t="0" r="0" b="0"/>
                <wp:wrapSquare wrapText="bothSides"/>
                <wp:docPr id="1" name="Text Box 1"/>
                <a:graphic xmlns:a="http://schemas.openxmlformats.org/drawingml/2006/main">
                  <a:graphicData uri="http://schemas.microsoft.com/office/word/2010/wordprocessingShape">
                    <wps:wsp>
                      <wps:cNvSpPr/>
                      <wps:spPr>
                        <a:xfrm>
                          <a:off x="0" y="0"/>
                          <a:ext cx="4649400" cy="866880"/>
                        </a:xfrm>
                        <a:prstGeom prst="rect">
                          <a:avLst/>
                        </a:prstGeom>
                        <a:solidFill>
                          <a:srgbClr val="ffffff"/>
                        </a:solidFill>
                        <a:ln>
                          <a:noFill/>
                        </a:ln>
                      </wps:spPr>
                      <wps:style>
                        <a:lnRef idx="0"/>
                        <a:fillRef idx="0"/>
                        <a:effectRef idx="0"/>
                        <a:fontRef idx="minor"/>
                      </wps:style>
                      <wps:txbx>
                        <w:txbxContent>
                          <w:p>
                            <w:pPr>
                              <w:pStyle w:val="FrameContents"/>
                              <w:rPr>
                                <w:rFonts w:ascii="Trebuchet MS" w:hAnsi="Trebuchet MS" w:cs="Arial"/>
                                <w:b/>
                                <w:b/>
                                <w:sz w:val="46"/>
                              </w:rPr>
                            </w:pPr>
                            <w:r>
                              <w:rPr>
                                <w:rFonts w:cs="Arial" w:ascii="Trebuchet MS" w:hAnsi="Trebuchet MS"/>
                                <w:b/>
                                <w:color w:val="00000A"/>
                                <w:sz w:val="46"/>
                              </w:rPr>
                              <w:t>Department of Sociology</w:t>
                            </w:r>
                          </w:p>
                          <w:p>
                            <w:pPr>
                              <w:pStyle w:val="FrameContents"/>
                              <w:rPr>
                                <w:rFonts w:ascii="Trebuchet MS" w:hAnsi="Trebuchet MS" w:cs="Arial"/>
                                <w:b/>
                                <w:b/>
                                <w:sz w:val="36"/>
                              </w:rPr>
                            </w:pPr>
                            <w:r>
                              <w:rPr>
                                <w:rFonts w:cs="Arial" w:ascii="Trebuchet MS" w:hAnsi="Trebuchet MS"/>
                                <w:b/>
                                <w:color w:val="00000A"/>
                                <w:sz w:val="36"/>
                              </w:rPr>
                              <w:t>END OF YEAR COURSE REPORT 2016/17</w:t>
                            </w:r>
                          </w:p>
                          <w:p>
                            <w:pPr>
                              <w:pStyle w:val="FrameContents"/>
                              <w:jc w:val="center"/>
                              <w:rPr>
                                <w:rFonts w:ascii="Trebuchet MS" w:hAnsi="Trebuchet MS" w:cs="Arial"/>
                                <w:b/>
                                <w:b/>
                                <w:color w:val="00000A"/>
                              </w:rPr>
                            </w:pPr>
                            <w:r>
                              <w:rPr>
                                <w:rFonts w:cs="Arial" w:ascii="Trebuchet MS" w:hAnsi="Trebuchet MS"/>
                                <w:b/>
                                <w:color w:val="00000A"/>
                              </w:rPr>
                            </w:r>
                          </w:p>
                          <w:p>
                            <w:pPr>
                              <w:pStyle w:val="FrameContents"/>
                              <w:spacing w:before="0" w:after="200"/>
                              <w:rPr/>
                            </w:pPr>
                            <w:r>
                              <w:rPr/>
                            </w:r>
                          </w:p>
                        </w:txbxContent>
                      </wps:txbx>
                      <wps:bodyPr>
                        <a:noAutofit/>
                      </wps:bodyPr>
                    </wps:wsp>
                  </a:graphicData>
                </a:graphic>
              </wp:anchor>
            </w:drawing>
          </mc:Choice>
          <mc:Fallback>
            <w:pict>
              <v:rect id="shape_0" ID="Text Box 1" fillcolor="white" stroked="f" style="position:absolute;margin-left:-27pt;margin-top:-24.75pt;width:366.05pt;height:68.2pt" wp14:anchorId="2E37A4F0">
                <w10:wrap type="square"/>
                <v:fill o:detectmouseclick="t" type="solid" color2="black"/>
                <v:stroke color="#3465a4" joinstyle="round" endcap="flat"/>
                <v:textbox>
                  <w:txbxContent>
                    <w:p>
                      <w:pPr>
                        <w:pStyle w:val="FrameContents"/>
                        <w:rPr>
                          <w:rFonts w:ascii="Trebuchet MS" w:hAnsi="Trebuchet MS" w:cs="Arial"/>
                          <w:b/>
                          <w:b/>
                          <w:sz w:val="46"/>
                        </w:rPr>
                      </w:pPr>
                      <w:r>
                        <w:rPr>
                          <w:rFonts w:cs="Arial" w:ascii="Trebuchet MS" w:hAnsi="Trebuchet MS"/>
                          <w:b/>
                          <w:color w:val="00000A"/>
                          <w:sz w:val="46"/>
                        </w:rPr>
                        <w:t>Department of Sociology</w:t>
                      </w:r>
                    </w:p>
                    <w:p>
                      <w:pPr>
                        <w:pStyle w:val="FrameContents"/>
                        <w:rPr>
                          <w:rFonts w:ascii="Trebuchet MS" w:hAnsi="Trebuchet MS" w:cs="Arial"/>
                          <w:b/>
                          <w:b/>
                          <w:sz w:val="36"/>
                        </w:rPr>
                      </w:pPr>
                      <w:r>
                        <w:rPr>
                          <w:rFonts w:cs="Arial" w:ascii="Trebuchet MS" w:hAnsi="Trebuchet MS"/>
                          <w:b/>
                          <w:color w:val="00000A"/>
                          <w:sz w:val="36"/>
                        </w:rPr>
                        <w:t>END OF YEAR COURSE REPORT 2016/17</w:t>
                      </w:r>
                    </w:p>
                    <w:p>
                      <w:pPr>
                        <w:pStyle w:val="FrameContents"/>
                        <w:jc w:val="center"/>
                        <w:rPr>
                          <w:rFonts w:ascii="Trebuchet MS" w:hAnsi="Trebuchet MS" w:cs="Arial"/>
                          <w:b/>
                          <w:b/>
                          <w:color w:val="00000A"/>
                        </w:rPr>
                      </w:pPr>
                      <w:r>
                        <w:rPr>
                          <w:rFonts w:cs="Arial" w:ascii="Trebuchet MS" w:hAnsi="Trebuchet MS"/>
                          <w:b/>
                          <w:color w:val="00000A"/>
                        </w:rPr>
                      </w:r>
                    </w:p>
                    <w:p>
                      <w:pPr>
                        <w:pStyle w:val="FrameContents"/>
                        <w:spacing w:before="0" w:after="200"/>
                        <w:rPr/>
                      </w:pPr>
                      <w:r>
                        <w:rPr/>
                      </w:r>
                    </w:p>
                  </w:txbxContent>
                </v:textbox>
              </v:rect>
            </w:pict>
          </mc:Fallback>
        </mc:AlternateContent>
        <w:drawing>
          <wp:anchor behindDoc="0" distT="0" distB="8890" distL="114300" distR="114300" simplePos="0" locked="0" layoutInCell="1" allowOverlap="1" relativeHeight="3">
            <wp:simplePos x="0" y="0"/>
            <wp:positionH relativeFrom="column">
              <wp:posOffset>4782185</wp:posOffset>
            </wp:positionH>
            <wp:positionV relativeFrom="paragraph">
              <wp:posOffset>-349885</wp:posOffset>
            </wp:positionV>
            <wp:extent cx="2158365" cy="676910"/>
            <wp:effectExtent l="0" t="0" r="0" b="0"/>
            <wp:wrapTight wrapText="bothSides">
              <wp:wrapPolygon edited="0">
                <wp:start x="-127" y="0"/>
                <wp:lineTo x="-127" y="15701"/>
                <wp:lineTo x="6767" y="19318"/>
                <wp:lineTo x="18081" y="21138"/>
                <wp:lineTo x="19424" y="21138"/>
                <wp:lineTo x="20187" y="19318"/>
                <wp:lineTo x="21342" y="14488"/>
                <wp:lineTo x="21342" y="0"/>
                <wp:lineTo x="-127"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2158365" cy="676910"/>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0" distL="114300" distR="114300" simplePos="0" locked="0" layoutInCell="1" allowOverlap="1" relativeHeight="4">
                <wp:simplePos x="0" y="0"/>
                <wp:positionH relativeFrom="margin">
                  <wp:posOffset>-71755</wp:posOffset>
                </wp:positionH>
                <wp:positionV relativeFrom="paragraph">
                  <wp:posOffset>437515</wp:posOffset>
                </wp:positionV>
                <wp:extent cx="6101715" cy="10681970"/>
                <wp:effectExtent l="0" t="0" r="0" b="0"/>
                <wp:wrapSquare wrapText="bothSides"/>
                <wp:docPr id="4" name="Frame2"/>
                <a:graphic xmlns:a="http://schemas.openxmlformats.org/drawingml/2006/main">
                  <a:graphicData uri="http://schemas.microsoft.com/office/word/2010/wordprocessingShape">
                    <wps:wsp>
                      <wps:cNvSpPr/>
                      <wps:spPr>
                        <a:xfrm>
                          <a:off x="0" y="0"/>
                          <a:ext cx="6100920" cy="10681200"/>
                        </a:xfrm>
                        <a:prstGeom prst="rect">
                          <a:avLst/>
                        </a:prstGeom>
                        <a:noFill/>
                        <a:ln>
                          <a:noFill/>
                        </a:ln>
                      </wps:spPr>
                      <wps:style>
                        <a:lnRef idx="0"/>
                        <a:fillRef idx="0"/>
                        <a:effectRef idx="0"/>
                        <a:fontRef idx="minor"/>
                      </wps:style>
                      <wps:txbx>
                        <w:txbxContent>
                          <w:tbl>
                            <w:tblPr>
                              <w:tblW w:w="960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9607"/>
                            </w:tblGrid>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r>
                                    <w:rPr>
                                      <w:rFonts w:eastAsia="Times New Roman" w:cs="Times New Roman" w:ascii="Trebuchet MS" w:hAnsi="Trebuchet MS"/>
                                      <w:color w:val="000000"/>
                                    </w:rPr>
                                    <w:t xml:space="preserve">Name of Course and Mnemonic: </w:t>
                                  </w:r>
                                  <w:bookmarkStart w:id="0" w:name="__UnoMark__42_1769299242"/>
                                  <w:bookmarkEnd w:id="0"/>
                                  <w:r>
                                    <w:rPr>
                                      <w:rFonts w:eastAsia="Times New Roman" w:cs="Times New Roman" w:ascii="Trebuchet MS" w:hAnsi="Trebuchet MS"/>
                                      <w:color w:val="000000"/>
                                    </w:rPr>
                                    <w:t>Critical Methods in MCS SOCL923</w:t>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1" w:name="__UnoMark__43_1769299242"/>
                                  <w:bookmarkEnd w:id="1"/>
                                  <w:r>
                                    <w:rPr>
                                      <w:rFonts w:eastAsia="Times New Roman" w:cs="Times New Roman" w:ascii="Trebuchet MS" w:hAnsi="Trebuchet MS"/>
                                      <w:color w:val="000000"/>
                                    </w:rPr>
                                    <w:t xml:space="preserve">Course Convenor(s):   </w:t>
                                  </w:r>
                                  <w:bookmarkStart w:id="2" w:name="_GoBack1"/>
                                  <w:bookmarkStart w:id="3" w:name="__UnoMark__44_1769299242"/>
                                  <w:bookmarkEnd w:id="2"/>
                                  <w:bookmarkEnd w:id="3"/>
                                  <w:r>
                                    <w:rPr>
                                      <w:rFonts w:eastAsia="Times New Roman" w:cs="Times New Roman" w:ascii="Trebuchet MS" w:hAnsi="Trebuchet MS"/>
                                      <w:color w:val="000000"/>
                                    </w:rPr>
                                    <w:t>Adrian Mackenzie</w:t>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4" w:name="__UnoMark__46_1769299242"/>
                                  <w:bookmarkEnd w:id="4"/>
                                  <w:r>
                                    <w:rPr>
                                      <w:rFonts w:eastAsia="Times New Roman" w:cs="Times New Roman" w:ascii="Trebuchet MS" w:hAnsi="Trebuchet MS"/>
                                      <w:color w:val="000000"/>
                                    </w:rPr>
                                    <w:t xml:space="preserve">Term Taught: </w:t>
                                  </w:r>
                                  <w:bookmarkStart w:id="5" w:name="__UnoMark__47_1769299242"/>
                                  <w:bookmarkEnd w:id="5"/>
                                  <w:r>
                                    <w:rPr>
                                      <w:rFonts w:eastAsia="Times New Roman" w:cs="Times New Roman" w:ascii="Trebuchet MS" w:hAnsi="Trebuchet MS"/>
                                      <w:color w:val="000000"/>
                                    </w:rPr>
                                    <w:t>2</w:t>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6" w:name="__UnoMark__48_1769299242"/>
                                  <w:bookmarkEnd w:id="6"/>
                                  <w:r>
                                    <w:rPr>
                                      <w:rFonts w:eastAsia="Times New Roman" w:cs="Times New Roman" w:ascii="Trebuchet MS" w:hAnsi="Trebuchet MS"/>
                                      <w:color w:val="000000"/>
                                    </w:rPr>
                                    <w:t>Number of students taking the module (including break-down of those doing it for credit, auditor, students' degree scheme):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16 all for credit; all MA MCS (I think)</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7" w:name="__UnoMark__49_1769299242"/>
                                  <w:bookmarkStart w:id="8" w:name="__UnoMark__49_1769299242"/>
                                  <w:bookmarkEnd w:id="8"/>
                                  <w:r>
                                    <w:rPr>
                                      <w:rFonts w:eastAsia="Times New Roman" w:cs="Times New Roman" w:ascii="Trebuchet MS" w:hAnsi="Trebuchet MS"/>
                                      <w:color w:val="000000"/>
                                    </w:rPr>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9" w:name="__UnoMark__50_1769299242"/>
                                  <w:bookmarkEnd w:id="9"/>
                                  <w:r>
                                    <w:rPr>
                                      <w:rFonts w:eastAsia="Times New Roman" w:cs="Times New Roman" w:ascii="Trebuchet MS" w:hAnsi="Trebuchet MS"/>
                                      <w:color w:val="000000"/>
                                    </w:rPr>
                                    <w:t>Any important elements of student feedback from the University electronic survey and/or the departmental paper survey:</w:t>
                                  </w:r>
                                </w:p>
                                <w:p>
                                  <w:pPr>
                                    <w:pStyle w:val="Normal"/>
                                    <w:spacing w:lineRule="auto" w:line="240" w:before="240" w:after="240"/>
                                    <w:ind w:right="1059" w:hanging="0"/>
                                    <w:rPr/>
                                  </w:pPr>
                                  <w:r>
                                    <w:rPr>
                                      <w:rFonts w:eastAsia="Times New Roman" w:cs="Times New Roman" w:ascii="Trebuchet MS" w:hAnsi="Trebuchet MS"/>
                                      <w:color w:val="000000"/>
                                    </w:rPr>
                                    <w:t xml:space="preserve">The paper survey comments </w:t>
                                  </w:r>
                                  <w:r>
                                    <w:rPr>
                                      <w:rFonts w:eastAsia="Times New Roman" w:cs="Times New Roman" w:ascii="Trebuchet MS" w:hAnsi="Trebuchet MS"/>
                                      <w:color w:val="000000"/>
                                    </w:rPr>
                                    <w:t xml:space="preserve">all </w:t>
                                  </w:r>
                                  <w:r>
                                    <w:rPr>
                                      <w:rFonts w:eastAsia="Times New Roman" w:cs="Times New Roman" w:ascii="Trebuchet MS" w:hAnsi="Trebuchet MS"/>
                                      <w:color w:val="000000"/>
                                    </w:rPr>
                                    <w:t xml:space="preserve">reflect positive experiences of the course (with one exception). Students like the project component, the guest visits and the group work.  </w:t>
                                  </w:r>
                                </w:p>
                                <w:p>
                                  <w:pPr>
                                    <w:pStyle w:val="Normal"/>
                                    <w:spacing w:lineRule="auto" w:line="240" w:before="240" w:after="240"/>
                                    <w:ind w:right="1059" w:hanging="0"/>
                                    <w:rPr>
                                      <w:rFonts w:ascii="Trebuchet MS" w:hAnsi="Trebuchet MS" w:eastAsia="Times New Roman" w:cs="Times New Roman"/>
                                      <w:color w:val="000000"/>
                                    </w:rPr>
                                  </w:pPr>
                                  <w:bookmarkStart w:id="10" w:name="__UnoMark__51_1769299242"/>
                                  <w:bookmarkStart w:id="11" w:name="__UnoMark__51_1769299242"/>
                                  <w:bookmarkEnd w:id="11"/>
                                  <w:r>
                                    <w:rPr>
                                      <w:rFonts w:eastAsia="Times New Roman" w:cs="Times New Roman" w:ascii="Trebuchet MS" w:hAnsi="Trebuchet MS"/>
                                      <w:color w:val="000000"/>
                                    </w:rPr>
                                  </w:r>
                                </w:p>
                              </w:tc>
                            </w:tr>
                            <w:tr>
                              <w:trPr>
                                <w:trHeight w:val="1232"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12" w:name="__UnoMark__52_1769299242"/>
                                  <w:bookmarkEnd w:id="12"/>
                                  <w:r>
                                    <w:rPr>
                                      <w:rFonts w:eastAsia="Times New Roman" w:cs="Times New Roman" w:ascii="Trebuchet MS" w:hAnsi="Trebuchet MS"/>
                                      <w:color w:val="000000"/>
                                    </w:rPr>
                                    <w:t>Any logistical, organisational issues (timetabling, rooms,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None to report really. The room was slightly too small, but this is fairly normal.</w:t>
                                  </w:r>
                                </w:p>
                                <w:p>
                                  <w:pPr>
                                    <w:pStyle w:val="Normal"/>
                                    <w:spacing w:lineRule="auto" w:line="240" w:before="240" w:after="240"/>
                                    <w:ind w:right="1059" w:hanging="0"/>
                                    <w:rPr/>
                                  </w:pPr>
                                  <w:bookmarkStart w:id="13" w:name="__UnoMark__53_1769299242"/>
                                  <w:bookmarkEnd w:id="13"/>
                                  <w:r>
                                    <w:rPr>
                                      <w:rFonts w:eastAsia="Times New Roman" w:cs="Times New Roman" w:ascii="Trebuchet MS" w:hAnsi="Trebuchet MS"/>
                                      <w:color w:val="000000"/>
                                    </w:rPr>
                                    <w:t xml:space="preserve">Students and I really appreciate colleagues (Deville, Meissner, Gilloch, Jensen, Fish) who give up time to be interviewed. But I do have trouble coordinating colleagues visits with course content. </w:t>
                                  </w:r>
                                </w:p>
                              </w:tc>
                            </w:tr>
                            <w:tr>
                              <w:trPr>
                                <w:trHeight w:val="96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14" w:name="__UnoMark__54_1769299242"/>
                                  <w:bookmarkEnd w:id="14"/>
                                  <w:r>
                                    <w:rPr>
                                      <w:rFonts w:eastAsia="Times New Roman" w:cs="Times New Roman" w:ascii="Trebuchet MS" w:hAnsi="Trebuchet MS"/>
                                      <w:color w:val="000000"/>
                                    </w:rPr>
                                    <w:t>Reflections on module content and structure: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This module is based around groupwork research, as well as a series of talks with colleagues from the department. As a structure, the mixture of regular work on a project and encounters with different approaches to research seems to work well. </w:t>
                                  </w:r>
                                </w:p>
                                <w:p>
                                  <w:pPr>
                                    <w:pStyle w:val="Normal"/>
                                    <w:spacing w:lineRule="auto" w:line="240" w:before="240" w:after="240"/>
                                    <w:ind w:right="1059" w:hanging="0"/>
                                    <w:rPr/>
                                  </w:pPr>
                                  <w:r>
                                    <w:rPr>
                                      <w:rFonts w:eastAsia="Times New Roman" w:cs="Times New Roman" w:ascii="Trebuchet MS" w:hAnsi="Trebuchet MS"/>
                                      <w:color w:val="000000"/>
                                    </w:rPr>
                                    <w:t xml:space="preserve"> </w:t>
                                  </w:r>
                                  <w:bookmarkStart w:id="15" w:name="__UnoMark__55_1769299242"/>
                                  <w:bookmarkEnd w:id="15"/>
                                  <w:r>
                                    <w:rPr>
                                      <w:rFonts w:eastAsia="Times New Roman" w:cs="Times New Roman" w:ascii="Trebuchet MS" w:hAnsi="Trebuchet MS"/>
                                      <w:color w:val="000000"/>
                                    </w:rPr>
                                    <w:t xml:space="preserve">Although this is ostensibly a methods course, it places a lot of emphasis on engagement with substantial issues in contemporary media and culture. That sometimes poses problems for students new to MCS. </w:t>
                                  </w:r>
                                </w:p>
                              </w:tc>
                            </w:tr>
                            <w:tr>
                              <w:trPr>
                                <w:trHeight w:val="979"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16" w:name="__UnoMark__56_1769299242"/>
                                  <w:bookmarkEnd w:id="16"/>
                                  <w:r>
                                    <w:rPr>
                                      <w:rFonts w:eastAsia="Times New Roman" w:cs="Times New Roman" w:ascii="Trebuchet MS" w:hAnsi="Trebuchet MS"/>
                                      <w:color w:val="000000"/>
                                    </w:rPr>
                                    <w:t>Comments about teaching issues (lessons learned, examples of good practice, reflections on new LT strategy introduced this year, etc.)</w:t>
                                  </w:r>
                                </w:p>
                                <w:p>
                                  <w:pPr>
                                    <w:pStyle w:val="Normal"/>
                                    <w:spacing w:lineRule="auto" w:line="240" w:before="240" w:after="240"/>
                                    <w:ind w:right="1059" w:hanging="0"/>
                                    <w:rPr/>
                                  </w:pPr>
                                  <w:r>
                                    <w:rPr>
                                      <w:rFonts w:eastAsia="Times New Roman" w:cs="Times New Roman" w:ascii="Trebuchet MS" w:hAnsi="Trebuchet MS"/>
                                      <w:color w:val="000000"/>
                                    </w:rPr>
                                    <w:t xml:space="preserve">The best idea I had for the course this year was to unilaterally asssign group research topics, and to assign them all the same topic. In past years, I’ve allowed them to choose their own, and they’ve often floundered. This year I just set a single topic – fake news – and all the groups worked on it in different ways. That become a key part of the course experience – groups could see how other groups were developing research question or their methodology, and they seemed to learn quite a bit from that. Not sure if this is generalizable. </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5.65pt;margin-top:34.45pt;width:480.35pt;height:841pt;mso-position-horizontal-relative:margin">
                <w10:wrap type="none"/>
                <v:fill o:detectmouseclick="t" on="false"/>
                <v:stroke color="#3465a4" joinstyle="round" endcap="flat"/>
                <v:textbox>
                  <w:txbxContent>
                    <w:tbl>
                      <w:tblPr>
                        <w:tblW w:w="960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9607"/>
                      </w:tblGrid>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r>
                              <w:rPr>
                                <w:rFonts w:eastAsia="Times New Roman" w:cs="Times New Roman" w:ascii="Trebuchet MS" w:hAnsi="Trebuchet MS"/>
                                <w:color w:val="000000"/>
                              </w:rPr>
                              <w:t xml:space="preserve">Name of Course and Mnemonic: </w:t>
                            </w:r>
                            <w:bookmarkStart w:id="17" w:name="__UnoMark__42_1769299242"/>
                            <w:bookmarkEnd w:id="17"/>
                            <w:r>
                              <w:rPr>
                                <w:rFonts w:eastAsia="Times New Roman" w:cs="Times New Roman" w:ascii="Trebuchet MS" w:hAnsi="Trebuchet MS"/>
                                <w:color w:val="000000"/>
                              </w:rPr>
                              <w:t>Critical Methods in MCS SOCL923</w:t>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18" w:name="__UnoMark__43_1769299242"/>
                            <w:bookmarkEnd w:id="18"/>
                            <w:r>
                              <w:rPr>
                                <w:rFonts w:eastAsia="Times New Roman" w:cs="Times New Roman" w:ascii="Trebuchet MS" w:hAnsi="Trebuchet MS"/>
                                <w:color w:val="000000"/>
                              </w:rPr>
                              <w:t xml:space="preserve">Course Convenor(s):   </w:t>
                            </w:r>
                            <w:bookmarkStart w:id="19" w:name="_GoBack1"/>
                            <w:bookmarkStart w:id="20" w:name="__UnoMark__44_1769299242"/>
                            <w:bookmarkEnd w:id="19"/>
                            <w:bookmarkEnd w:id="20"/>
                            <w:r>
                              <w:rPr>
                                <w:rFonts w:eastAsia="Times New Roman" w:cs="Times New Roman" w:ascii="Trebuchet MS" w:hAnsi="Trebuchet MS"/>
                                <w:color w:val="000000"/>
                              </w:rPr>
                              <w:t>Adrian Mackenzie</w:t>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21" w:name="__UnoMark__46_1769299242"/>
                            <w:bookmarkEnd w:id="21"/>
                            <w:r>
                              <w:rPr>
                                <w:rFonts w:eastAsia="Times New Roman" w:cs="Times New Roman" w:ascii="Trebuchet MS" w:hAnsi="Trebuchet MS"/>
                                <w:color w:val="000000"/>
                              </w:rPr>
                              <w:t xml:space="preserve">Term Taught: </w:t>
                            </w:r>
                            <w:bookmarkStart w:id="22" w:name="__UnoMark__47_1769299242"/>
                            <w:bookmarkEnd w:id="22"/>
                            <w:r>
                              <w:rPr>
                                <w:rFonts w:eastAsia="Times New Roman" w:cs="Times New Roman" w:ascii="Trebuchet MS" w:hAnsi="Trebuchet MS"/>
                                <w:color w:val="000000"/>
                              </w:rPr>
                              <w:t>2</w:t>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23" w:name="__UnoMark__48_1769299242"/>
                            <w:bookmarkEnd w:id="23"/>
                            <w:r>
                              <w:rPr>
                                <w:rFonts w:eastAsia="Times New Roman" w:cs="Times New Roman" w:ascii="Trebuchet MS" w:hAnsi="Trebuchet MS"/>
                                <w:color w:val="000000"/>
                              </w:rPr>
                              <w:t>Number of students taking the module (including break-down of those doing it for credit, auditor, students' degree scheme):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16 all for credit; all MA MCS (I think)</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r>
                          </w:p>
                          <w:p>
                            <w:pPr>
                              <w:pStyle w:val="Normal"/>
                              <w:spacing w:lineRule="auto" w:line="240" w:before="240" w:after="240"/>
                              <w:ind w:right="1059" w:hanging="0"/>
                              <w:rPr>
                                <w:rFonts w:ascii="Trebuchet MS" w:hAnsi="Trebuchet MS" w:eastAsia="Times New Roman" w:cs="Times New Roman"/>
                                <w:color w:val="000000"/>
                              </w:rPr>
                            </w:pPr>
                            <w:bookmarkStart w:id="24" w:name="__UnoMark__49_1769299242"/>
                            <w:bookmarkStart w:id="25" w:name="__UnoMark__49_1769299242"/>
                            <w:bookmarkEnd w:id="25"/>
                            <w:r>
                              <w:rPr>
                                <w:rFonts w:eastAsia="Times New Roman" w:cs="Times New Roman" w:ascii="Trebuchet MS" w:hAnsi="Trebuchet MS"/>
                                <w:color w:val="000000"/>
                              </w:rPr>
                            </w:r>
                          </w:p>
                        </w:tc>
                      </w:tr>
                      <w:tr>
                        <w:trPr>
                          <w:trHeight w:val="73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26" w:name="__UnoMark__50_1769299242"/>
                            <w:bookmarkEnd w:id="26"/>
                            <w:r>
                              <w:rPr>
                                <w:rFonts w:eastAsia="Times New Roman" w:cs="Times New Roman" w:ascii="Trebuchet MS" w:hAnsi="Trebuchet MS"/>
                                <w:color w:val="000000"/>
                              </w:rPr>
                              <w:t>Any important elements of student feedback from the University electronic survey and/or the departmental paper survey:</w:t>
                            </w:r>
                          </w:p>
                          <w:p>
                            <w:pPr>
                              <w:pStyle w:val="Normal"/>
                              <w:spacing w:lineRule="auto" w:line="240" w:before="240" w:after="240"/>
                              <w:ind w:right="1059" w:hanging="0"/>
                              <w:rPr/>
                            </w:pPr>
                            <w:r>
                              <w:rPr>
                                <w:rFonts w:eastAsia="Times New Roman" w:cs="Times New Roman" w:ascii="Trebuchet MS" w:hAnsi="Trebuchet MS"/>
                                <w:color w:val="000000"/>
                              </w:rPr>
                              <w:t xml:space="preserve">The paper survey comments </w:t>
                            </w:r>
                            <w:r>
                              <w:rPr>
                                <w:rFonts w:eastAsia="Times New Roman" w:cs="Times New Roman" w:ascii="Trebuchet MS" w:hAnsi="Trebuchet MS"/>
                                <w:color w:val="000000"/>
                              </w:rPr>
                              <w:t xml:space="preserve">all </w:t>
                            </w:r>
                            <w:r>
                              <w:rPr>
                                <w:rFonts w:eastAsia="Times New Roman" w:cs="Times New Roman" w:ascii="Trebuchet MS" w:hAnsi="Trebuchet MS"/>
                                <w:color w:val="000000"/>
                              </w:rPr>
                              <w:t xml:space="preserve">reflect positive experiences of the course (with one exception). Students like the project component, the guest visits and the group work.  </w:t>
                            </w:r>
                          </w:p>
                          <w:p>
                            <w:pPr>
                              <w:pStyle w:val="Normal"/>
                              <w:spacing w:lineRule="auto" w:line="240" w:before="240" w:after="240"/>
                              <w:ind w:right="1059" w:hanging="0"/>
                              <w:rPr>
                                <w:rFonts w:ascii="Trebuchet MS" w:hAnsi="Trebuchet MS" w:eastAsia="Times New Roman" w:cs="Times New Roman"/>
                                <w:color w:val="000000"/>
                              </w:rPr>
                            </w:pPr>
                            <w:bookmarkStart w:id="27" w:name="__UnoMark__51_1769299242"/>
                            <w:bookmarkStart w:id="28" w:name="__UnoMark__51_1769299242"/>
                            <w:bookmarkEnd w:id="28"/>
                            <w:r>
                              <w:rPr>
                                <w:rFonts w:eastAsia="Times New Roman" w:cs="Times New Roman" w:ascii="Trebuchet MS" w:hAnsi="Trebuchet MS"/>
                                <w:color w:val="000000"/>
                              </w:rPr>
                            </w:r>
                          </w:p>
                        </w:tc>
                      </w:tr>
                      <w:tr>
                        <w:trPr>
                          <w:trHeight w:val="1232"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29" w:name="__UnoMark__52_1769299242"/>
                            <w:bookmarkEnd w:id="29"/>
                            <w:r>
                              <w:rPr>
                                <w:rFonts w:eastAsia="Times New Roman" w:cs="Times New Roman" w:ascii="Trebuchet MS" w:hAnsi="Trebuchet MS"/>
                                <w:color w:val="000000"/>
                              </w:rPr>
                              <w:t>Any logistical, organisational issues (timetabling, rooms, etc.):</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None to report really. The room was slightly too small, but this is fairly normal.</w:t>
                            </w:r>
                          </w:p>
                          <w:p>
                            <w:pPr>
                              <w:pStyle w:val="Normal"/>
                              <w:spacing w:lineRule="auto" w:line="240" w:before="240" w:after="240"/>
                              <w:ind w:right="1059" w:hanging="0"/>
                              <w:rPr/>
                            </w:pPr>
                            <w:bookmarkStart w:id="30" w:name="__UnoMark__53_1769299242"/>
                            <w:bookmarkEnd w:id="30"/>
                            <w:r>
                              <w:rPr>
                                <w:rFonts w:eastAsia="Times New Roman" w:cs="Times New Roman" w:ascii="Trebuchet MS" w:hAnsi="Trebuchet MS"/>
                                <w:color w:val="000000"/>
                              </w:rPr>
                              <w:t xml:space="preserve">Students and I really appreciate colleagues (Deville, Meissner, Gilloch, Jensen, Fish) who give up time to be interviewed. But I do have trouble coordinating colleagues visits with course content. </w:t>
                            </w:r>
                          </w:p>
                        </w:tc>
                      </w:tr>
                      <w:tr>
                        <w:trPr>
                          <w:trHeight w:val="966"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31" w:name="__UnoMark__54_1769299242"/>
                            <w:bookmarkEnd w:id="31"/>
                            <w:r>
                              <w:rPr>
                                <w:rFonts w:eastAsia="Times New Roman" w:cs="Times New Roman" w:ascii="Trebuchet MS" w:hAnsi="Trebuchet MS"/>
                                <w:color w:val="000000"/>
                              </w:rPr>
                              <w:t>Reflections on module content and structure:</w:t>
                            </w:r>
                          </w:p>
                          <w:p>
                            <w:pPr>
                              <w:pStyle w:val="Normal"/>
                              <w:spacing w:lineRule="auto" w:line="240" w:before="240" w:after="240"/>
                              <w:ind w:right="1059" w:hanging="0"/>
                              <w:rPr>
                                <w:rFonts w:ascii="Trebuchet MS" w:hAnsi="Trebuchet MS" w:eastAsia="Times New Roman" w:cs="Times New Roman"/>
                                <w:color w:val="000000"/>
                              </w:rPr>
                            </w:pPr>
                            <w:r>
                              <w:rPr>
                                <w:rFonts w:eastAsia="Times New Roman" w:cs="Times New Roman" w:ascii="Trebuchet MS" w:hAnsi="Trebuchet MS"/>
                                <w:color w:val="000000"/>
                              </w:rPr>
                              <w:t xml:space="preserve">This module is based around groupwork research, as well as a series of talks with colleagues from the department. As a structure, the mixture of regular work on a project and encounters with different approaches to research seems to work well. </w:t>
                            </w:r>
                          </w:p>
                          <w:p>
                            <w:pPr>
                              <w:pStyle w:val="Normal"/>
                              <w:spacing w:lineRule="auto" w:line="240" w:before="240" w:after="240"/>
                              <w:ind w:right="1059" w:hanging="0"/>
                              <w:rPr/>
                            </w:pPr>
                            <w:r>
                              <w:rPr>
                                <w:rFonts w:eastAsia="Times New Roman" w:cs="Times New Roman" w:ascii="Trebuchet MS" w:hAnsi="Trebuchet MS"/>
                                <w:color w:val="000000"/>
                              </w:rPr>
                              <w:t xml:space="preserve"> </w:t>
                            </w:r>
                            <w:bookmarkStart w:id="32" w:name="__UnoMark__55_1769299242"/>
                            <w:bookmarkEnd w:id="32"/>
                            <w:r>
                              <w:rPr>
                                <w:rFonts w:eastAsia="Times New Roman" w:cs="Times New Roman" w:ascii="Trebuchet MS" w:hAnsi="Trebuchet MS"/>
                                <w:color w:val="000000"/>
                              </w:rPr>
                              <w:t xml:space="preserve">Although this is ostensibly a methods course, it places a lot of emphasis on engagement with substantial issues in contemporary media and culture. That sometimes poses problems for students new to MCS. </w:t>
                            </w:r>
                          </w:p>
                        </w:tc>
                      </w:tr>
                      <w:tr>
                        <w:trPr>
                          <w:trHeight w:val="979" w:hRule="atLeast"/>
                          <w:cantSplit w:val="true"/>
                        </w:trPr>
                        <w:tc>
                          <w:tcPr>
                            <w:tcW w:w="9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240" w:after="240"/>
                              <w:ind w:right="1059" w:hanging="0"/>
                              <w:rPr/>
                            </w:pPr>
                            <w:bookmarkStart w:id="33" w:name="__UnoMark__56_1769299242"/>
                            <w:bookmarkEnd w:id="33"/>
                            <w:r>
                              <w:rPr>
                                <w:rFonts w:eastAsia="Times New Roman" w:cs="Times New Roman" w:ascii="Trebuchet MS" w:hAnsi="Trebuchet MS"/>
                                <w:color w:val="000000"/>
                              </w:rPr>
                              <w:t>Comments about teaching issues (lessons learned, examples of good practice, reflections on new LT strategy introduced this year, etc.)</w:t>
                            </w:r>
                          </w:p>
                          <w:p>
                            <w:pPr>
                              <w:pStyle w:val="Normal"/>
                              <w:spacing w:lineRule="auto" w:line="240" w:before="240" w:after="240"/>
                              <w:ind w:right="1059" w:hanging="0"/>
                              <w:rPr/>
                            </w:pPr>
                            <w:r>
                              <w:rPr>
                                <w:rFonts w:eastAsia="Times New Roman" w:cs="Times New Roman" w:ascii="Trebuchet MS" w:hAnsi="Trebuchet MS"/>
                                <w:color w:val="000000"/>
                              </w:rPr>
                              <w:t xml:space="preserve">The best idea I had for the course this year was to unilaterally asssign group research topics, and to assign them all the same topic. In past years, I’ve allowed them to choose their own, and they’ve often floundered. This year I just set a single topic – fake news – and all the groups worked on it in different ways. That become a key part of the course experience – groups could see how other groups were developing research question or their methodology, and they seemed to learn quite a bit from that. Not sure if this is generalizable. </w:t>
                            </w:r>
                          </w:p>
                        </w:tc>
                      </w:tr>
                    </w:tbl>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ind w:right="1059" w:hanging="0"/>
        <w:rPr>
          <w:rFonts w:ascii="Trebuchet MS" w:hAnsi="Trebuchet MS" w:eastAsia="Times New Roman" w:cs="Times New Roman"/>
          <w:color w:val="000000"/>
          <w:szCs w:val="24"/>
        </w:rPr>
      </w:pPr>
      <w:r>
        <w:rPr>
          <w:rFonts w:eastAsia="Times New Roman" w:cs="Times New Roman" w:ascii="Trebuchet MS" w:hAnsi="Trebuchet MS"/>
          <w:color w:val="000000"/>
          <w:szCs w:val="24"/>
        </w:rPr>
      </w:r>
    </w:p>
    <w:p>
      <w:pPr>
        <w:pStyle w:val="Normal"/>
        <w:spacing w:lineRule="auto" w:line="240" w:before="0" w:after="0"/>
        <w:ind w:right="1059" w:hanging="0"/>
        <w:rPr>
          <w:rFonts w:ascii="Trebuchet MS" w:hAnsi="Trebuchet MS" w:eastAsia="Times New Roman" w:cs="Times New Roman"/>
          <w:color w:val="000000"/>
          <w:sz w:val="24"/>
          <w:szCs w:val="24"/>
        </w:rPr>
      </w:pPr>
      <w:r>
        <w:rPr>
          <w:rFonts w:eastAsia="Times New Roman" w:cs="Times New Roman" w:ascii="Trebuchet MS" w:hAnsi="Trebuchet MS"/>
          <w:color w:val="000000"/>
          <w:sz w:val="24"/>
          <w:szCs w:val="24"/>
        </w:rPr>
      </w:r>
    </w:p>
    <w:p>
      <w:pPr>
        <w:pStyle w:val="Normal"/>
        <w:spacing w:lineRule="auto" w:line="240" w:before="0" w:after="0"/>
        <w:ind w:right="1059" w:hanging="0"/>
        <w:rPr>
          <w:rFonts w:ascii="Trebuchet MS" w:hAnsi="Trebuchet MS" w:eastAsia="Times New Roman" w:cs="Times New Roman"/>
          <w:color w:val="000000"/>
          <w:szCs w:val="24"/>
        </w:rPr>
      </w:pPr>
      <w:r>
        <w:rPr>
          <w:rFonts w:eastAsia="Times New Roman" w:cs="Times New Roman" w:ascii="Trebuchet MS" w:hAnsi="Trebuchet MS"/>
          <w:color w:val="000000"/>
          <w:szCs w:val="24"/>
        </w:rPr>
      </w:r>
    </w:p>
    <w:p>
      <w:pPr>
        <w:pStyle w:val="Normal"/>
        <w:keepNext/>
        <w:numPr>
          <w:ilvl w:val="0"/>
          <w:numId w:val="0"/>
        </w:numPr>
        <w:spacing w:lineRule="atLeast" w:line="240" w:before="0" w:after="0"/>
        <w:ind w:right="-45" w:hanging="0"/>
        <w:outlineLvl w:val="0"/>
        <w:rPr>
          <w:rFonts w:ascii="Tahoma" w:hAnsi="Tahoma" w:eastAsia="Times New Roman" w:cs="Times New Roman"/>
          <w:b/>
          <w:b/>
          <w:sz w:val="24"/>
          <w:szCs w:val="20"/>
        </w:rPr>
      </w:pPr>
      <w:r>
        <w:rPr>
          <w:rFonts w:eastAsia="Times New Roman" w:cs="Times New Roman" w:ascii="Tahoma" w:hAnsi="Tahoma"/>
          <w:b/>
          <w:sz w:val="24"/>
          <w:szCs w:val="20"/>
        </w:rPr>
      </w:r>
    </w:p>
    <w:p>
      <w:pPr>
        <w:pStyle w:val="Normal"/>
        <w:tabs>
          <w:tab w:val="left" w:pos="6982" w:leader="none"/>
        </w:tabs>
        <w:spacing w:before="0" w:after="20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55dd8"/>
    <w:rPr>
      <w:color w:val="0000FF" w:themeColor="hyperlink"/>
      <w:u w:val="single"/>
    </w:rPr>
  </w:style>
  <w:style w:type="character" w:styleId="BalloonTextChar" w:customStyle="1">
    <w:name w:val="Balloon Text Char"/>
    <w:basedOn w:val="DefaultParagraphFont"/>
    <w:link w:val="BalloonText"/>
    <w:uiPriority w:val="99"/>
    <w:semiHidden/>
    <w:qFormat/>
    <w:rsid w:val="00e55dd8"/>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55dd8"/>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LibreOffice/5.3.1.2$Linux_X86_64 LibreOffice_project/30m0$Build-2</Application>
  <Pages>2</Pages>
  <Words>341</Words>
  <Characters>1794</Characters>
  <CharactersWithSpaces>2130</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2017-05-24T12:42:00Z</dcterms:created>
  <dc:creator>Oulton, Claire</dc:creator>
  <dc:description/>
  <dc:language>en-GB</dc:language>
  <cp:lastModifiedBy/>
  <dcterms:modified xsi:type="dcterms:W3CDTF">2017-06-16T16:10:23Z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