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23D6D"/>
          <w:sz w:val="40"/>
          <w:szCs w:val="40"/>
        </w:rPr>
        <w:t xml:space="preserve">PLAN DE PREPARACIÓN BACKEND</w:t>
      </w:r>
    </w:p>
    <w:p>
      <w:pPr>
        <w:spacing w:after="100"/>
        <w:jc w:val="center"/>
      </w:pPr>
      <w:r>
        <w:rPr>
          <w:color w:val="305887"/>
          <w:sz w:val="24"/>
          <w:szCs w:val="24"/>
        </w:rPr>
        <w:t xml:space="preserve">Python · Django/DRF · FastAPI · Celery · AWS · Kubernetes · Terraform · CI/CD</w:t>
      </w:r>
    </w:p>
    <w:p>
      <w:pPr>
        <w:spacing w:after="400"/>
        <w:jc w:val="center"/>
      </w:pPr>
      <w:r>
        <w:rPr>
          <w:i/>
          <w:iCs/>
          <w:color w:val="595959"/>
          <w:sz w:val="22"/>
          <w:szCs w:val="22"/>
        </w:rPr>
        <w:t xml:space="preserve">Resumen consolidado — Días 1 a 12</w:t>
      </w:r>
    </w:p>
    <w:p>
      <w:pPr>
        <w:pBdr>
          <w:bottom w:val="single" w:color="FABB5A" w:sz="12" w:space="4"/>
        </w:pBdr>
        <w:spacing w:after="200"/>
        <w:jc w:val="center"/>
      </w:pPr>
      <w:r>
        <w:rPr>
          <w:sz w:val="4"/>
          <w:szCs w:val="4"/>
        </w:rPr>
        <w:t xml:space="preserve">  </w:t>
      </w:r>
    </w:p>
    <w:p>
      <w:pPr>
        <w:spacing w:after="120"/>
      </w:pPr>
      <w:r>
        <w:rPr>
          <w:i/>
          <w:iCs/>
          <w:color w:val="595959"/>
          <w:sz w:val="21"/>
          <w:szCs w:val="21"/>
        </w:rPr>
        <w:t xml:space="preserve">Este documento resume, día por día, el contenido técnico cubierto, las herramientas practicadas y los problemas reales diagnosticados y resueltos durante la preparación intensiva para una entrevista de Backend Engineer, con foco en un stack Python 3.12+/Django-DRF/FastAPI/AWS/Kubernetes.</w:t>
      </w:r>
    </w:p>
    <w:p>
      <w:pPr>
        <w:spacing w:after="120"/>
      </w:pPr>
      <w:r>
        <w:rPr>
          <w:i/>
          <w:iCs/>
          <w:color w:val="595959"/>
          <w:sz w:val="21"/>
          <w:szCs w:val="21"/>
        </w:rPr>
        <w:t xml:space="preserve">Repositorio de referencia: github.com/rianeiromiron/dia2-django-prep (CI en verde).</w:t>
      </w:r>
    </w:p>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400"/>
        <w:gridCol w:w="7950"/>
      </w:tblGrid>
      <w:tr>
        <w:tc>
          <w:tcPr>
            <w:tcW w:type="dxa" w:w="1400"/>
            <w:shd w:fill="123D6D" w:val="clear"/>
            <w:tcMar>
              <w:top w:type="dxa" w:w="100"/>
              <w:left w:type="dxa" w:w="120"/>
              <w:bottom w:type="dxa" w:w="100"/>
              <w:right w:type="dxa" w:w="120"/>
            </w:tcMar>
            <w:vAlign w:val="center"/>
          </w:tcPr>
          <w:p>
            <w:pPr>
              <w:jc w:val="center"/>
            </w:pPr>
            <w:r>
              <w:rPr>
                <w:b/>
                <w:bCs/>
                <w:color w:val="FFFFFF"/>
                <w:sz w:val="20"/>
                <w:szCs w:val="20"/>
              </w:rPr>
              <w:t xml:space="preserve">DÍA 1</w:t>
            </w:r>
          </w:p>
        </w:tc>
        <w:tc>
          <w:tcPr>
            <w:tcW w:type="dxa" w:w="7950"/>
            <w:shd w:fill="EDF1F6" w:val="clear"/>
            <w:tcMar>
              <w:top w:type="dxa" w:w="100"/>
              <w:left w:type="dxa" w:w="160"/>
              <w:bottom w:type="dxa" w:w="100"/>
              <w:right w:type="dxa" w:w="120"/>
            </w:tcMar>
            <w:vAlign w:val="center"/>
          </w:tcPr>
          <w:p>
            <w:r>
              <w:rPr>
                <w:b/>
                <w:bCs/>
                <w:color w:val="123D6D"/>
                <w:sz w:val="22"/>
                <w:szCs w:val="22"/>
              </w:rPr>
              <w:t xml:space="preserve">Fundamentos de Python moderno</w:t>
            </w:r>
          </w:p>
        </w:tc>
      </w:tr>
    </w:tbl>
    <w:p>
      <w:pPr>
        <w:spacing w:after="100"/>
      </w:pPr>
    </w:p>
    <w:p>
      <w:pPr>
        <w:spacing w:after="80" w:before="160"/>
      </w:pPr>
      <w:r>
        <w:rPr>
          <w:b/>
          <w:bCs/>
          <w:color w:val="123D6D"/>
          <w:sz w:val="21"/>
          <w:szCs w:val="21"/>
        </w:rPr>
        <w:t xml:space="preserve">Entorno de trabajo</w:t>
      </w:r>
    </w:p>
    <w:p>
      <w:pPr>
        <w:pStyle w:val="ListParagraph"/>
        <w:numPr>
          <w:ilvl w:val="0"/>
          <w:numId w:val="2"/>
        </w:numPr>
        <w:spacing w:after="60"/>
      </w:pPr>
      <w:r>
        <w:rPr>
          <w:sz w:val="21"/>
          <w:szCs w:val="21"/>
        </w:rPr>
        <w:t xml:space="preserve">Instalación de Python 3.13 en Windows, configuración de PATH.</w:t>
      </w:r>
    </w:p>
    <w:p>
      <w:pPr>
        <w:pStyle w:val="ListParagraph"/>
        <w:numPr>
          <w:ilvl w:val="0"/>
          <w:numId w:val="2"/>
        </w:numPr>
        <w:spacing w:after="60"/>
      </w:pPr>
      <w:r>
        <w:rPr>
          <w:sz w:val="21"/>
          <w:szCs w:val="21"/>
        </w:rPr>
        <w:t xml:space="preserve">Entornos virtuales (venv) por proyecto: creación, activación (Activate.ps1) y política de ejecución de PowerShell (Set-ExecutionPolicy).</w:t>
      </w:r>
    </w:p>
    <w:p>
      <w:pPr>
        <w:pStyle w:val="ListParagraph"/>
        <w:numPr>
          <w:ilvl w:val="0"/>
          <w:numId w:val="2"/>
        </w:numPr>
        <w:spacing w:after="60"/>
      </w:pPr>
      <w:r>
        <w:rPr>
          <w:sz w:val="21"/>
          <w:szCs w:val="21"/>
        </w:rPr>
        <w:t xml:space="preserve">Integración de Ruff (linting) y mypy (type checking) en VS Code, con feedback en tiempo real.</w:t>
      </w:r>
    </w:p>
    <w:p>
      <w:pPr>
        <w:spacing w:after="80" w:before="160"/>
      </w:pPr>
      <w:r>
        <w:rPr>
          <w:b/>
          <w:bCs/>
          <w:color w:val="123D6D"/>
          <w:sz w:val="21"/>
          <w:szCs w:val="21"/>
        </w:rPr>
        <w:t xml:space="preserve">Lenguaje</w:t>
      </w:r>
    </w:p>
    <w:p>
      <w:pPr>
        <w:pStyle w:val="ListParagraph"/>
        <w:numPr>
          <w:ilvl w:val="0"/>
          <w:numId w:val="2"/>
        </w:numPr>
        <w:spacing w:after="60"/>
      </w:pPr>
      <w:r>
        <w:rPr>
          <w:sz w:val="21"/>
          <w:szCs w:val="21"/>
        </w:rPr>
        <w:t xml:space="preserve">Type hints modernos: str | None (en vez de Optional), list[int], dict[str, str].</w:t>
      </w:r>
    </w:p>
    <w:p>
      <w:pPr>
        <w:pStyle w:val="ListParagraph"/>
        <w:numPr>
          <w:ilvl w:val="0"/>
          <w:numId w:val="2"/>
        </w:numPr>
        <w:spacing w:after="60"/>
      </w:pPr>
      <w:r>
        <w:rPr>
          <w:sz w:val="21"/>
          <w:szCs w:val="21"/>
        </w:rPr>
        <w:t xml:space="preserve">async/await: diferencia entre ejecución secuencial y concurrente con asyncio.gather; el error clásico de olvidar await sobre una coroutine.</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Coroutine sin await</w:t>
            </w:r>
          </w:p>
          <w:p>
            <w:r>
              <w:rPr>
                <w:color w:val="3A3A3A"/>
                <w:sz w:val="20"/>
                <w:szCs w:val="20"/>
              </w:rPr>
              <w:t xml:space="preserve">Llamar una función async sin await regresa un objeto Coroutine, no el valor — no es indexable ni utilizable directamente. mypy detecta este error antes de ejecutar el código.</w:t>
            </w:r>
          </w:p>
        </w:tc>
      </w:tr>
    </w:tbl>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400"/>
        <w:gridCol w:w="7950"/>
      </w:tblGrid>
      <w:tr>
        <w:tc>
          <w:tcPr>
            <w:tcW w:type="dxa" w:w="1400"/>
            <w:shd w:fill="123D6D" w:val="clear"/>
            <w:tcMar>
              <w:top w:type="dxa" w:w="100"/>
              <w:left w:type="dxa" w:w="120"/>
              <w:bottom w:type="dxa" w:w="100"/>
              <w:right w:type="dxa" w:w="120"/>
            </w:tcMar>
            <w:vAlign w:val="center"/>
          </w:tcPr>
          <w:p>
            <w:pPr>
              <w:jc w:val="center"/>
            </w:pPr>
            <w:r>
              <w:rPr>
                <w:b/>
                <w:bCs/>
                <w:color w:val="FFFFFF"/>
                <w:sz w:val="20"/>
                <w:szCs w:val="20"/>
              </w:rPr>
              <w:t xml:space="preserve">DÍA 2</w:t>
            </w:r>
          </w:p>
        </w:tc>
        <w:tc>
          <w:tcPr>
            <w:tcW w:type="dxa" w:w="7950"/>
            <w:shd w:fill="EDF1F6" w:val="clear"/>
            <w:tcMar>
              <w:top w:type="dxa" w:w="100"/>
              <w:left w:type="dxa" w:w="160"/>
              <w:bottom w:type="dxa" w:w="100"/>
              <w:right w:type="dxa" w:w="120"/>
            </w:tcMar>
            <w:vAlign w:val="center"/>
          </w:tcPr>
          <w:p>
            <w:r>
              <w:rPr>
                <w:b/>
                <w:bCs/>
                <w:color w:val="123D6D"/>
                <w:sz w:val="22"/>
                <w:szCs w:val="22"/>
              </w:rPr>
              <w:t xml:space="preserve">Django — Arquitectura y ORM</w:t>
            </w:r>
          </w:p>
        </w:tc>
      </w:tr>
    </w:tbl>
    <w:p>
      <w:pPr>
        <w:spacing w:after="100"/>
      </w:pPr>
    </w:p>
    <w:p>
      <w:pPr>
        <w:spacing w:after="80" w:before="160"/>
      </w:pPr>
      <w:r>
        <w:rPr>
          <w:b/>
          <w:bCs/>
          <w:color w:val="123D6D"/>
          <w:sz w:val="21"/>
          <w:szCs w:val="21"/>
        </w:rPr>
        <w:t xml:space="preserve">Arquitectura de proyecto</w:t>
      </w:r>
    </w:p>
    <w:p>
      <w:pPr>
        <w:pStyle w:val="ListParagraph"/>
        <w:numPr>
          <w:ilvl w:val="0"/>
          <w:numId w:val="2"/>
        </w:numPr>
        <w:spacing w:after="60"/>
      </w:pPr>
      <w:r>
        <w:rPr>
          <w:sz w:val="21"/>
          <w:szCs w:val="21"/>
        </w:rPr>
        <w:t xml:space="preserve">startproject / startapp, estructura de apps, INSTALLED_APPS.</w:t>
      </w:r>
    </w:p>
    <w:p>
      <w:pPr>
        <w:pStyle w:val="ListParagraph"/>
        <w:numPr>
          <w:ilvl w:val="0"/>
          <w:numId w:val="2"/>
        </w:numPr>
        <w:spacing w:after="60"/>
      </w:pPr>
      <w:r>
        <w:rPr>
          <w:b/>
          <w:bCs/>
          <w:sz w:val="21"/>
          <w:szCs w:val="21"/>
        </w:rPr>
        <w:t xml:space="preserve">Filosofía "baterías incluidas": </w:t>
      </w:r>
      <w:r>
        <w:rPr>
          <w:sz w:val="21"/>
          <w:szCs w:val="21"/>
        </w:rPr>
        <w:t xml:space="preserve">Django trae auth, admin y ORM integrados de fábrica, a diferencia del enfoque más minimalista de NestJS.</w:t>
      </w:r>
    </w:p>
    <w:p>
      <w:pPr>
        <w:spacing w:after="80" w:before="160"/>
      </w:pPr>
      <w:r>
        <w:rPr>
          <w:b/>
          <w:bCs/>
          <w:color w:val="123D6D"/>
          <w:sz w:val="21"/>
          <w:szCs w:val="21"/>
        </w:rPr>
        <w:t xml:space="preserve">ORM y modelos</w:t>
      </w:r>
    </w:p>
    <w:p>
      <w:pPr>
        <w:pStyle w:val="ListParagraph"/>
        <w:numPr>
          <w:ilvl w:val="0"/>
          <w:numId w:val="2"/>
        </w:numPr>
        <w:spacing w:after="60"/>
      </w:pPr>
      <w:r>
        <w:rPr>
          <w:sz w:val="21"/>
          <w:szCs w:val="21"/>
        </w:rPr>
        <w:t xml:space="preserve">Modelos como clases Python (models.Model), TextChoices como equivalente a un enum, ForeignKey con on_delete y related_name obligatorios.</w:t>
      </w:r>
    </w:p>
    <w:p>
      <w:pPr>
        <w:pStyle w:val="ListParagraph"/>
        <w:numPr>
          <w:ilvl w:val="0"/>
          <w:numId w:val="2"/>
        </w:numPr>
        <w:spacing w:after="60"/>
      </w:pPr>
      <w:r>
        <w:rPr>
          <w:sz w:val="21"/>
          <w:szCs w:val="21"/>
        </w:rPr>
        <w:t xml:space="preserve">Migraciones (makemigrations / migrate) como historial versionado del esquema.</w:t>
      </w:r>
    </w:p>
    <w:p>
      <w:pPr>
        <w:pStyle w:val="ListParagraph"/>
        <w:numPr>
          <w:ilvl w:val="0"/>
          <w:numId w:val="2"/>
        </w:numPr>
        <w:spacing w:after="60"/>
      </w:pPr>
      <w:r>
        <w:rPr>
          <w:sz w:val="21"/>
          <w:szCs w:val="21"/>
        </w:rPr>
        <w:t xml:space="preserve">Django Admin: panel autogenerado a partir de los modelos, incluyendo inlines para relaciones maestro-detalle.</w:t>
      </w:r>
    </w:p>
    <w:p>
      <w:pPr>
        <w:spacing w:after="80" w:before="160"/>
      </w:pPr>
      <w:r>
        <w:rPr>
          <w:b/>
          <w:bCs/>
          <w:color w:val="123D6D"/>
          <w:sz w:val="21"/>
          <w:szCs w:val="21"/>
        </w:rPr>
        <w:t xml:space="preserve">Problema N+1</w:t>
      </w:r>
    </w:p>
    <w:p>
      <w:pPr>
        <w:pStyle w:val="ListParagraph"/>
        <w:numPr>
          <w:ilvl w:val="0"/>
          <w:numId w:val="2"/>
        </w:numPr>
        <w:spacing w:after="60"/>
      </w:pPr>
      <w:r>
        <w:rPr>
          <w:sz w:val="21"/>
          <w:szCs w:val="21"/>
        </w:rPr>
        <w:t xml:space="preserve">Identificado y comprobado con SQL real vía connection.queries: 2 trámites → 3 queries sin optimizar.</w:t>
      </w:r>
    </w:p>
    <w:p>
      <w:pPr>
        <w:pStyle w:val="ListParagraph"/>
        <w:numPr>
          <w:ilvl w:val="0"/>
          <w:numId w:val="2"/>
        </w:numPr>
        <w:spacing w:after="60"/>
      </w:pPr>
      <w:r>
        <w:rPr>
          <w:sz w:val="21"/>
          <w:szCs w:val="21"/>
        </w:rPr>
        <w:t xml:space="preserve">Resuelto con prefetch_related (relaciones inversas / M2M) → 2 queries totales.</w:t>
      </w:r>
    </w:p>
    <w:p>
      <w:pPr>
        <w:pStyle w:val="ListParagraph"/>
        <w:numPr>
          <w:ilvl w:val="0"/>
          <w:numId w:val="2"/>
        </w:numPr>
        <w:spacing w:after="60"/>
      </w:pPr>
      <w:r>
        <w:rPr>
          <w:b/>
          <w:bCs/>
          <w:sz w:val="21"/>
          <w:szCs w:val="21"/>
        </w:rPr>
        <w:t xml:space="preserve">select_related vs prefetch_related: </w:t>
      </w:r>
      <w:r>
        <w:rPr>
          <w:sz w:val="21"/>
          <w:szCs w:val="21"/>
        </w:rPr>
        <w:t xml:space="preserve">select_related hace JOIN SQL para relaciones "hacia adelante" (FK); prefetch_related hace una segunda query con IN (...) para relaciones inversas.</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django-stubs / mypy.ini mal ubicado</w:t>
            </w:r>
          </w:p>
          <w:p>
            <w:r>
              <w:rPr>
                <w:color w:val="3A3A3A"/>
                <w:sz w:val="20"/>
                <w:szCs w:val="20"/>
              </w:rPr>
              <w:t xml:space="preserve">VS Code guardó mypy.ini dentro de config/ en vez de la raíz del proyecto, por lo que mypy usaba su configuración por defecto (sin plugin de Django) y exigía anotaciones manuales en cada campo del modelo. Diagnosticado con --verbose (Config File: Default) y corregido moviendo el archivo a la raíz.</w:t>
            </w:r>
          </w:p>
        </w:tc>
      </w:tr>
    </w:tbl>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400"/>
        <w:gridCol w:w="7950"/>
      </w:tblGrid>
      <w:tr>
        <w:tc>
          <w:tcPr>
            <w:tcW w:type="dxa" w:w="1400"/>
            <w:shd w:fill="123D6D" w:val="clear"/>
            <w:tcMar>
              <w:top w:type="dxa" w:w="100"/>
              <w:left w:type="dxa" w:w="120"/>
              <w:bottom w:type="dxa" w:w="100"/>
              <w:right w:type="dxa" w:w="120"/>
            </w:tcMar>
            <w:vAlign w:val="center"/>
          </w:tcPr>
          <w:p>
            <w:pPr>
              <w:jc w:val="center"/>
            </w:pPr>
            <w:r>
              <w:rPr>
                <w:b/>
                <w:bCs/>
                <w:color w:val="FFFFFF"/>
                <w:sz w:val="20"/>
                <w:szCs w:val="20"/>
              </w:rPr>
              <w:t xml:space="preserve">DÍA 3</w:t>
            </w:r>
          </w:p>
        </w:tc>
        <w:tc>
          <w:tcPr>
            <w:tcW w:type="dxa" w:w="7950"/>
            <w:shd w:fill="EDF1F6" w:val="clear"/>
            <w:tcMar>
              <w:top w:type="dxa" w:w="100"/>
              <w:left w:type="dxa" w:w="160"/>
              <w:bottom w:type="dxa" w:w="100"/>
              <w:right w:type="dxa" w:w="120"/>
            </w:tcMar>
            <w:vAlign w:val="center"/>
          </w:tcPr>
          <w:p>
            <w:r>
              <w:rPr>
                <w:b/>
                <w:bCs/>
                <w:color w:val="123D6D"/>
                <w:sz w:val="22"/>
                <w:szCs w:val="22"/>
              </w:rPr>
              <w:t xml:space="preserve">Django REST Framework y JWT</w:t>
            </w:r>
          </w:p>
        </w:tc>
      </w:tr>
    </w:tbl>
    <w:p>
      <w:pPr>
        <w:spacing w:after="100"/>
      </w:pPr>
    </w:p>
    <w:p>
      <w:pPr>
        <w:spacing w:after="80" w:before="160"/>
      </w:pPr>
      <w:r>
        <w:rPr>
          <w:b/>
          <w:bCs/>
          <w:color w:val="123D6D"/>
          <w:sz w:val="21"/>
          <w:szCs w:val="21"/>
        </w:rPr>
        <w:t xml:space="preserve">Serializers y ViewSets</w:t>
      </w:r>
    </w:p>
    <w:p>
      <w:pPr>
        <w:pStyle w:val="ListParagraph"/>
        <w:numPr>
          <w:ilvl w:val="0"/>
          <w:numId w:val="2"/>
        </w:numPr>
        <w:spacing w:after="60"/>
      </w:pPr>
      <w:r>
        <w:rPr>
          <w:sz w:val="21"/>
          <w:szCs w:val="21"/>
        </w:rPr>
        <w:t xml:space="preserve">ModelSerializer: generación automática de validación a partir del modelo; serializers anidados (comentarios dentro de un trámite).</w:t>
      </w:r>
    </w:p>
    <w:p>
      <w:pPr>
        <w:pStyle w:val="ListParagraph"/>
        <w:numPr>
          <w:ilvl w:val="0"/>
          <w:numId w:val="2"/>
        </w:numPr>
        <w:spacing w:after="60"/>
      </w:pPr>
      <w:r>
        <w:rPr>
          <w:sz w:val="21"/>
          <w:szCs w:val="21"/>
        </w:rPr>
        <w:t xml:space="preserve">ClassVar para campos de clase inmutables (fields), resolviendo la regla RUF012 de Ruff.</w:t>
      </w:r>
    </w:p>
    <w:p>
      <w:pPr>
        <w:pStyle w:val="ListParagraph"/>
        <w:numPr>
          <w:ilvl w:val="0"/>
          <w:numId w:val="2"/>
        </w:numPr>
        <w:spacing w:after="60"/>
      </w:pPr>
      <w:r>
        <w:rPr>
          <w:sz w:val="21"/>
          <w:szCs w:val="21"/>
        </w:rPr>
        <w:t xml:space="preserve">ModelViewSet + DefaultRouter: CRUD completo generado sin escribir endpoints manualmente.</w:t>
      </w:r>
    </w:p>
    <w:p>
      <w:pPr>
        <w:pStyle w:val="ListParagraph"/>
        <w:numPr>
          <w:ilvl w:val="0"/>
          <w:numId w:val="2"/>
        </w:numPr>
        <w:spacing w:after="60"/>
      </w:pPr>
      <w:r>
        <w:rPr>
          <w:sz w:val="21"/>
          <w:szCs w:val="21"/>
        </w:rPr>
        <w:t xml:space="preserve">Browsable API de DRF para pruebas interactivas sin Postman.</w:t>
      </w:r>
    </w:p>
    <w:p>
      <w:pPr>
        <w:spacing w:after="80" w:before="160"/>
      </w:pPr>
      <w:r>
        <w:rPr>
          <w:b/>
          <w:bCs/>
          <w:color w:val="123D6D"/>
          <w:sz w:val="21"/>
          <w:szCs w:val="21"/>
        </w:rPr>
        <w:t xml:space="preserve">Autenticación JWT</w:t>
      </w:r>
    </w:p>
    <w:p>
      <w:pPr>
        <w:pStyle w:val="ListParagraph"/>
        <w:numPr>
          <w:ilvl w:val="0"/>
          <w:numId w:val="2"/>
        </w:numPr>
        <w:spacing w:after="60"/>
      </w:pPr>
      <w:r>
        <w:rPr>
          <w:sz w:val="21"/>
          <w:szCs w:val="21"/>
        </w:rPr>
        <w:t xml:space="preserve">djangorestframework-simplejwt: endpoints /api/token/ y /api/token/refresh/.</w:t>
      </w:r>
    </w:p>
    <w:p>
      <w:pPr>
        <w:pStyle w:val="ListParagraph"/>
        <w:numPr>
          <w:ilvl w:val="0"/>
          <w:numId w:val="2"/>
        </w:numPr>
        <w:spacing w:after="60"/>
      </w:pPr>
      <w:r>
        <w:rPr>
          <w:sz w:val="21"/>
          <w:szCs w:val="21"/>
        </w:rPr>
        <w:t xml:space="preserve">DEFAULT_PERMISSION_CLASSES = IsAuthenticated como default seguro.</w:t>
      </w:r>
    </w:p>
    <w:p>
      <w:pPr>
        <w:pStyle w:val="ListParagraph"/>
        <w:numPr>
          <w:ilvl w:val="0"/>
          <w:numId w:val="2"/>
        </w:numPr>
        <w:spacing w:after="60"/>
      </w:pPr>
      <w:r>
        <w:rPr>
          <w:sz w:val="21"/>
          <w:szCs w:val="21"/>
        </w:rPr>
        <w:t xml:space="preserve">Flujo probado end-to-end con PowerShell: 401 sin token → 200 con Bearer token.</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djangorestframework-stubs faltante</w:t>
            </w:r>
          </w:p>
          <w:p>
            <w:r>
              <w:rPr>
                <w:color w:val="3A3A3A"/>
                <w:sz w:val="20"/>
                <w:szCs w:val="20"/>
              </w:rPr>
              <w:t xml:space="preserve">mypy fallaba con import-untyped al analizar rest_framework. Resuelto instalando djangorestframework-stubs y agregando mypy_drf_plugin.main a la lista de plugins en mypy.ini.</w:t>
            </w:r>
          </w:p>
        </w:tc>
      </w:tr>
    </w:tbl>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400"/>
        <w:gridCol w:w="7950"/>
      </w:tblGrid>
      <w:tr>
        <w:tc>
          <w:tcPr>
            <w:tcW w:type="dxa" w:w="1400"/>
            <w:shd w:fill="123D6D" w:val="clear"/>
            <w:tcMar>
              <w:top w:type="dxa" w:w="100"/>
              <w:left w:type="dxa" w:w="120"/>
              <w:bottom w:type="dxa" w:w="100"/>
              <w:right w:type="dxa" w:w="120"/>
            </w:tcMar>
            <w:vAlign w:val="center"/>
          </w:tcPr>
          <w:p>
            <w:pPr>
              <w:jc w:val="center"/>
            </w:pPr>
            <w:r>
              <w:rPr>
                <w:b/>
                <w:bCs/>
                <w:color w:val="FFFFFF"/>
                <w:sz w:val="20"/>
                <w:szCs w:val="20"/>
              </w:rPr>
              <w:t xml:space="preserve">DÍA 4</w:t>
            </w:r>
          </w:p>
        </w:tc>
        <w:tc>
          <w:tcPr>
            <w:tcW w:type="dxa" w:w="7950"/>
            <w:shd w:fill="EDF1F6" w:val="clear"/>
            <w:tcMar>
              <w:top w:type="dxa" w:w="100"/>
              <w:left w:type="dxa" w:w="160"/>
              <w:bottom w:type="dxa" w:w="100"/>
              <w:right w:type="dxa" w:w="120"/>
            </w:tcMar>
            <w:vAlign w:val="center"/>
          </w:tcPr>
          <w:p>
            <w:r>
              <w:rPr>
                <w:b/>
                <w:bCs/>
                <w:color w:val="123D6D"/>
                <w:sz w:val="22"/>
                <w:szCs w:val="22"/>
              </w:rPr>
              <w:t xml:space="preserve">Celery + Redis y FastAPI</w:t>
            </w:r>
          </w:p>
        </w:tc>
      </w:tr>
    </w:tbl>
    <w:p>
      <w:pPr>
        <w:spacing w:after="100"/>
      </w:pPr>
    </w:p>
    <w:p>
      <w:pPr>
        <w:spacing w:after="80" w:before="160"/>
      </w:pPr>
      <w:r>
        <w:rPr>
          <w:b/>
          <w:bCs/>
          <w:color w:val="123D6D"/>
          <w:sz w:val="21"/>
          <w:szCs w:val="21"/>
        </w:rPr>
        <w:t xml:space="preserve">Tareas asíncronas con Celery</w:t>
      </w:r>
    </w:p>
    <w:p>
      <w:pPr>
        <w:pStyle w:val="ListParagraph"/>
        <w:numPr>
          <w:ilvl w:val="0"/>
          <w:numId w:val="2"/>
        </w:numPr>
        <w:spacing w:after="60"/>
      </w:pPr>
      <w:r>
        <w:rPr>
          <w:sz w:val="21"/>
          <w:szCs w:val="21"/>
        </w:rPr>
        <w:t xml:space="preserve">Redis como broker (contenedor Docker), Celery configurado vía config/celery.py + autodiscover_tasks().</w:t>
      </w:r>
    </w:p>
    <w:p>
      <w:pPr>
        <w:pStyle w:val="ListParagraph"/>
        <w:numPr>
          <w:ilvl w:val="0"/>
          <w:numId w:val="2"/>
        </w:numPr>
        <w:spacing w:after="60"/>
      </w:pPr>
      <w:r>
        <w:rPr>
          <w:sz w:val="21"/>
          <w:szCs w:val="21"/>
        </w:rPr>
        <w:t xml:space="preserve">@shared_task y .delay(): la tarea se encola y la respuesta HTTP no espera su ejecución.</w:t>
      </w:r>
    </w:p>
    <w:p>
      <w:pPr>
        <w:pStyle w:val="ListParagraph"/>
        <w:numPr>
          <w:ilvl w:val="0"/>
          <w:numId w:val="2"/>
        </w:numPr>
        <w:spacing w:after="60"/>
      </w:pPr>
      <w:r>
        <w:rPr>
          <w:sz w:val="21"/>
          <w:szCs w:val="21"/>
        </w:rPr>
        <w:t xml:space="preserve">--pool=solo necesario en Windows por limitaciones de fork(); en Linux/producción se usaría prefork.</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Conflicto de nombre config/celery.py</w:t>
            </w:r>
          </w:p>
          <w:p>
            <w:r>
              <w:rPr>
                <w:color w:val="3A3A3A"/>
                <w:sz w:val="20"/>
                <w:szCs w:val="20"/>
              </w:rPr>
              <w:t xml:space="preserve">Al analizar el archivo, mypy/Python resolvían mal el import 'from celery import Celery' por compartir nombre con el propio módulo. La causa real resultó ser que Celery nunca se había instalado en el venv correcto (quedó instalado en otra terminal) — una vez instalado en el venv activo, el problema desapareció.</w:t>
            </w:r>
          </w:p>
        </w:tc>
      </w:tr>
    </w:tbl>
    <w:p>
      <w:pPr>
        <w:spacing w:after="80" w:before="160"/>
      </w:pPr>
      <w:r>
        <w:rPr>
          <w:b/>
          <w:bCs/>
          <w:color w:val="123D6D"/>
          <w:sz w:val="21"/>
          <w:szCs w:val="21"/>
        </w:rPr>
        <w:t xml:space="preserve">FastAPI</w:t>
      </w:r>
    </w:p>
    <w:p>
      <w:pPr>
        <w:pStyle w:val="ListParagraph"/>
        <w:numPr>
          <w:ilvl w:val="0"/>
          <w:numId w:val="2"/>
        </w:numPr>
        <w:spacing w:after="60"/>
      </w:pPr>
      <w:r>
        <w:rPr>
          <w:sz w:val="21"/>
          <w:szCs w:val="21"/>
        </w:rPr>
        <w:t xml:space="preserve">Rutas por decorador (parecido a NestJS), Pydantic BaseModel para validación de request/response.</w:t>
      </w:r>
    </w:p>
    <w:p>
      <w:pPr>
        <w:pStyle w:val="ListParagraph"/>
        <w:numPr>
          <w:ilvl w:val="0"/>
          <w:numId w:val="2"/>
        </w:numPr>
        <w:spacing w:after="60"/>
      </w:pPr>
      <w:r>
        <w:rPr>
          <w:sz w:val="21"/>
          <w:szCs w:val="21"/>
        </w:rPr>
        <w:t xml:space="preserve">Documentación OpenAPI/Swagger autogenerada en /docs, sin configuración adicional.</w:t>
      </w:r>
    </w:p>
    <w:p>
      <w:pPr>
        <w:pStyle w:val="ListParagraph"/>
        <w:numPr>
          <w:ilvl w:val="0"/>
          <w:numId w:val="2"/>
        </w:numPr>
        <w:spacing w:after="60"/>
      </w:pPr>
      <w:r>
        <w:rPr>
          <w:b/>
          <w:bCs/>
          <w:sz w:val="21"/>
          <w:szCs w:val="21"/>
        </w:rPr>
        <w:t xml:space="preserve">Validación estática vs runtime: </w:t>
      </w:r>
      <w:r>
        <w:rPr>
          <w:sz w:val="21"/>
          <w:szCs w:val="21"/>
        </w:rPr>
        <w:t xml:space="preserve">mypy revisa el código fuente antes de ejecutarlo; Pydantic valida datos externos impredecibles en tiempo real (ej. coerción de "3" a 3, pero rechazo de "no soy un numero").</w:t>
      </w:r>
    </w:p>
    <w:p>
      <w:pPr>
        <w:spacing w:after="80" w:before="160"/>
      </w:pPr>
      <w:r>
        <w:rPr>
          <w:b/>
          <w:bCs/>
          <w:color w:val="123D6D"/>
          <w:sz w:val="21"/>
          <w:szCs w:val="21"/>
        </w:rPr>
        <w:t xml:space="preserve">Comunicación servicio-a-servicio</w:t>
      </w:r>
    </w:p>
    <w:p>
      <w:pPr>
        <w:pStyle w:val="ListParagraph"/>
        <w:numPr>
          <w:ilvl w:val="0"/>
          <w:numId w:val="2"/>
        </w:numPr>
        <w:spacing w:after="60"/>
      </w:pPr>
      <w:r>
        <w:rPr>
          <w:sz w:val="21"/>
          <w:szCs w:val="21"/>
        </w:rPr>
        <w:t xml:space="preserve">FastAPI llamando a la API de Django con httpx.AsyncClient; primer intento falló con 401 por no enviar token.</w:t>
      </w:r>
    </w:p>
    <w:p>
      <w:pPr>
        <w:pStyle w:val="ListParagraph"/>
        <w:numPr>
          <w:ilvl w:val="0"/>
          <w:numId w:val="2"/>
        </w:numPr>
        <w:spacing w:after="60"/>
      </w:pPr>
      <w:r>
        <w:rPr>
          <w:sz w:val="21"/>
          <w:szCs w:val="21"/>
        </w:rPr>
        <w:t xml:space="preserve">Patrones de autenticación entre servicios discutidos: client credentials (OAuth2), API keys estáticas, JWT interno firmado, o confianza de red + gateway.</w:t>
      </w:r>
    </w:p>
    <w:p>
      <w:pPr>
        <w:pStyle w:val="ListParagraph"/>
        <w:numPr>
          <w:ilvl w:val="0"/>
          <w:numId w:val="2"/>
        </w:numPr>
        <w:spacing w:after="60"/>
      </w:pPr>
      <w:r>
        <w:rPr>
          <w:sz w:val="21"/>
          <w:szCs w:val="21"/>
        </w:rPr>
        <w:t xml:space="preserve">Solución implementada: FastAPI obtiene su propio JWT llamando a /api/token/ antes de consultar el recurso.</w:t>
      </w:r>
    </w:p>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400"/>
        <w:gridCol w:w="7950"/>
      </w:tblGrid>
      <w:tr>
        <w:tc>
          <w:tcPr>
            <w:tcW w:type="dxa" w:w="1400"/>
            <w:shd w:fill="123D6D" w:val="clear"/>
            <w:tcMar>
              <w:top w:type="dxa" w:w="100"/>
              <w:left w:type="dxa" w:w="120"/>
              <w:bottom w:type="dxa" w:w="100"/>
              <w:right w:type="dxa" w:w="120"/>
            </w:tcMar>
            <w:vAlign w:val="center"/>
          </w:tcPr>
          <w:p>
            <w:pPr>
              <w:jc w:val="center"/>
            </w:pPr>
            <w:r>
              <w:rPr>
                <w:b/>
                <w:bCs/>
                <w:color w:val="FFFFFF"/>
                <w:sz w:val="20"/>
                <w:szCs w:val="20"/>
              </w:rPr>
              <w:t xml:space="preserve">DÍA 5</w:t>
            </w:r>
          </w:p>
        </w:tc>
        <w:tc>
          <w:tcPr>
            <w:tcW w:type="dxa" w:w="7950"/>
            <w:shd w:fill="EDF1F6" w:val="clear"/>
            <w:tcMar>
              <w:top w:type="dxa" w:w="100"/>
              <w:left w:type="dxa" w:w="160"/>
              <w:bottom w:type="dxa" w:w="100"/>
              <w:right w:type="dxa" w:w="120"/>
            </w:tcMar>
            <w:vAlign w:val="center"/>
          </w:tcPr>
          <w:p>
            <w:r>
              <w:rPr>
                <w:b/>
                <w:bCs/>
                <w:color w:val="123D6D"/>
                <w:sz w:val="22"/>
                <w:szCs w:val="22"/>
              </w:rPr>
              <w:t xml:space="preserve">Arquitectura Event-Driven</w:t>
            </w:r>
          </w:p>
        </w:tc>
      </w:tr>
    </w:tbl>
    <w:p>
      <w:pPr>
        <w:spacing w:after="100"/>
      </w:pPr>
    </w:p>
    <w:p>
      <w:pPr>
        <w:spacing w:after="80" w:before="160"/>
      </w:pPr>
      <w:r>
        <w:rPr>
          <w:b/>
          <w:bCs/>
          <w:color w:val="123D6D"/>
          <w:sz w:val="21"/>
          <w:szCs w:val="21"/>
        </w:rPr>
        <w:t xml:space="preserve">SNS vs SQS vs EventBridge vs Kinesis</w:t>
      </w:r>
    </w:p>
    <w:p>
      <w:pPr>
        <w:pStyle w:val="ListParagraph"/>
        <w:numPr>
          <w:ilvl w:val="0"/>
          <w:numId w:val="2"/>
        </w:numPr>
        <w:spacing w:after="60"/>
      </w:pPr>
      <w:r>
        <w:rPr>
          <w:sz w:val="21"/>
          <w:szCs w:val="21"/>
        </w:rPr>
        <w:t xml:space="preserve">Mapeo directo con la experiencia previa en Kafka: SNS ≈ pub/sub multi-consumidor; SQS ≈ cola punto a punto; EventBridge ≈ enrutamiento por reglas de contenido; Kinesis ≈ streaming de alto volumen con retención y re-lectura, muy similar a Kafka (shard ≈ partición, sequence number ≈ offset).</w:t>
      </w:r>
    </w:p>
    <w:p>
      <w:pPr>
        <w:pStyle w:val="ListParagraph"/>
        <w:numPr>
          <w:ilvl w:val="0"/>
          <w:numId w:val="2"/>
        </w:numPr>
        <w:spacing w:after="60"/>
      </w:pPr>
      <w:r>
        <w:rPr>
          <w:sz w:val="21"/>
          <w:szCs w:val="21"/>
        </w:rPr>
        <w:t xml:space="preserve">Patrón real de producción: "SNS fan-out to SQS" — un tópico SNS alimenta varias colas SQS, una por consumidor.</w:t>
      </w:r>
    </w:p>
    <w:p>
      <w:pPr>
        <w:spacing w:after="80" w:before="160"/>
      </w:pPr>
      <w:r>
        <w:rPr>
          <w:b/>
          <w:bCs/>
          <w:color w:val="123D6D"/>
          <w:sz w:val="21"/>
          <w:szCs w:val="21"/>
        </w:rPr>
        <w:t xml:space="preserve">Patrones de resiliencia</w:t>
      </w:r>
    </w:p>
    <w:p>
      <w:pPr>
        <w:pStyle w:val="ListParagraph"/>
        <w:numPr>
          <w:ilvl w:val="0"/>
          <w:numId w:val="2"/>
        </w:numPr>
        <w:spacing w:after="60"/>
      </w:pPr>
      <w:r>
        <w:rPr>
          <w:b/>
          <w:bCs/>
          <w:sz w:val="21"/>
          <w:szCs w:val="21"/>
        </w:rPr>
        <w:t xml:space="preserve">Outbox Pattern: </w:t>
      </w:r>
      <w:r>
        <w:rPr>
          <w:sz w:val="21"/>
          <w:szCs w:val="21"/>
        </w:rPr>
        <w:t xml:space="preserve">resuelve el "dual write problem" (el dato se guarda pero el evento nunca se publica) escribiendo el evento en la misma transacción de base de datos que el cambio de negocio.</w:t>
      </w:r>
    </w:p>
    <w:p>
      <w:pPr>
        <w:pStyle w:val="ListParagraph"/>
        <w:numPr>
          <w:ilvl w:val="0"/>
          <w:numId w:val="2"/>
        </w:numPr>
        <w:spacing w:after="60"/>
      </w:pPr>
      <w:r>
        <w:rPr>
          <w:b/>
          <w:bCs/>
          <w:sz w:val="21"/>
          <w:szCs w:val="21"/>
        </w:rPr>
        <w:t xml:space="preserve">Idempotencia: </w:t>
      </w:r>
      <w:r>
        <w:rPr>
          <w:sz w:val="21"/>
          <w:szCs w:val="21"/>
        </w:rPr>
        <w:t xml:space="preserve">los sistemas distribuidos garantizan entrega "at-least-once", no "exactly-once"; los consumidores deben verificar un event_id antes de ejecutar efectos secundarios (cobros, folios, notificaciones).</w:t>
      </w:r>
    </w:p>
    <w:p>
      <w:pPr>
        <w:pStyle w:val="ListParagraph"/>
        <w:numPr>
          <w:ilvl w:val="0"/>
          <w:numId w:val="2"/>
        </w:numPr>
        <w:spacing w:after="60"/>
      </w:pPr>
      <w:r>
        <w:rPr>
          <w:b/>
          <w:bCs/>
          <w:sz w:val="21"/>
          <w:szCs w:val="21"/>
        </w:rPr>
        <w:t xml:space="preserve">Dead-Letter Queue: </w:t>
      </w:r>
      <w:r>
        <w:rPr>
          <w:sz w:val="21"/>
          <w:szCs w:val="21"/>
        </w:rPr>
        <w:t xml:space="preserve">evita que un mensaje con bug bloquee la cola o se pierda en reintentos infinitos; lo mueve a una cola secundaria inspeccionable tras N fallos.</w:t>
      </w:r>
    </w:p>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400"/>
        <w:gridCol w:w="7950"/>
      </w:tblGrid>
      <w:tr>
        <w:tc>
          <w:tcPr>
            <w:tcW w:type="dxa" w:w="1400"/>
            <w:shd w:fill="123D6D" w:val="clear"/>
            <w:tcMar>
              <w:top w:type="dxa" w:w="100"/>
              <w:left w:type="dxa" w:w="120"/>
              <w:bottom w:type="dxa" w:w="100"/>
              <w:right w:type="dxa" w:w="120"/>
            </w:tcMar>
            <w:vAlign w:val="center"/>
          </w:tcPr>
          <w:p>
            <w:pPr>
              <w:jc w:val="center"/>
            </w:pPr>
            <w:r>
              <w:rPr>
                <w:b/>
                <w:bCs/>
                <w:color w:val="FFFFFF"/>
                <w:sz w:val="20"/>
                <w:szCs w:val="20"/>
              </w:rPr>
              <w:t xml:space="preserve">DÍA 6</w:t>
            </w:r>
          </w:p>
        </w:tc>
        <w:tc>
          <w:tcPr>
            <w:tcW w:type="dxa" w:w="7950"/>
            <w:shd w:fill="EDF1F6" w:val="clear"/>
            <w:tcMar>
              <w:top w:type="dxa" w:w="100"/>
              <w:left w:type="dxa" w:w="160"/>
              <w:bottom w:type="dxa" w:w="100"/>
              <w:right w:type="dxa" w:w="120"/>
            </w:tcMar>
            <w:vAlign w:val="center"/>
          </w:tcPr>
          <w:p>
            <w:r>
              <w:rPr>
                <w:b/>
                <w:bCs/>
                <w:color w:val="123D6D"/>
                <w:sz w:val="22"/>
                <w:szCs w:val="22"/>
              </w:rPr>
              <w:t xml:space="preserve">AWS — Cómputo y Almacenamiento (LocalStack)</w:t>
            </w:r>
          </w:p>
        </w:tc>
      </w:tr>
    </w:tbl>
    <w:p>
      <w:pPr>
        <w:spacing w:after="100"/>
      </w:pPr>
    </w:p>
    <w:p>
      <w:pPr>
        <w:spacing w:after="80" w:before="160"/>
      </w:pPr>
      <w:r>
        <w:rPr>
          <w:b/>
          <w:bCs/>
          <w:color w:val="123D6D"/>
          <w:sz w:val="21"/>
          <w:szCs w:val="21"/>
        </w:rPr>
        <w:t xml:space="preserve">Cómputo</w:t>
      </w:r>
    </w:p>
    <w:p>
      <w:pPr>
        <w:pStyle w:val="ListParagraph"/>
        <w:numPr>
          <w:ilvl w:val="0"/>
          <w:numId w:val="2"/>
        </w:numPr>
        <w:spacing w:after="60"/>
      </w:pPr>
      <w:r>
        <w:rPr>
          <w:sz w:val="21"/>
          <w:szCs w:val="21"/>
        </w:rPr>
        <w:t xml:space="preserve">Lambda (serverless, pago por ejecución) vs EC2 (control total) vs contenedores en ECR/EKS (estándar moderno de microservicios).</w:t>
      </w:r>
    </w:p>
    <w:p>
      <w:pPr>
        <w:spacing w:after="80" w:before="160"/>
      </w:pPr>
      <w:r>
        <w:rPr>
          <w:b/>
          <w:bCs/>
          <w:color w:val="123D6D"/>
          <w:sz w:val="21"/>
          <w:szCs w:val="21"/>
        </w:rPr>
        <w:t xml:space="preserve">Almacenamiento — práctica con LocalStack + boto3</w:t>
      </w:r>
    </w:p>
    <w:p>
      <w:pPr>
        <w:pStyle w:val="ListParagraph"/>
        <w:numPr>
          <w:ilvl w:val="0"/>
          <w:numId w:val="2"/>
        </w:numPr>
        <w:spacing w:after="60"/>
      </w:pPr>
      <w:r>
        <w:rPr>
          <w:sz w:val="21"/>
          <w:szCs w:val="21"/>
        </w:rPr>
        <w:t xml:space="preserve">S3: creación de bucket, put_object / get_object / list_objects_v2 con evidencia real de subida y lectura.</w:t>
      </w:r>
    </w:p>
    <w:p>
      <w:pPr>
        <w:pStyle w:val="ListParagraph"/>
        <w:numPr>
          <w:ilvl w:val="0"/>
          <w:numId w:val="2"/>
        </w:numPr>
        <w:spacing w:after="60"/>
      </w:pPr>
      <w:r>
        <w:rPr>
          <w:sz w:val="21"/>
          <w:szCs w:val="21"/>
        </w:rPr>
        <w:t xml:space="preserve">DynamoDB: tabla con clave compuesta (partition key + sort key), esquema flexible por ítem (a diferencia del esquema fijo de un modelo Django), consulta por partition key con Key().eq().</w:t>
      </w:r>
    </w:p>
    <w:p>
      <w:pPr>
        <w:pStyle w:val="ListParagraph"/>
        <w:numPr>
          <w:ilvl w:val="0"/>
          <w:numId w:val="2"/>
        </w:numPr>
        <w:spacing w:after="60"/>
      </w:pPr>
      <w:r>
        <w:rPr>
          <w:b/>
          <w:bCs/>
          <w:sz w:val="21"/>
          <w:szCs w:val="21"/>
        </w:rPr>
        <w:t xml:space="preserve">RDS y ElastiCache: </w:t>
      </w:r>
      <w:r>
        <w:rPr>
          <w:sz w:val="21"/>
          <w:szCs w:val="21"/>
        </w:rPr>
        <w:t xml:space="preserve">versiones gestionadas de PostgreSQL y Redis que ya se conocían de experiencia previa.</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LocalStack exige licencia (freemium)</w:t>
            </w:r>
          </w:p>
          <w:p>
            <w:r>
              <w:rPr>
                <w:color w:val="3A3A3A"/>
                <w:sz w:val="20"/>
                <w:szCs w:val="20"/>
              </w:rPr>
              <w:t xml:space="preserve">Desde marzo de 2026, la imagen 'latest' de LocalStack unificó Community y Pro, exigiendo LOCALSTACK_AUTH_TOKEN incluso para uso gratuito. Resuelto creando una cuenta gratuita (Hobby plan) y pasando el token al contenedor.</w:t>
            </w:r>
          </w:p>
        </w:tc>
      </w:tr>
    </w:tbl>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400"/>
        <w:gridCol w:w="7950"/>
      </w:tblGrid>
      <w:tr>
        <w:tc>
          <w:tcPr>
            <w:tcW w:type="dxa" w:w="1400"/>
            <w:shd w:fill="123D6D" w:val="clear"/>
            <w:tcMar>
              <w:top w:type="dxa" w:w="100"/>
              <w:left w:type="dxa" w:w="120"/>
              <w:bottom w:type="dxa" w:w="100"/>
              <w:right w:type="dxa" w:w="120"/>
            </w:tcMar>
            <w:vAlign w:val="center"/>
          </w:tcPr>
          <w:p>
            <w:pPr>
              <w:jc w:val="center"/>
            </w:pPr>
            <w:r>
              <w:rPr>
                <w:b/>
                <w:bCs/>
                <w:color w:val="FFFFFF"/>
                <w:sz w:val="20"/>
                <w:szCs w:val="20"/>
              </w:rPr>
              <w:t xml:space="preserve">DÍA 7</w:t>
            </w:r>
          </w:p>
        </w:tc>
        <w:tc>
          <w:tcPr>
            <w:tcW w:type="dxa" w:w="7950"/>
            <w:shd w:fill="EDF1F6" w:val="clear"/>
            <w:tcMar>
              <w:top w:type="dxa" w:w="100"/>
              <w:left w:type="dxa" w:w="160"/>
              <w:bottom w:type="dxa" w:w="100"/>
              <w:right w:type="dxa" w:w="120"/>
            </w:tcMar>
            <w:vAlign w:val="center"/>
          </w:tcPr>
          <w:p>
            <w:r>
              <w:rPr>
                <w:b/>
                <w:bCs/>
                <w:color w:val="123D6D"/>
                <w:sz w:val="22"/>
                <w:szCs w:val="22"/>
              </w:rPr>
              <w:t xml:space="preserve">AWS — Edge, Seguridad y Terraform</w:t>
            </w:r>
          </w:p>
        </w:tc>
      </w:tr>
    </w:tbl>
    <w:p>
      <w:pPr>
        <w:spacing w:after="100"/>
      </w:pPr>
    </w:p>
    <w:p>
      <w:pPr>
        <w:spacing w:after="80" w:before="160"/>
      </w:pPr>
      <w:r>
        <w:rPr>
          <w:b/>
          <w:bCs/>
          <w:color w:val="123D6D"/>
          <w:sz w:val="21"/>
          <w:szCs w:val="21"/>
        </w:rPr>
        <w:t xml:space="preserve">Camino de una request</w:t>
      </w:r>
    </w:p>
    <w:p>
      <w:pPr>
        <w:pStyle w:val="ListParagraph"/>
        <w:numPr>
          <w:ilvl w:val="0"/>
          <w:numId w:val="2"/>
        </w:numPr>
        <w:spacing w:after="60"/>
      </w:pPr>
      <w:r>
        <w:rPr>
          <w:sz w:val="21"/>
          <w:szCs w:val="21"/>
        </w:rPr>
        <w:t xml:space="preserve">Route 53 (DNS) → CloudFront (CDN / cacheo) → WAF (firewall de aplicaciones) → ALB (balanceo de carga).</w:t>
      </w:r>
    </w:p>
    <w:p>
      <w:pPr>
        <w:pStyle w:val="ListParagraph"/>
        <w:numPr>
          <w:ilvl w:val="0"/>
          <w:numId w:val="2"/>
        </w:numPr>
        <w:spacing w:after="60"/>
      </w:pPr>
      <w:r>
        <w:rPr>
          <w:b/>
          <w:bCs/>
          <w:sz w:val="21"/>
          <w:szCs w:val="21"/>
        </w:rPr>
        <w:t xml:space="preserve">Criterio de cacheo: </w:t>
      </w:r>
      <w:r>
        <w:rPr>
          <w:sz w:val="21"/>
          <w:szCs w:val="21"/>
        </w:rPr>
        <w:t xml:space="preserve">cachear en CloudFront contenido estático o poco cambiante (catálogos); nunca datos dinámicos/personalizados por usuario sin variar por headers de autenticación.</w:t>
      </w:r>
    </w:p>
    <w:p>
      <w:pPr>
        <w:spacing w:after="80" w:before="160"/>
      </w:pPr>
      <w:r>
        <w:rPr>
          <w:b/>
          <w:bCs/>
          <w:color w:val="123D6D"/>
          <w:sz w:val="21"/>
          <w:szCs w:val="21"/>
        </w:rPr>
        <w:t xml:space="preserve">Seguridad</w:t>
      </w:r>
    </w:p>
    <w:p>
      <w:pPr>
        <w:pStyle w:val="ListParagraph"/>
        <w:numPr>
          <w:ilvl w:val="0"/>
          <w:numId w:val="2"/>
        </w:numPr>
        <w:spacing w:after="60"/>
      </w:pPr>
      <w:r>
        <w:rPr>
          <w:sz w:val="21"/>
          <w:szCs w:val="21"/>
        </w:rPr>
        <w:t xml:space="preserve">IAM: usuarios (personas) vs roles (identidad temporal para servicios); IRSA en EKS como forma correcta de dar acceso servicio-a-servicio sin credenciales fijas.</w:t>
      </w:r>
    </w:p>
    <w:p>
      <w:pPr>
        <w:pStyle w:val="ListParagraph"/>
        <w:numPr>
          <w:ilvl w:val="0"/>
          <w:numId w:val="2"/>
        </w:numPr>
        <w:spacing w:after="60"/>
      </w:pPr>
      <w:r>
        <w:rPr>
          <w:sz w:val="21"/>
          <w:szCs w:val="21"/>
        </w:rPr>
        <w:t xml:space="preserve">Secrets Manager: superior a un .env plano — rotación automática, auditoría, control de acceso vía IAM.</w:t>
      </w:r>
    </w:p>
    <w:p>
      <w:pPr>
        <w:pStyle w:val="ListParagraph"/>
        <w:numPr>
          <w:ilvl w:val="0"/>
          <w:numId w:val="2"/>
        </w:numPr>
        <w:spacing w:after="60"/>
      </w:pPr>
      <w:r>
        <w:rPr>
          <w:sz w:val="21"/>
          <w:szCs w:val="21"/>
        </w:rPr>
        <w:t xml:space="preserve">KMS: gestión de llaves de cifrado usada internamente por otros servicios de AWS.</w:t>
      </w:r>
    </w:p>
    <w:p>
      <w:pPr>
        <w:spacing w:after="80" w:before="160"/>
      </w:pPr>
      <w:r>
        <w:rPr>
          <w:b/>
          <w:bCs/>
          <w:color w:val="123D6D"/>
          <w:sz w:val="21"/>
          <w:szCs w:val="21"/>
        </w:rPr>
        <w:t xml:space="preserve">Terraform</w:t>
      </w:r>
    </w:p>
    <w:p>
      <w:pPr>
        <w:pStyle w:val="ListParagraph"/>
        <w:numPr>
          <w:ilvl w:val="0"/>
          <w:numId w:val="2"/>
        </w:numPr>
        <w:spacing w:after="60"/>
      </w:pPr>
      <w:r>
        <w:rPr>
          <w:sz w:val="21"/>
          <w:szCs w:val="21"/>
        </w:rPr>
        <w:t xml:space="preserve">Infrastructure as Code: HCL declarativo, provider "aws" apuntado a LocalStack vía endpoints personalizados.</w:t>
      </w:r>
    </w:p>
    <w:p>
      <w:pPr>
        <w:pStyle w:val="ListParagraph"/>
        <w:numPr>
          <w:ilvl w:val="0"/>
          <w:numId w:val="2"/>
        </w:numPr>
        <w:spacing w:after="60"/>
      </w:pPr>
      <w:r>
        <w:rPr>
          <w:sz w:val="21"/>
          <w:szCs w:val="21"/>
        </w:rPr>
        <w:t xml:space="preserve">Flujo init → plan → apply; el archivo terraform.tfstate como "memoria" de qué existe realmente.</w:t>
      </w:r>
    </w:p>
    <w:p>
      <w:pPr>
        <w:pStyle w:val="ListParagraph"/>
        <w:numPr>
          <w:ilvl w:val="0"/>
          <w:numId w:val="2"/>
        </w:numPr>
        <w:spacing w:after="60"/>
      </w:pPr>
      <w:r>
        <w:rPr>
          <w:b/>
          <w:bCs/>
          <w:sz w:val="21"/>
          <w:szCs w:val="21"/>
        </w:rPr>
        <w:t xml:space="preserve">State drift: </w:t>
      </w:r>
      <w:r>
        <w:rPr>
          <w:sz w:val="21"/>
          <w:szCs w:val="21"/>
        </w:rPr>
        <w:t xml:space="preserve">Terraform detecta discrepancias entre el estado guardado y la realidad verificada vía API en cada plan (paso de "refresh").</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s3_use_path_style</w:t>
            </w:r>
          </w:p>
          <w:p>
            <w:r>
              <w:rPr>
                <w:color w:val="3A3A3A"/>
                <w:sz w:val="20"/>
                <w:szCs w:val="20"/>
              </w:rPr>
              <w:t xml:space="preserve">El provider de AWS intentaba resolver buckets como subdominio (bucket.localhost:4566), lo cual no es resoluble en local. Corregido con s3_use_path_style = true para forzar el estilo de acceso basado en ruta.</w:t>
            </w:r>
          </w:p>
        </w:tc>
      </w:tr>
    </w:tbl>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400"/>
        <w:gridCol w:w="7950"/>
      </w:tblGrid>
      <w:tr>
        <w:tc>
          <w:tcPr>
            <w:tcW w:type="dxa" w:w="1400"/>
            <w:shd w:fill="123D6D" w:val="clear"/>
            <w:tcMar>
              <w:top w:type="dxa" w:w="100"/>
              <w:left w:type="dxa" w:w="120"/>
              <w:bottom w:type="dxa" w:w="100"/>
              <w:right w:type="dxa" w:w="120"/>
            </w:tcMar>
            <w:vAlign w:val="center"/>
          </w:tcPr>
          <w:p>
            <w:pPr>
              <w:jc w:val="center"/>
            </w:pPr>
            <w:r>
              <w:rPr>
                <w:b/>
                <w:bCs/>
                <w:color w:val="FFFFFF"/>
                <w:sz w:val="20"/>
                <w:szCs w:val="20"/>
              </w:rPr>
              <w:t xml:space="preserve">DÍA 8</w:t>
            </w:r>
          </w:p>
        </w:tc>
        <w:tc>
          <w:tcPr>
            <w:tcW w:type="dxa" w:w="7950"/>
            <w:shd w:fill="EDF1F6" w:val="clear"/>
            <w:tcMar>
              <w:top w:type="dxa" w:w="100"/>
              <w:left w:type="dxa" w:w="160"/>
              <w:bottom w:type="dxa" w:w="100"/>
              <w:right w:type="dxa" w:w="120"/>
            </w:tcMar>
            <w:vAlign w:val="center"/>
          </w:tcPr>
          <w:p>
            <w:r>
              <w:rPr>
                <w:b/>
                <w:bCs/>
                <w:color w:val="123D6D"/>
                <w:sz w:val="22"/>
                <w:szCs w:val="22"/>
              </w:rPr>
              <w:t xml:space="preserve">Kubernetes — Fundamentos (kind)</w:t>
            </w:r>
          </w:p>
        </w:tc>
      </w:tr>
    </w:tbl>
    <w:p>
      <w:pPr>
        <w:spacing w:after="100"/>
      </w:pPr>
    </w:p>
    <w:p>
      <w:pPr>
        <w:spacing w:after="80" w:before="160"/>
      </w:pPr>
      <w:r>
        <w:rPr>
          <w:b/>
          <w:bCs/>
          <w:color w:val="123D6D"/>
          <w:sz w:val="21"/>
          <w:szCs w:val="21"/>
        </w:rPr>
        <w:t xml:space="preserve">Conceptos base</w:t>
      </w:r>
    </w:p>
    <w:p>
      <w:pPr>
        <w:pStyle w:val="ListParagraph"/>
        <w:numPr>
          <w:ilvl w:val="0"/>
          <w:numId w:val="2"/>
        </w:numPr>
        <w:spacing w:after="60"/>
      </w:pPr>
      <w:r>
        <w:rPr>
          <w:b/>
          <w:bCs/>
          <w:sz w:val="21"/>
          <w:szCs w:val="21"/>
        </w:rPr>
        <w:t xml:space="preserve">Pod: </w:t>
      </w:r>
      <w:r>
        <w:rPr>
          <w:sz w:val="21"/>
          <w:szCs w:val="21"/>
        </w:rPr>
        <w:t xml:space="preserve">unidad mínima desplegable; frágil por sí sola, nadie la recrea si falla.</w:t>
      </w:r>
    </w:p>
    <w:p>
      <w:pPr>
        <w:pStyle w:val="ListParagraph"/>
        <w:numPr>
          <w:ilvl w:val="0"/>
          <w:numId w:val="2"/>
        </w:numPr>
        <w:spacing w:after="60"/>
      </w:pPr>
      <w:r>
        <w:rPr>
          <w:b/>
          <w:bCs/>
          <w:sz w:val="21"/>
          <w:szCs w:val="21"/>
        </w:rPr>
        <w:t xml:space="preserve">Deployment: </w:t>
      </w:r>
      <w:r>
        <w:rPr>
          <w:sz w:val="21"/>
          <w:szCs w:val="21"/>
        </w:rPr>
        <w:t xml:space="preserve">garantiza N réplicas siempre activas, con auto-healing; equivalente conceptual a un Auto Scaling Group.</w:t>
      </w:r>
    </w:p>
    <w:p>
      <w:pPr>
        <w:pStyle w:val="ListParagraph"/>
        <w:numPr>
          <w:ilvl w:val="0"/>
          <w:numId w:val="2"/>
        </w:numPr>
        <w:spacing w:after="60"/>
      </w:pPr>
      <w:r>
        <w:rPr>
          <w:b/>
          <w:bCs/>
          <w:sz w:val="21"/>
          <w:szCs w:val="21"/>
        </w:rPr>
        <w:t xml:space="preserve">Service: </w:t>
      </w:r>
      <w:r>
        <w:rPr>
          <w:sz w:val="21"/>
          <w:szCs w:val="21"/>
        </w:rPr>
        <w:t xml:space="preserve">dirección estable para Pods efímeros, distribuye tráfico como un ALB interno.</w:t>
      </w:r>
    </w:p>
    <w:p>
      <w:pPr>
        <w:spacing w:after="80" w:before="160"/>
      </w:pPr>
      <w:r>
        <w:rPr>
          <w:b/>
          <w:bCs/>
          <w:color w:val="123D6D"/>
          <w:sz w:val="21"/>
          <w:szCs w:val="21"/>
        </w:rPr>
        <w:t xml:space="preserve">Práctica</w:t>
      </w:r>
    </w:p>
    <w:p>
      <w:pPr>
        <w:pStyle w:val="ListParagraph"/>
        <w:numPr>
          <w:ilvl w:val="0"/>
          <w:numId w:val="2"/>
        </w:numPr>
        <w:spacing w:after="60"/>
      </w:pPr>
      <w:r>
        <w:rPr>
          <w:sz w:val="21"/>
          <w:szCs w:val="21"/>
        </w:rPr>
        <w:t xml:space="preserve">Clúster local con kind; Dockerfile del servicio FastAPI con cache de capas optimizado (requirements.txt antes que el código).</w:t>
      </w:r>
    </w:p>
    <w:p>
      <w:pPr>
        <w:pStyle w:val="ListParagraph"/>
        <w:numPr>
          <w:ilvl w:val="0"/>
          <w:numId w:val="2"/>
        </w:numPr>
        <w:spacing w:after="60"/>
      </w:pPr>
      <w:r>
        <w:rPr>
          <w:sz w:val="21"/>
          <w:szCs w:val="21"/>
        </w:rPr>
        <w:t xml:space="preserve">kind load docker-image para cargar imágenes locales al nodo (imagePullPolicy: Never).</w:t>
      </w:r>
    </w:p>
    <w:p>
      <w:pPr>
        <w:pStyle w:val="ListParagraph"/>
        <w:numPr>
          <w:ilvl w:val="0"/>
          <w:numId w:val="2"/>
        </w:numPr>
        <w:spacing w:after="60"/>
      </w:pPr>
      <w:r>
        <w:rPr>
          <w:sz w:val="21"/>
          <w:szCs w:val="21"/>
        </w:rPr>
        <w:t xml:space="preserve">Deployment + Service en YAML, probado con kubectl port-forward.</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Auto-healing comprobado en vivo</w:t>
            </w:r>
          </w:p>
          <w:p>
            <w:r>
              <w:rPr>
                <w:color w:val="3A3A3A"/>
                <w:sz w:val="20"/>
                <w:szCs w:val="20"/>
              </w:rPr>
              <w:t xml:space="preserve">Se eliminó manualmente un Pod (kubectl delete pod); el Deployment creó automáticamente un reemplazo en segundos, mientras el otro Pod seguía sirviendo tráfico sin interrupción — demostración práctica de por qué usar Kubernetes sobre Docker plano.</w:t>
            </w:r>
          </w:p>
        </w:tc>
      </w:tr>
    </w:tbl>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400"/>
        <w:gridCol w:w="7950"/>
      </w:tblGrid>
      <w:tr>
        <w:tc>
          <w:tcPr>
            <w:tcW w:type="dxa" w:w="1400"/>
            <w:shd w:fill="123D6D" w:val="clear"/>
            <w:tcMar>
              <w:top w:type="dxa" w:w="100"/>
              <w:left w:type="dxa" w:w="120"/>
              <w:bottom w:type="dxa" w:w="100"/>
              <w:right w:type="dxa" w:w="120"/>
            </w:tcMar>
            <w:vAlign w:val="center"/>
          </w:tcPr>
          <w:p>
            <w:pPr>
              <w:jc w:val="center"/>
            </w:pPr>
            <w:r>
              <w:rPr>
                <w:b/>
                <w:bCs/>
                <w:color w:val="FFFFFF"/>
                <w:sz w:val="20"/>
                <w:szCs w:val="20"/>
              </w:rPr>
              <w:t xml:space="preserve">DÍA 9</w:t>
            </w:r>
          </w:p>
        </w:tc>
        <w:tc>
          <w:tcPr>
            <w:tcW w:type="dxa" w:w="7950"/>
            <w:shd w:fill="EDF1F6" w:val="clear"/>
            <w:tcMar>
              <w:top w:type="dxa" w:w="100"/>
              <w:left w:type="dxa" w:w="160"/>
              <w:bottom w:type="dxa" w:w="100"/>
              <w:right w:type="dxa" w:w="120"/>
            </w:tcMar>
            <w:vAlign w:val="center"/>
          </w:tcPr>
          <w:p>
            <w:r>
              <w:rPr>
                <w:b/>
                <w:bCs/>
                <w:color w:val="123D6D"/>
                <w:sz w:val="22"/>
                <w:szCs w:val="22"/>
              </w:rPr>
              <w:t xml:space="preserve">Kubernetes Ingress + CI/CD</w:t>
            </w:r>
          </w:p>
        </w:tc>
      </w:tr>
    </w:tbl>
    <w:p>
      <w:pPr>
        <w:spacing w:after="100"/>
      </w:pPr>
    </w:p>
    <w:p>
      <w:pPr>
        <w:spacing w:after="80" w:before="160"/>
      </w:pPr>
      <w:r>
        <w:rPr>
          <w:b/>
          <w:bCs/>
          <w:color w:val="123D6D"/>
          <w:sz w:val="21"/>
          <w:szCs w:val="21"/>
        </w:rPr>
        <w:t xml:space="preserve">Ingress</w:t>
      </w:r>
    </w:p>
    <w:p>
      <w:pPr>
        <w:pStyle w:val="ListParagraph"/>
        <w:numPr>
          <w:ilvl w:val="0"/>
          <w:numId w:val="2"/>
        </w:numPr>
        <w:spacing w:after="60"/>
      </w:pPr>
      <w:r>
        <w:rPr>
          <w:sz w:val="21"/>
          <w:szCs w:val="21"/>
        </w:rPr>
        <w:t xml:space="preserve">Comparación NodePort / LoadBalancer / Ingress: un solo punto de entrada HTTP enrutando a múltiples Services, evitando un Load Balancer por servicio.</w:t>
      </w:r>
    </w:p>
    <w:p>
      <w:pPr>
        <w:pStyle w:val="ListParagraph"/>
        <w:numPr>
          <w:ilvl w:val="0"/>
          <w:numId w:val="2"/>
        </w:numPr>
        <w:spacing w:after="60"/>
      </w:pPr>
      <w:r>
        <w:rPr>
          <w:sz w:val="21"/>
          <w:szCs w:val="21"/>
        </w:rPr>
        <w:t xml:space="preserve">Clúster recreado con extraPortMappings para exponer los puertos 80/443 del host.</w:t>
      </w:r>
    </w:p>
    <w:p>
      <w:pPr>
        <w:pStyle w:val="ListParagraph"/>
        <w:numPr>
          <w:ilvl w:val="0"/>
          <w:numId w:val="2"/>
        </w:numPr>
        <w:spacing w:after="60"/>
      </w:pPr>
      <w:r>
        <w:rPr>
          <w:sz w:val="21"/>
          <w:szCs w:val="21"/>
        </w:rPr>
        <w:t xml:space="preserve">NGINX Ingress Controller instalado; manifiesto de Ingress con rewrite-target para exponer /notificaciones sin que el servicio interno conozca el prefijo.</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Imagen multi-arquitectura no cargaba en el nodo</w:t>
            </w:r>
          </w:p>
          <w:p>
            <w:r>
              <w:rPr>
                <w:color w:val="3A3A3A"/>
                <w:sz w:val="20"/>
                <w:szCs w:val="20"/>
              </w:rPr>
              <w:t xml:space="preserve">kind load docker-image fallaba con 'content digest not found' al intentar importar todas las plataformas de una imagen multi-arch. Resuelto exportando la imagen con docker save, copiándola al nodo con docker cp, e importándola con ctr images import --platform linux/amd64. Aun así el Pod seguía intentando descargar por digest exacto; se corrigió forzando imagePullPolicy: IfNotPresent vía kubectl patch con archivo JSON (para evitar problemas de escapado de comillas en PowerShell).</w:t>
            </w:r>
          </w:p>
        </w:tc>
      </w:tr>
    </w:tbl>
    <w:p>
      <w:pPr>
        <w:spacing w:after="80" w:before="160"/>
      </w:pPr>
      <w:r>
        <w:rPr>
          <w:b/>
          <w:bCs/>
          <w:color w:val="123D6D"/>
          <w:sz w:val="21"/>
          <w:szCs w:val="21"/>
        </w:rPr>
        <w:t xml:space="preserve">CI/CD</w:t>
      </w:r>
    </w:p>
    <w:p>
      <w:pPr>
        <w:pStyle w:val="ListParagraph"/>
        <w:numPr>
          <w:ilvl w:val="0"/>
          <w:numId w:val="2"/>
        </w:numPr>
        <w:spacing w:after="60"/>
      </w:pPr>
      <w:r>
        <w:rPr>
          <w:sz w:val="21"/>
          <w:szCs w:val="21"/>
        </w:rPr>
        <w:t xml:space="preserve">Primer repositorio real creado: github.com/rianeiromiron/dia2-django-prep.</w:t>
      </w:r>
    </w:p>
    <w:p>
      <w:pPr>
        <w:pStyle w:val="ListParagraph"/>
        <w:numPr>
          <w:ilvl w:val="0"/>
          <w:numId w:val="2"/>
        </w:numPr>
        <w:spacing w:after="60"/>
      </w:pPr>
      <w:r>
        <w:rPr>
          <w:sz w:val="21"/>
          <w:szCs w:val="21"/>
        </w:rPr>
        <w:t xml:space="preserve">Workflow de GitHub Actions con gates de Ruff, mypy y tests, disparado en push/PR.</w:t>
      </w:r>
    </w:p>
    <w:p>
      <w:pPr>
        <w:pStyle w:val="ListParagraph"/>
        <w:numPr>
          <w:ilvl w:val="0"/>
          <w:numId w:val="2"/>
        </w:numPr>
        <w:spacing w:after="60"/>
      </w:pPr>
      <w:r>
        <w:rPr>
          <w:sz w:val="21"/>
          <w:szCs w:val="21"/>
        </w:rPr>
        <w:t xml:space="preserve">Jenkins cubierto conceptualmente: self-hosted vs gestionado, Groovy vs YAML, casos de uso típicos combinando ambos en una misma empresa.</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Primer pipeline real en rojo</w:t>
            </w:r>
          </w:p>
          <w:p>
            <w:r>
              <w:rPr>
                <w:color w:val="3A3A3A"/>
                <w:sz w:val="20"/>
                <w:szCs w:val="20"/>
              </w:rPr>
              <w:t xml:space="preserve">El primer run de CI falló con 6 errores reales de Ruff nunca vistos localmente: RUF012 en migraciones autogeneradas, F401 en tests.py vacío, EXE001 en manage.py. Resueltos excluyendo migrations/ del linting (pyproject.toml), limpiando el import sin usar, y marcando manage.py como ejecutable vía git update-index --chmod=+x.</w:t>
            </w:r>
          </w:p>
        </w:tc>
      </w:tr>
    </w:tbl>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400"/>
        <w:gridCol w:w="7950"/>
      </w:tblGrid>
      <w:tr>
        <w:tc>
          <w:tcPr>
            <w:tcW w:type="dxa" w:w="1400"/>
            <w:shd w:fill="123D6D" w:val="clear"/>
            <w:tcMar>
              <w:top w:type="dxa" w:w="100"/>
              <w:left w:type="dxa" w:w="120"/>
              <w:bottom w:type="dxa" w:w="100"/>
              <w:right w:type="dxa" w:w="120"/>
            </w:tcMar>
            <w:vAlign w:val="center"/>
          </w:tcPr>
          <w:p>
            <w:pPr>
              <w:jc w:val="center"/>
            </w:pPr>
            <w:r>
              <w:rPr>
                <w:b/>
                <w:bCs/>
                <w:color w:val="FFFFFF"/>
                <w:sz w:val="20"/>
                <w:szCs w:val="20"/>
              </w:rPr>
              <w:t xml:space="preserve">DÍA 10</w:t>
            </w:r>
          </w:p>
        </w:tc>
        <w:tc>
          <w:tcPr>
            <w:tcW w:type="dxa" w:w="7950"/>
            <w:shd w:fill="EDF1F6" w:val="clear"/>
            <w:tcMar>
              <w:top w:type="dxa" w:w="100"/>
              <w:left w:type="dxa" w:w="160"/>
              <w:bottom w:type="dxa" w:w="100"/>
              <w:right w:type="dxa" w:w="120"/>
            </w:tcMar>
            <w:vAlign w:val="center"/>
          </w:tcPr>
          <w:p>
            <w:r>
              <w:rPr>
                <w:b/>
                <w:bCs/>
                <w:color w:val="123D6D"/>
                <w:sz w:val="22"/>
                <w:szCs w:val="22"/>
              </w:rPr>
              <w:t xml:space="preserve">Proyecto Integrador — Docker Compose</w:t>
            </w:r>
          </w:p>
        </w:tc>
      </w:tr>
    </w:tbl>
    <w:p>
      <w:pPr>
        <w:spacing w:after="100"/>
      </w:pPr>
    </w:p>
    <w:p>
      <w:pPr>
        <w:pStyle w:val="ListParagraph"/>
        <w:numPr>
          <w:ilvl w:val="0"/>
          <w:numId w:val="2"/>
        </w:numPr>
        <w:spacing w:after="60"/>
      </w:pPr>
      <w:r>
        <w:rPr>
          <w:sz w:val="21"/>
          <w:szCs w:val="21"/>
        </w:rPr>
        <w:t xml:space="preserve">docker-compose.yml orquestando 4 servicios: Redis, Django, Celery worker y FastAPI, con red interna y DNS automático entre servicios (hostname = nombre del servicio).</w:t>
      </w:r>
    </w:p>
    <w:p>
      <w:pPr>
        <w:pStyle w:val="ListParagraph"/>
        <w:numPr>
          <w:ilvl w:val="0"/>
          <w:numId w:val="2"/>
        </w:numPr>
        <w:spacing w:after="60"/>
      </w:pPr>
      <w:r>
        <w:rPr>
          <w:sz w:val="21"/>
          <w:szCs w:val="21"/>
        </w:rPr>
        <w:t xml:space="preserve">Dockerfiles con cache de capas optimizado replicado en ambos proyectos.</w:t>
      </w:r>
    </w:p>
    <w:p>
      <w:pPr>
        <w:pStyle w:val="ListParagraph"/>
        <w:numPr>
          <w:ilvl w:val="0"/>
          <w:numId w:val="2"/>
        </w:numPr>
        <w:spacing w:after="60"/>
      </w:pPr>
      <w:r>
        <w:rPr>
          <w:sz w:val="21"/>
          <w:szCs w:val="21"/>
        </w:rPr>
        <w:t xml:space="preserve">FastAPI actualizado para leer DJANGO_API_URL desde variable de entorno en vez de localhost hardcodeado.</w:t>
      </w:r>
    </w:p>
    <w:p>
      <w:pPr>
        <w:pStyle w:val="ListParagraph"/>
        <w:numPr>
          <w:ilvl w:val="0"/>
          <w:numId w:val="2"/>
        </w:numPr>
        <w:spacing w:after="60"/>
      </w:pPr>
      <w:r>
        <w:rPr>
          <w:sz w:val="21"/>
          <w:szCs w:val="21"/>
        </w:rPr>
        <w:t xml:space="preserve">Prueba end-to-end: FastAPI obtiene su propio JWT y consulta un trámite real usando el hostname interno django:8000.</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DisallowedHost / ALLOWED_HOSTS</w:t>
            </w:r>
          </w:p>
          <w:p>
            <w:r>
              <w:rPr>
                <w:color w:val="3A3A3A"/>
                <w:sz w:val="20"/>
                <w:szCs w:val="20"/>
              </w:rPr>
              <w:t xml:space="preserve">Django rechazaba con 400 Bad Request las peticiones internas de FastAPI porque el header Host llegaba como 'django:8000', no incluido en ALLOWED_HOSTS (vacío desde el Día 2). Diagnosticado leyendo el traceback de httpx (400 en /api/token/) y confirmado con los logs de Django (DisallowedHost). Corregido agregando 'django', 'localhost' y '127.0.0.1' a ALLOWED_HOSTS.</w:t>
            </w:r>
          </w:p>
        </w:tc>
      </w:tr>
    </w:tbl>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400"/>
        <w:gridCol w:w="7950"/>
      </w:tblGrid>
      <w:tr>
        <w:tc>
          <w:tcPr>
            <w:tcW w:type="dxa" w:w="1400"/>
            <w:shd w:fill="123D6D" w:val="clear"/>
            <w:tcMar>
              <w:top w:type="dxa" w:w="100"/>
              <w:left w:type="dxa" w:w="120"/>
              <w:bottom w:type="dxa" w:w="100"/>
              <w:right w:type="dxa" w:w="120"/>
            </w:tcMar>
            <w:vAlign w:val="center"/>
          </w:tcPr>
          <w:p>
            <w:pPr>
              <w:jc w:val="center"/>
            </w:pPr>
            <w:r>
              <w:rPr>
                <w:b/>
                <w:bCs/>
                <w:color w:val="FFFFFF"/>
                <w:sz w:val="20"/>
                <w:szCs w:val="20"/>
              </w:rPr>
              <w:t xml:space="preserve">DÍA 11</w:t>
            </w:r>
          </w:p>
        </w:tc>
        <w:tc>
          <w:tcPr>
            <w:tcW w:type="dxa" w:w="7950"/>
            <w:shd w:fill="EDF1F6" w:val="clear"/>
            <w:tcMar>
              <w:top w:type="dxa" w:w="100"/>
              <w:left w:type="dxa" w:w="160"/>
              <w:bottom w:type="dxa" w:w="100"/>
              <w:right w:type="dxa" w:w="120"/>
            </w:tcMar>
            <w:vAlign w:val="center"/>
          </w:tcPr>
          <w:p>
            <w:r>
              <w:rPr>
                <w:b/>
                <w:bCs/>
                <w:color w:val="123D6D"/>
                <w:sz w:val="22"/>
                <w:szCs w:val="22"/>
              </w:rPr>
              <w:t xml:space="preserve">Django Avanzado — Middleware, Signals y Outbox real</w:t>
            </w:r>
          </w:p>
        </w:tc>
      </w:tr>
    </w:tbl>
    <w:p>
      <w:pPr>
        <w:spacing w:after="100"/>
      </w:pPr>
    </w:p>
    <w:p>
      <w:pPr>
        <w:spacing w:after="80" w:before="160"/>
      </w:pPr>
      <w:r>
        <w:rPr>
          <w:b/>
          <w:bCs/>
          <w:color w:val="123D6D"/>
          <w:sz w:val="21"/>
          <w:szCs w:val="21"/>
        </w:rPr>
        <w:t xml:space="preserve">Middleware personalizado</w:t>
      </w:r>
    </w:p>
    <w:p>
      <w:pPr>
        <w:pStyle w:val="ListParagraph"/>
        <w:numPr>
          <w:ilvl w:val="0"/>
          <w:numId w:val="2"/>
        </w:numPr>
        <w:spacing w:after="60"/>
      </w:pPr>
      <w:r>
        <w:rPr>
          <w:sz w:val="21"/>
          <w:szCs w:val="21"/>
        </w:rPr>
        <w:t xml:space="preserve">TiempoRespuestaMiddleware: patrón __init__ (una vez) / __call__ (cada request), midiendo y logueando duración de cada petición — comprobado en logs reales de Docker Compose.</w:t>
      </w:r>
    </w:p>
    <w:p>
      <w:pPr>
        <w:spacing w:after="80" w:before="160"/>
      </w:pPr>
      <w:r>
        <w:rPr>
          <w:b/>
          <w:bCs/>
          <w:color w:val="123D6D"/>
          <w:sz w:val="21"/>
          <w:szCs w:val="21"/>
        </w:rPr>
        <w:t xml:space="preserve">Signals</w:t>
      </w:r>
    </w:p>
    <w:p>
      <w:pPr>
        <w:pStyle w:val="ListParagraph"/>
        <w:numPr>
          <w:ilvl w:val="0"/>
          <w:numId w:val="2"/>
        </w:numPr>
        <w:spacing w:after="60"/>
      </w:pPr>
      <w:r>
        <w:rPr>
          <w:b/>
          <w:bCs/>
          <w:sz w:val="21"/>
          <w:szCs w:val="21"/>
        </w:rPr>
        <w:t xml:space="preserve">Por qué muchos equipos los evitan: </w:t>
      </w:r>
      <w:r>
        <w:rPr>
          <w:sz w:val="21"/>
          <w:szCs w:val="21"/>
        </w:rPr>
        <w:t xml:space="preserve">generan "acción a distancia" — el efecto secundario no es observable en el lugar donde ocurre la acción que lo dispara, dificultando entender el flujo completo del sistema. Preferible mantener lógica de negocio explícita en el código que la origina (como ya se hace en el ViewSet).</w:t>
      </w:r>
    </w:p>
    <w:p>
      <w:pPr>
        <w:spacing w:after="80" w:before="160"/>
      </w:pPr>
      <w:r>
        <w:rPr>
          <w:b/>
          <w:bCs/>
          <w:color w:val="123D6D"/>
          <w:sz w:val="21"/>
          <w:szCs w:val="21"/>
        </w:rPr>
        <w:t xml:space="preserve">Outbox Pattern implementado de verdad</w:t>
      </w:r>
    </w:p>
    <w:p>
      <w:pPr>
        <w:pStyle w:val="ListParagraph"/>
        <w:numPr>
          <w:ilvl w:val="0"/>
          <w:numId w:val="2"/>
        </w:numPr>
        <w:spacing w:after="60"/>
      </w:pPr>
      <w:r>
        <w:rPr>
          <w:sz w:val="21"/>
          <w:szCs w:val="21"/>
        </w:rPr>
        <w:t xml:space="preserve">Modelo EventoOutbox con JSONField; creación del Tramite + registro del evento envueltos en transaction.atomic().</w:t>
      </w:r>
    </w:p>
    <w:p>
      <w:pPr>
        <w:pStyle w:val="ListParagraph"/>
        <w:numPr>
          <w:ilvl w:val="0"/>
          <w:numId w:val="2"/>
        </w:numPr>
        <w:spacing w:after="60"/>
      </w:pPr>
      <w:r>
        <w:rPr>
          <w:sz w:val="21"/>
          <w:szCs w:val="21"/>
        </w:rPr>
        <w:t xml:space="preserve">Tarea publicar_eventos_pendientes() como única fuente de verdad para disparar notificaciones, pensada para correr periódicamente vía Celery Beat.</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Duplicación de notificaciones (idempotencia)</w:t>
            </w:r>
          </w:p>
          <w:p>
            <w:r>
              <w:rPr>
                <w:color w:val="3A3A3A"/>
                <w:sz w:val="20"/>
                <w:szCs w:val="20"/>
              </w:rPr>
              <w:t xml:space="preserve">Se mantuvo temporalmente la llamada directa a .delay() en el ViewSet AL MISMO TIEMPO que el publicador del Outbox activo, causando que la misma notificación se disparara dos veces para el mismo trámite (confirmado con dos ejecuciones en los logs del worker para el mismo tramite_id). Diagnosticado y corregido eliminando la llamada directa, dejando el Outbox como único disparador — verificado con un segundo trámite de prueba disparando la tarea una sola vez.</w:t>
            </w:r>
          </w:p>
        </w:tc>
      </w:tr>
    </w:tbl>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Indentación rota al editar en Notepad</w:t>
            </w:r>
          </w:p>
          <w:p>
            <w:r>
              <w:rPr>
                <w:color w:val="3A3A3A"/>
                <w:sz w:val="20"/>
                <w:szCs w:val="20"/>
              </w:rPr>
              <w:t xml:space="preserve">Al editar views.py en Notepad, el método create() quedó fuera de la clase (sin indentación), causando el error 'super used outside class' en VS Code y F401 en Ruff. Recordatorio de que en Python la indentación es sintaxis, no solo estilo.</w:t>
            </w:r>
          </w:p>
        </w:tc>
      </w:tr>
    </w:tbl>
    <w:p>
      <w:pPr>
        <w:spacing w:after="1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400"/>
        <w:gridCol w:w="7950"/>
      </w:tblGrid>
      <w:tr>
        <w:tc>
          <w:tcPr>
            <w:tcW w:type="dxa" w:w="1400"/>
            <w:shd w:fill="123D6D" w:val="clear"/>
            <w:tcMar>
              <w:top w:type="dxa" w:w="100"/>
              <w:left w:type="dxa" w:w="120"/>
              <w:bottom w:type="dxa" w:w="100"/>
              <w:right w:type="dxa" w:w="120"/>
            </w:tcMar>
            <w:vAlign w:val="center"/>
          </w:tcPr>
          <w:p>
            <w:pPr>
              <w:jc w:val="center"/>
            </w:pPr>
            <w:r>
              <w:rPr>
                <w:b/>
                <w:bCs/>
                <w:color w:val="FFFFFF"/>
                <w:sz w:val="20"/>
                <w:szCs w:val="20"/>
              </w:rPr>
              <w:t xml:space="preserve">DÍA 12</w:t>
            </w:r>
          </w:p>
        </w:tc>
        <w:tc>
          <w:tcPr>
            <w:tcW w:type="dxa" w:w="7950"/>
            <w:shd w:fill="EDF1F6" w:val="clear"/>
            <w:tcMar>
              <w:top w:type="dxa" w:w="100"/>
              <w:left w:type="dxa" w:w="160"/>
              <w:bottom w:type="dxa" w:w="100"/>
              <w:right w:type="dxa" w:w="120"/>
            </w:tcMar>
            <w:vAlign w:val="center"/>
          </w:tcPr>
          <w:p>
            <w:r>
              <w:rPr>
                <w:b/>
                <w:bCs/>
                <w:color w:val="123D6D"/>
                <w:sz w:val="22"/>
                <w:szCs w:val="22"/>
              </w:rPr>
              <w:t xml:space="preserve">Makefile, CI extendido y ADR</w:t>
            </w:r>
          </w:p>
        </w:tc>
      </w:tr>
    </w:tbl>
    <w:p>
      <w:pPr>
        <w:spacing w:after="100"/>
      </w:pPr>
    </w:p>
    <w:p>
      <w:pPr>
        <w:spacing w:after="80" w:before="160"/>
      </w:pPr>
      <w:r>
        <w:rPr>
          <w:b/>
          <w:bCs/>
          <w:color w:val="123D6D"/>
          <w:sz w:val="21"/>
          <w:szCs w:val="21"/>
        </w:rPr>
        <w:t xml:space="preserve">Makefile</w:t>
      </w:r>
    </w:p>
    <w:p>
      <w:pPr>
        <w:pStyle w:val="ListParagraph"/>
        <w:numPr>
          <w:ilvl w:val="0"/>
          <w:numId w:val="2"/>
        </w:numPr>
        <w:spacing w:after="60"/>
      </w:pPr>
      <w:r>
        <w:rPr>
          <w:sz w:val="21"/>
          <w:szCs w:val="21"/>
        </w:rPr>
        <w:t xml:space="preserve">Targets up / down / shell / lint / typecheck / test / check, estandarizando el flujo de trabajo del equipo sobre comandos largos de Docker Compose.</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make no reconocido en PowerShell tras instalar GnuWin32</w:t>
            </w:r>
          </w:p>
          <w:p>
            <w:r>
              <w:rPr>
                <w:color w:val="3A3A3A"/>
                <w:sz w:val="20"/>
                <w:szCs w:val="20"/>
              </w:rPr>
              <w:t xml:space="preserve">El instalador no agregó la carpeta bin al PATH. Resuelto agregando C:\Program Files (x86)\GnuWin32\bin al PATH de usuario de forma permanente.</w:t>
            </w:r>
          </w:p>
        </w:tc>
      </w:tr>
    </w:tbl>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EXE002 en todo el proyecto</w:t>
            </w:r>
          </w:p>
          <w:p>
            <w:r>
              <w:rPr>
                <w:color w:val="3A3A3A"/>
                <w:sz w:val="20"/>
                <w:szCs w:val="20"/>
              </w:rPr>
              <w:t xml:space="preserve">Ruff marcaba decenas de archivos como "ejecutables sin shebang". Con evidencia (ls -la dentro del contenedor) se confirmó que Docker Desktop en Windows monta los archivos del volumen con permisos abiertos (-rwxrwxrwx) por una peculiaridad de bind mounts Windows→Linux. Resuelto desactivando la regla EXE002 en pyproject.toml, documentando la causa.</w:t>
            </w:r>
          </w:p>
        </w:tc>
      </w:tr>
    </w:tbl>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mypy analizando venv/</w:t>
            </w:r>
          </w:p>
          <w:p>
            <w:r>
              <w:rPr>
                <w:color w:val="3A3A3A"/>
                <w:sz w:val="20"/>
                <w:szCs w:val="20"/>
              </w:rPr>
              <w:t xml:space="preserve">mypy . intentaba tipar archivos internos de dependencias de terceros (ej. jmespath) porque venv/ vive dentro del proyecto. Resuelto agregando exclude = ^venv/ en mypy.ini.</w:t>
            </w:r>
          </w:p>
        </w:tc>
      </w:tr>
    </w:tbl>
    <w:p>
      <w:pPr>
        <w:spacing w:after="80" w:before="160"/>
      </w:pPr>
      <w:r>
        <w:rPr>
          <w:b/>
          <w:bCs/>
          <w:color w:val="123D6D"/>
          <w:sz w:val="21"/>
          <w:szCs w:val="21"/>
        </w:rPr>
        <w:t xml:space="preserve">CI extendido a Docker Compose completo</w:t>
      </w:r>
    </w:p>
    <w:p>
      <w:pPr>
        <w:pStyle w:val="ListParagraph"/>
        <w:numPr>
          <w:ilvl w:val="0"/>
          <w:numId w:val="2"/>
        </w:numPr>
        <w:spacing w:after="60"/>
      </w:pPr>
      <w:r>
        <w:rPr>
          <w:sz w:val="21"/>
          <w:szCs w:val="21"/>
        </w:rPr>
        <w:t xml:space="preserve">El workflow de GitHub Actions se actualizó para levantar el sistema dockerizado real (docker compose up --build -d) y correr lint/typecheck/test dentro del contenedor, no solo contra Python plano.</w:t>
      </w:r>
    </w:p>
    <w:tbl>
      <w:tblPr>
        <w:tblW w:type="dxa" w:w="9350"/>
        <w:tblBorders>
          <w:top w:val="single" w:color="FABB5A" w:sz="4"/>
          <w:left w:val="single" w:color="FABB5A" w:sz="4"/>
          <w:bottom w:val="single" w:color="FABB5A" w:sz="4"/>
          <w:right w:val="single" w:color="FABB5A" w:sz="4"/>
          <w:insideH w:val="none" w:color="FFFFFF" w:sz="0"/>
          <w:insideV w:val="none" w:color="FFFFFF" w:sz="0"/>
        </w:tblBorders>
      </w:tblPr>
      <w:tblGrid>
        <w:gridCol w:w="9350"/>
      </w:tblGrid>
      <w:tr>
        <w:tc>
          <w:tcPr>
            <w:tcW w:type="dxa" w:w="9350"/>
            <w:shd w:fill="FDF2DC" w:val="clear"/>
            <w:tcMar>
              <w:top w:type="dxa" w:w="120"/>
              <w:left w:type="dxa" w:w="160"/>
              <w:bottom w:type="dxa" w:w="120"/>
              <w:right w:type="dxa" w:w="160"/>
            </w:tcMar>
          </w:tcPr>
          <w:p>
            <w:pPr>
              <w:spacing w:after="60"/>
            </w:pPr>
            <w:r>
              <w:rPr>
                <w:b/>
                <w:bCs/>
                <w:color w:val="123D6D"/>
                <w:sz w:val="20"/>
                <w:szCs w:val="20"/>
              </w:rPr>
              <w:t xml:space="preserve">🐞 Referencia a ../dia4-fastapi inexistente en CI</w:t>
            </w:r>
          </w:p>
          <w:p>
            <w:r>
              <w:rPr>
                <w:color w:val="3A3A3A"/>
                <w:sz w:val="20"/>
                <w:szCs w:val="20"/>
              </w:rPr>
              <w:t xml:space="preserve">El runner de GitHub Actions solo clona el repo dia2-django-prep; la carpeta dia4-fastapi nunca existió ahí (vive en otra carpeta local, otro proyecto). Se decidió, de forma consciente, acotar el alcance del CI a solo el servicio Django (redis + django + celery-worker), reflejando cómo funcionaría con microservicios reales en repositorios independientes.</w:t>
            </w:r>
          </w:p>
        </w:tc>
      </w:tr>
    </w:tbl>
    <w:p>
      <w:pPr>
        <w:spacing w:after="80" w:before="160"/>
      </w:pPr>
      <w:r>
        <w:rPr>
          <w:b/>
          <w:bCs/>
          <w:color w:val="123D6D"/>
          <w:sz w:val="21"/>
          <w:szCs w:val="21"/>
        </w:rPr>
        <w:t xml:space="preserve">ADR (Architecture Decision Record)</w:t>
      </w:r>
    </w:p>
    <w:p>
      <w:pPr>
        <w:pStyle w:val="ListParagraph"/>
        <w:numPr>
          <w:ilvl w:val="0"/>
          <w:numId w:val="2"/>
        </w:numPr>
        <w:spacing w:after="60"/>
      </w:pPr>
      <w:r>
        <w:rPr>
          <w:sz w:val="21"/>
          <w:szCs w:val="21"/>
        </w:rPr>
        <w:t xml:space="preserve">Primer ADR real escrito y versionado: docs/adr/0001-outbox-pattern-para-eventos-de-tramite.md, documentando contexto, decisión y consecuencias del patrón Outbox, incluyendo el incidente real de duplicación del Día 11 como riesgo documentado.</w:t>
      </w:r>
    </w:p>
    <w:p>
      <w:pPr>
        <w:spacing w:after="100"/>
      </w:pPr>
    </w:p>
    <w:p>
      <w:pPr>
        <w:pStyle w:val="Heading1"/>
        <w:pBdr>
          <w:bottom w:val="single" w:color="123D6D" w:sz="8" w:space="4"/>
        </w:pBdr>
        <w:spacing w:after="200" w:before="400"/>
      </w:pPr>
      <w:r>
        <w:rPr>
          <w:b/>
          <w:bCs/>
          <w:color w:val="123D6D"/>
          <w:sz w:val="30"/>
          <w:szCs w:val="30"/>
        </w:rPr>
        <w:t xml:space="preserve">Estado actual</w:t>
      </w:r>
    </w:p>
    <w:p>
      <w:pPr>
        <w:spacing w:after="120"/>
      </w:pPr>
      <w:r>
        <w:rPr>
          <w:sz w:val="21"/>
          <w:szCs w:val="21"/>
        </w:rPr>
        <w:t xml:space="preserve">Repositorio: github.com/rianeiromiron/dia2-django-prep — CI en verde (Ruff, mypy y tests corriendo sobre el stack dockerizado real).</w:t>
      </w:r>
    </w:p>
    <w:p>
      <w:pPr>
        <w:spacing w:after="120"/>
      </w:pPr>
      <w:r>
        <w:rPr>
          <w:sz w:val="21"/>
          <w:szCs w:val="21"/>
        </w:rPr>
        <w:t xml:space="preserve">Carpetas de trabajo: c:\code\python\dia1-python · dia2-django (Django 6.0.7) · dia4-fastapi · c:\code\dia7-terraform.</w:t>
      </w:r>
    </w:p>
    <w:p>
      <w:pPr>
        <w:spacing w:after="120"/>
      </w:pPr>
      <w:r>
        <w:rPr>
          <w:sz w:val="21"/>
          <w:szCs w:val="21"/>
        </w:rPr>
        <w:t xml:space="preserve">Siguiente paso del plan: Día 13 — preparación de preguntas técnicas frecuentes (Go, Django, Kubernetes), simulacro de entrevista y ejercicio de system design.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2026-08-11T05:00:43.960Z</dcterms:created>
  <dcterms:modified xsi:type="dcterms:W3CDTF">2026-08-11T05:00:43.978Z</dcterms:modified>
</cp:coreProperties>
</file>

<file path=docProps/custom.xml><?xml version="1.0" encoding="utf-8"?>
<Properties xmlns="http://schemas.openxmlformats.org/officeDocument/2006/custom-properties" xmlns:vt="http://schemas.openxmlformats.org/officeDocument/2006/docPropsVTypes"/>
</file>