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Safety Dashboard — Demo Script</w:t>
      </w:r>
    </w:p>
    <w:p/>
    <w:p>
      <w:pPr>
        <w:pStyle w:val="Heading1"/>
      </w:pPr>
      <w:r>
        <w:t>Setup</w:t>
      </w:r>
    </w:p>
    <w:p>
      <w:pPr>
        <w:spacing w:after="80"/>
      </w:pPr>
      <w:r>
        <w:t>Open LiveMonitoring page. Ensure Demo Mode is ON. The Executive Dashboard card appears at the top of the page.</w:t>
      </w:r>
    </w:p>
    <w:p>
      <w:pPr>
        <w:pStyle w:val="Heading1"/>
      </w:pPr>
      <w:r>
        <w:t>1. Gauge Reading</w:t>
      </w:r>
    </w:p>
    <w:p>
      <w:pPr>
        <w:spacing w:after="80"/>
      </w:pPr>
      <w:r>
        <w:t>Observe the circular Safety Score gauge. Its color changes based on the score:</w:t>
      </w:r>
    </w:p>
    <w:p>
      <w:pPr>
        <w:spacing w:after="80"/>
      </w:pPr>
      <w:r>
        <w:t>• Green (80+): Safe</w:t>
      </w:r>
    </w:p>
    <w:p>
      <w:pPr>
        <w:spacing w:after="80"/>
      </w:pPr>
      <w:r>
        <w:t>• Orange (65-79): Needs attention</w:t>
      </w:r>
    </w:p>
    <w:p>
      <w:pPr>
        <w:spacing w:after="80"/>
      </w:pPr>
      <w:r>
        <w:t>• Red (&lt;65): Critical</w:t>
      </w:r>
    </w:p>
    <w:p>
      <w:pPr>
        <w:spacing w:after="80"/>
      </w:pPr>
      <w:r>
        <w:t>Note the six KPI badges below the gauge (Compliance, Productivity, etc.).</w:t>
      </w:r>
    </w:p>
    <w:p>
      <w:pPr>
        <w:pStyle w:val="Heading1"/>
      </w:pPr>
      <w:r>
        <w:t>2. Scenario Walkthrough: Office Worker</w:t>
      </w:r>
    </w:p>
    <w:p>
      <w:pPr>
        <w:spacing w:after="80"/>
      </w:pPr>
      <w:r>
        <w:t>Select "Office Worker". Safety Score = 94 (green).</w:t>
      </w:r>
    </w:p>
    <w:p>
      <w:pPr>
        <w:spacing w:after="80"/>
      </w:pPr>
      <w:r>
        <w:t>Factory Overview: 24 workers, only 2 high-risk. Departments: Office shows 96% compliance.</w:t>
      </w:r>
    </w:p>
    <w:p>
      <w:pPr>
        <w:spacing w:after="80"/>
      </w:pPr>
      <w:r>
        <w:t>Executive Summary: "Factory operating within acceptable safety limits."</w:t>
      </w:r>
    </w:p>
    <w:p>
      <w:pPr>
        <w:spacing w:after="80"/>
      </w:pPr>
      <w:r>
        <w:t>Actions: Preventive (maintain practices).</w:t>
      </w:r>
    </w:p>
    <w:p>
      <w:pPr>
        <w:pStyle w:val="Heading1"/>
      </w:pPr>
      <w:r>
        <w:t>3. Scenario: Assembly Worker</w:t>
      </w:r>
    </w:p>
    <w:p>
      <w:pPr>
        <w:spacing w:after="80"/>
      </w:pPr>
      <w:r>
        <w:t>Select "Assembly Line Worker". Safety Score drops to 78 (orange).</w:t>
      </w:r>
    </w:p>
    <w:p>
      <w:pPr>
        <w:spacing w:after="80"/>
      </w:pPr>
      <w:r>
        <w:t>High Risk Workers: 8 (up from 2). Assembly department: 48 risk, 42% fatigue.</w:t>
      </w:r>
    </w:p>
    <w:p>
      <w:pPr>
        <w:spacing w:after="80"/>
      </w:pPr>
      <w:r>
        <w:t>Top Issue: Neck Flexion (85 incidents). Summary notes assembly fatigue.</w:t>
      </w:r>
    </w:p>
    <w:p>
      <w:pPr>
        <w:spacing w:after="80"/>
      </w:pPr>
      <w:r>
        <w:t>Actions: Rotate workers, install adjustable trays.</w:t>
      </w:r>
    </w:p>
    <w:p>
      <w:pPr>
        <w:pStyle w:val="Heading1"/>
      </w:pPr>
      <w:r>
        <w:t>4. Scenario: Warehouse Worker</w:t>
      </w:r>
    </w:p>
    <w:p>
      <w:pPr>
        <w:spacing w:after="80"/>
      </w:pPr>
      <w:r>
        <w:t>Select "Warehouse Worker". Safety Score = 62 (red).</w:t>
      </w:r>
    </w:p>
    <w:p>
      <w:pPr>
        <w:spacing w:after="80"/>
      </w:pPr>
      <w:r>
        <w:t>High Risk Workers: 12. Warehouse dept: 62 risk, 55% fatigue.</w:t>
      </w:r>
    </w:p>
    <w:p>
      <w:pPr>
        <w:spacing w:after="80"/>
      </w:pPr>
      <w:r>
        <w:t>Executive Summary: "URGENT: Factory safety conditions require immediate action."</w:t>
      </w:r>
    </w:p>
    <w:p>
      <w:pPr>
        <w:spacing w:after="80"/>
      </w:pPr>
      <w:r>
        <w:t>Actions: Enforce lifting equipment, mandatory retraining.</w:t>
      </w:r>
    </w:p>
    <w:p>
      <w:pPr>
        <w:pStyle w:val="Heading1"/>
      </w:pPr>
      <w:r>
        <w:t>5. Scenario: Machine Operator</w:t>
      </w:r>
    </w:p>
    <w:p>
      <w:pPr>
        <w:spacing w:after="80"/>
      </w:pPr>
      <w:r>
        <w:t>Select "Machine Operator". Safety Score = 82 (green).</w:t>
      </w:r>
    </w:p>
    <w:p>
      <w:pPr>
        <w:spacing w:after="80"/>
      </w:pPr>
      <w:r>
        <w:t>Moderate neck flexion in Machine Shop. Recommended: anti-fatigue mats, platform adjustments.</w:t>
      </w:r>
    </w:p>
    <w:p>
      <w:pPr>
        <w:pStyle w:val="Heading1"/>
      </w:pPr>
      <w:r>
        <w:t>6. Scenario: Inspection Worker</w:t>
      </w:r>
    </w:p>
    <w:p>
      <w:pPr>
        <w:spacing w:after="80"/>
      </w:pPr>
      <w:r>
        <w:t>Select "Inspection Worker". Safety Score = 88 (green).</w:t>
      </w:r>
    </w:p>
    <w:p>
      <w:pPr>
        <w:spacing w:after="80"/>
      </w:pPr>
      <w:r>
        <w:t>Quality department at 90% compliance. Minimal recommended actions.</w:t>
      </w:r>
    </w:p>
    <w:p>
      <w:pPr>
        <w:pStyle w:val="Heading1"/>
      </w:pPr>
      <w:r>
        <w:t>7. Architecture Modal</w:t>
      </w:r>
    </w:p>
    <w:p>
      <w:pPr>
        <w:spacing w:after="80"/>
      </w:pPr>
      <w:r>
        <w:t>Click "View Architecture" in the card header.</w:t>
      </w:r>
    </w:p>
    <w:p>
      <w:pPr>
        <w:spacing w:after="80"/>
      </w:pPr>
      <w:r>
        <w:t>Shows the 10-layer pipeline architecture + Week 4 progress checklist.</w:t>
      </w:r>
    </w:p>
    <w:p>
      <w:pPr>
        <w:pStyle w:val="Heading1"/>
      </w:pPr>
      <w:r>
        <w:t>8. Trend Analysis</w:t>
      </w:r>
    </w:p>
    <w:p>
      <w:pPr>
        <w:spacing w:after="80"/>
      </w:pPr>
      <w:r>
        <w:t>Observe the Weekly Trends section. Risk trends downward as scenarios progress.</w:t>
      </w:r>
    </w:p>
    <w:p>
      <w:pPr>
        <w:spacing w:after="80"/>
      </w:pPr>
      <w:r>
        <w:t>Compare the W23-W28 trend lines across different scenario selections.</w:t>
      </w:r>
    </w:p>
    <w:p>
      <w:pPr>
        <w:pStyle w:val="Heading1"/>
      </w:pPr>
      <w:r>
        <w:t>Key Takeaways</w:t>
      </w:r>
    </w:p>
    <w:p>
      <w:pPr>
        <w:spacing w:after="80"/>
      </w:pPr>
      <w:r>
        <w:t>1. Five distinct executive profiles demonstrate safety score range 62-94.</w:t>
      </w:r>
    </w:p>
    <w:p>
      <w:pPr>
        <w:spacing w:after="80"/>
      </w:pPr>
      <w:r>
        <w:t>2. The gauge provides instant status assessment for management.</w:t>
      </w:r>
    </w:p>
    <w:p>
      <w:pPr>
        <w:spacing w:after="80"/>
      </w:pPr>
      <w:r>
        <w:t>3. Department comparison identifies specific intervention targets.</w:t>
      </w:r>
    </w:p>
    <w:p>
      <w:pPr>
        <w:spacing w:after="80"/>
      </w:pPr>
      <w:r>
        <w:t>4. Executive summary generates contextual narrative automatically.</w:t>
      </w:r>
    </w:p>
    <w:p>
      <w:pPr>
        <w:spacing w:after="80"/>
      </w:pPr>
      <w:r>
        <w:t>5. Architecture modal communicates system depth to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