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Dashboard — Findings &amp; Analysis</w:t>
      </w:r>
    </w:p>
    <w:p/>
    <w:p>
      <w:pPr>
        <w:pStyle w:val="Heading1"/>
      </w:pPr>
      <w:r>
        <w:t>Key Finding 1: Safety Score Range Spans 32 Points Across Scenarios</w:t>
      </w:r>
    </w:p>
    <w:p>
      <w:pPr>
        <w:spacing w:after="120"/>
      </w:pPr>
      <w:r>
        <w:t>The five demo scenarios produce Safety Scores ranging from 62 (Warehouse Worker) to 94 (Office Worker), a spread of 32 points. This validates that the Executive Dashboard can represent a realistic spectrum of deployment conditions. The Warehouse scenario at score 62 triggers the RED alert state, while the Office scenario at 94 demonstrates the GREEN optimal state. This range gives stakeholders a clear understanding of what different score bands look like in practice.</w:t>
      </w:r>
    </w:p>
    <w:p>
      <w:pPr>
        <w:pStyle w:val="Heading1"/>
      </w:pPr>
      <w:r>
        <w:t>Key Finding 2: Department Comparison Reveals Intervention Priorities</w:t>
      </w:r>
    </w:p>
    <w:p>
      <w:pPr>
        <w:spacing w:after="120"/>
      </w:pPr>
      <w:r>
        <w:t>The Department Comparison table consistently shows Warehouse as the highest-risk department across all scenarios (risk 42-62) and Office as the lowest-risk (risk 12-18). This pattern matches real-world expectations — desk workers have fewer biomechanical risk factors than material handlers. The table enables management to allocate ergonomic resources proportionally to departmental need.</w:t>
      </w:r>
    </w:p>
    <w:p>
      <w:pPr>
        <w:pStyle w:val="Heading1"/>
      </w:pPr>
      <w:r>
        <w:t>Key Finding 3: Executive Summary Adapts to Scenario Context</w:t>
      </w:r>
    </w:p>
    <w:p>
      <w:pPr>
        <w:spacing w:after="120"/>
      </w:pPr>
      <w:r>
        <w:t>The executive summary dynamically reflects each scenario's condition: "acceptable safety limits" for Office (score 94), "elevated fatigue" for Assembly (score 78), and "URGENT: immediate management action" for Warehouse (score 62). This contextual adaptation makes the dashboard suitable for different audience levels — from line supervisors to C-suite executives.</w:t>
      </w:r>
    </w:p>
    <w:p>
      <w:pPr>
        <w:pStyle w:val="Heading1"/>
      </w:pPr>
      <w:r>
        <w:t>Key Finding 4: Architecture Modal Enhances Stakeholder Communication</w:t>
      </w:r>
    </w:p>
    <w:p>
      <w:pPr>
        <w:spacing w:after="120"/>
      </w:pPr>
      <w:r>
        <w:t>The architecture modal provides a complete system overview in a single view, showing the 10-layer pipeline from camera input to management decisions. Combined with the Week 4 progress checklist, it enables stakeholders to understand both the system's technical depth and implementation progress without requiring technical expertise in pose estimation or AI pipelines.</w:t>
      </w:r>
    </w:p>
    <w:p>
      <w:pPr>
        <w:pStyle w:val="Heading1"/>
      </w:pPr>
      <w:r>
        <w:t>Key Finding 5: Demo-Driven Architecture Enables Safe Executive Demonstrations</w:t>
      </w:r>
    </w:p>
    <w:p>
      <w:pPr>
        <w:spacing w:after="120"/>
      </w:pPr>
      <w:r>
        <w:t>The deterministic scenario engine ensures that every executive presentation follows the exact same data flow. Management can switch between five distinct factory profiles (from optimal to critical) in seconds, compare safety scores side by side, and explore the full range of dashboard features without any risk to production systems. This makes the Executive Dashboard an effective tool for stakeholder buy-in and investment justification.</w:t>
      </w:r>
    </w:p>
    <w:p>
      <w:pPr>
        <w:pStyle w:val="Heading1"/>
      </w:pPr>
      <w:r>
        <w:t>Key Finding 6: Week 4 Integration is Complete and Coherent</w:t>
      </w:r>
    </w:p>
    <w:p>
      <w:pPr>
        <w:spacing w:after="120"/>
      </w:pPr>
      <w:r>
        <w:t>All five Day modules (Task Recognition, Context-Aware Risk, Alert Management, Performance Dashboard, Executive Dashboard) share the same architecture and data flow. The Executive Dashboard is the natural apex of this hierarchy — it consumes data from all lower layers and presents it in a management-friendly format. The consistent use of the Demo Engine across all five modules means the entire Week 4 feature set can be demonstrated in a single LiveMonitoring page session.</w:t>
      </w:r>
    </w:p>
    <w:p>
      <w:pPr>
        <w:pStyle w:val="Heading1"/>
      </w:pPr>
      <w:r>
        <w:t>Recommendations</w:t>
      </w:r>
    </w:p>
    <w:p>
      <w:pPr>
        <w:spacing w:after="120"/>
      </w:pPr>
      <w:r>
        <w:t>1. Set Safety Score alert threshold at 75 — notify management when score drops below 75.</w:t>
        <w:br/>
        <w:t>2. Review Warehouse operations first — highest risk department across all scenarios.</w:t>
        <w:br/>
        <w:t>3. Use Department Comparison for resource allocation — target interventions at departments with risk &gt; 35.</w:t>
        <w:br/>
        <w:t>4. Schedule weekly executive reviews using the dashboard as the primary safety metric.</w:t>
        <w:br/>
        <w:t>5. Extend with historical data storage for year-over-year trend analysis.</w:t>
        <w:br/>
        <w:t>6. Integrate with existing EHS (Environment, Health, Safety) reporting systems.</w:t>
        <w:br/>
        <w:t>7. Add automated PDF report generation for regulatory compliance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