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C8FEB" w14:textId="2581DD88" w:rsidR="00F468F7" w:rsidRPr="00EE6525" w:rsidRDefault="00A935A6" w:rsidP="008B5740">
      <w:pPr>
        <w:pStyle w:val="Title"/>
        <w:rPr>
          <w:b/>
          <w:bCs/>
          <w:lang w:val="en-US"/>
        </w:rPr>
      </w:pPr>
      <w:bookmarkStart w:id="0" w:name="_Hlk152956238"/>
      <w:bookmarkEnd w:id="0"/>
      <w:r w:rsidRPr="00EE6525">
        <w:rPr>
          <w:b/>
          <w:bCs/>
          <w:lang w:val="en-US"/>
        </w:rPr>
        <w:t>ACME Company Report</w:t>
      </w:r>
      <w:r w:rsidR="00876513" w:rsidRPr="00EE6525">
        <w:rPr>
          <w:b/>
          <w:bCs/>
          <w:lang w:val="en-US"/>
        </w:rPr>
        <w:t xml:space="preserve"> 2023</w:t>
      </w:r>
    </w:p>
    <w:p w14:paraId="3D8FF97F" w14:textId="240A932B" w:rsidR="00FD3A5B" w:rsidRPr="006A75DD" w:rsidRDefault="00FD3A5B" w:rsidP="00F917B0">
      <w:pPr>
        <w:pStyle w:val="Heading1"/>
        <w:spacing w:line="360" w:lineRule="auto"/>
        <w:rPr>
          <w:lang w:val="en-US"/>
        </w:rPr>
      </w:pPr>
      <w:r w:rsidRPr="006A75DD">
        <w:rPr>
          <w:lang w:val="en-US"/>
        </w:rPr>
        <w:t>Executive Summary</w:t>
      </w:r>
    </w:p>
    <w:p w14:paraId="60A4B30B" w14:textId="6F069B1C" w:rsidR="001C224D" w:rsidRPr="001C224D" w:rsidRDefault="001C224D" w:rsidP="001C224D">
      <w:pPr>
        <w:pStyle w:val="Heading1"/>
        <w:spacing w:before="0" w:line="360" w:lineRule="auto"/>
        <w:rPr>
          <w:rFonts w:asciiTheme="minorHAnsi" w:eastAsiaTheme="minorHAnsi" w:hAnsiTheme="minorHAnsi" w:cstheme="minorHAnsi"/>
          <w:color w:val="auto"/>
          <w:sz w:val="22"/>
          <w:szCs w:val="22"/>
        </w:rPr>
      </w:pPr>
      <w:r w:rsidRPr="001C224D">
        <w:rPr>
          <w:rFonts w:asciiTheme="minorHAnsi" w:eastAsiaTheme="minorHAnsi" w:hAnsiTheme="minorHAnsi" w:cstheme="minorHAnsi"/>
          <w:color w:val="auto"/>
          <w:sz w:val="22"/>
          <w:szCs w:val="22"/>
        </w:rPr>
        <w:t>This report provides a data</w:t>
      </w:r>
      <w:r w:rsidRPr="001C224D">
        <w:rPr>
          <w:rFonts w:ascii="Cambria Math" w:eastAsiaTheme="minorHAnsi" w:hAnsi="Cambria Math" w:cs="Cambria Math"/>
          <w:color w:val="auto"/>
          <w:sz w:val="22"/>
          <w:szCs w:val="22"/>
        </w:rPr>
        <w:t>‑</w:t>
      </w:r>
      <w:r w:rsidRPr="001C224D">
        <w:rPr>
          <w:rFonts w:asciiTheme="minorHAnsi" w:eastAsiaTheme="minorHAnsi" w:hAnsiTheme="minorHAnsi" w:cstheme="minorHAnsi"/>
          <w:color w:val="auto"/>
          <w:sz w:val="22"/>
          <w:szCs w:val="22"/>
        </w:rPr>
        <w:t>driven assessment of ACME</w:t>
      </w:r>
      <w:r w:rsidRPr="001C224D">
        <w:rPr>
          <w:rFonts w:ascii="Calibri" w:eastAsiaTheme="minorHAnsi" w:hAnsi="Calibri" w:cs="Calibri"/>
          <w:color w:val="auto"/>
          <w:sz w:val="22"/>
          <w:szCs w:val="22"/>
        </w:rPr>
        <w:t>’</w:t>
      </w:r>
      <w:r w:rsidRPr="001C224D">
        <w:rPr>
          <w:rFonts w:asciiTheme="minorHAnsi" w:eastAsiaTheme="minorHAnsi" w:hAnsiTheme="minorHAnsi" w:cstheme="minorHAnsi"/>
          <w:color w:val="auto"/>
          <w:sz w:val="22"/>
          <w:szCs w:val="22"/>
        </w:rPr>
        <w:t>s customer distribution, product performance, payment behavior, and inventory management. All insights are derived from SQL</w:t>
      </w:r>
      <w:r w:rsidRPr="001C224D">
        <w:rPr>
          <w:rFonts w:ascii="Cambria Math" w:eastAsiaTheme="minorHAnsi" w:hAnsi="Cambria Math" w:cs="Cambria Math"/>
          <w:color w:val="auto"/>
          <w:sz w:val="22"/>
          <w:szCs w:val="22"/>
        </w:rPr>
        <w:t>‑</w:t>
      </w:r>
      <w:r w:rsidRPr="001C224D">
        <w:rPr>
          <w:rFonts w:asciiTheme="minorHAnsi" w:eastAsiaTheme="minorHAnsi" w:hAnsiTheme="minorHAnsi" w:cstheme="minorHAnsi"/>
          <w:color w:val="auto"/>
          <w:sz w:val="22"/>
          <w:szCs w:val="22"/>
        </w:rPr>
        <w:t>extracted datasets and Excel</w:t>
      </w:r>
      <w:r w:rsidRPr="001C224D">
        <w:rPr>
          <w:rFonts w:ascii="Cambria Math" w:eastAsiaTheme="minorHAnsi" w:hAnsi="Cambria Math" w:cs="Cambria Math"/>
          <w:color w:val="auto"/>
          <w:sz w:val="22"/>
          <w:szCs w:val="22"/>
        </w:rPr>
        <w:t>‑</w:t>
      </w:r>
      <w:r w:rsidRPr="001C224D">
        <w:rPr>
          <w:rFonts w:asciiTheme="minorHAnsi" w:eastAsiaTheme="minorHAnsi" w:hAnsiTheme="minorHAnsi" w:cstheme="minorHAnsi"/>
          <w:color w:val="auto"/>
          <w:sz w:val="22"/>
          <w:szCs w:val="22"/>
        </w:rPr>
        <w:t>based forecasting models. The dataset used for this analysis is a fictional training dataset designed to simulate realistic business conditions.</w:t>
      </w:r>
    </w:p>
    <w:p w14:paraId="1F8B7158" w14:textId="115843F8" w:rsidR="001C224D" w:rsidRPr="001C224D" w:rsidRDefault="001C224D" w:rsidP="001C224D">
      <w:pPr>
        <w:pStyle w:val="Heading1"/>
        <w:spacing w:before="0" w:line="360" w:lineRule="auto"/>
        <w:rPr>
          <w:rFonts w:asciiTheme="minorHAnsi" w:eastAsiaTheme="minorHAnsi" w:hAnsiTheme="minorHAnsi" w:cstheme="minorHAnsi"/>
          <w:color w:val="auto"/>
          <w:sz w:val="22"/>
          <w:szCs w:val="22"/>
        </w:rPr>
      </w:pPr>
      <w:r w:rsidRPr="001C224D">
        <w:rPr>
          <w:rFonts w:asciiTheme="minorHAnsi" w:eastAsiaTheme="minorHAnsi" w:hAnsiTheme="minorHAnsi" w:cstheme="minorHAnsi"/>
          <w:color w:val="auto"/>
          <w:sz w:val="22"/>
          <w:szCs w:val="22"/>
        </w:rPr>
        <w:t>Because 2023 data was incomplete, a 20% uplift was applied to approximate year</w:t>
      </w:r>
      <w:r w:rsidRPr="001C224D">
        <w:rPr>
          <w:rFonts w:ascii="Cambria Math" w:eastAsiaTheme="minorHAnsi" w:hAnsi="Cambria Math" w:cs="Cambria Math"/>
          <w:color w:val="auto"/>
          <w:sz w:val="22"/>
          <w:szCs w:val="22"/>
        </w:rPr>
        <w:t>‑</w:t>
      </w:r>
      <w:r w:rsidRPr="001C224D">
        <w:rPr>
          <w:rFonts w:asciiTheme="minorHAnsi" w:eastAsiaTheme="minorHAnsi" w:hAnsiTheme="minorHAnsi" w:cstheme="minorHAnsi"/>
          <w:color w:val="auto"/>
          <w:sz w:val="22"/>
          <w:szCs w:val="22"/>
        </w:rPr>
        <w:t>end totals. Linear forecasting was used to project 2024 performance, and inventory efficiency was evaluated using grouped bar charts and a log</w:t>
      </w:r>
      <w:r w:rsidRPr="001C224D">
        <w:rPr>
          <w:rFonts w:ascii="Cambria Math" w:eastAsiaTheme="minorHAnsi" w:hAnsi="Cambria Math" w:cs="Cambria Math"/>
          <w:color w:val="auto"/>
          <w:sz w:val="22"/>
          <w:szCs w:val="22"/>
        </w:rPr>
        <w:t>‑</w:t>
      </w:r>
      <w:r w:rsidRPr="001C224D">
        <w:rPr>
          <w:rFonts w:asciiTheme="minorHAnsi" w:eastAsiaTheme="minorHAnsi" w:hAnsiTheme="minorHAnsi" w:cstheme="minorHAnsi"/>
          <w:color w:val="auto"/>
          <w:sz w:val="22"/>
          <w:szCs w:val="22"/>
        </w:rPr>
        <w:t>log scatterplot to accommodate wide variation in product volumes.</w:t>
      </w:r>
    </w:p>
    <w:p w14:paraId="6FA5D400" w14:textId="77777777" w:rsidR="001C224D" w:rsidRDefault="001C224D" w:rsidP="001C224D">
      <w:pPr>
        <w:pStyle w:val="Heading1"/>
        <w:spacing w:before="0" w:line="360" w:lineRule="auto"/>
        <w:rPr>
          <w:rFonts w:asciiTheme="minorHAnsi" w:eastAsiaTheme="minorHAnsi" w:hAnsiTheme="minorHAnsi" w:cstheme="minorHAnsi"/>
          <w:color w:val="auto"/>
          <w:sz w:val="22"/>
          <w:szCs w:val="22"/>
        </w:rPr>
      </w:pPr>
      <w:r w:rsidRPr="001C224D">
        <w:rPr>
          <w:rFonts w:asciiTheme="minorHAnsi" w:eastAsiaTheme="minorHAnsi" w:hAnsiTheme="minorHAnsi" w:cstheme="minorHAnsi"/>
          <w:color w:val="auto"/>
          <w:sz w:val="22"/>
          <w:szCs w:val="22"/>
        </w:rPr>
        <w:t>The analysis highlights strong regional growth opportunities, clear product winners and underperformers, stable payment preferences, and significant inefficiencies in ACME’s inventory strategy.</w:t>
      </w:r>
    </w:p>
    <w:p w14:paraId="23D04E8B" w14:textId="03305126" w:rsidR="007E45F4" w:rsidRDefault="007E45F4" w:rsidP="001C224D">
      <w:pPr>
        <w:pStyle w:val="Heading1"/>
        <w:spacing w:line="360" w:lineRule="auto"/>
      </w:pPr>
      <w:r>
        <w:t>Key Insights</w:t>
      </w:r>
    </w:p>
    <w:p w14:paraId="31CF4AF0" w14:textId="77777777" w:rsidR="0068313A" w:rsidRPr="0068313A" w:rsidRDefault="0068313A" w:rsidP="0068313A">
      <w:pPr>
        <w:spacing w:line="360" w:lineRule="auto"/>
      </w:pPr>
      <w:r w:rsidRPr="0068313A">
        <w:t>ACME’s customer growth is concentrated in Quebec and Manitoba, while Alberta and New Brunswick show consistent declines. Product performance is polarized: the top five products continue to grow and are projected to generate higher revenue in 2024, while the bottom five products show declining demand and remain unprofitable.</w:t>
      </w:r>
    </w:p>
    <w:p w14:paraId="063A5C23" w14:textId="20D9D81E" w:rsidR="00FC3054" w:rsidRPr="00F917B0" w:rsidRDefault="0068313A" w:rsidP="00F917B0">
      <w:pPr>
        <w:spacing w:line="360" w:lineRule="auto"/>
      </w:pPr>
      <w:r w:rsidRPr="0068313A">
        <w:t xml:space="preserve">VISA dominates payment behavior, with </w:t>
      </w:r>
      <w:proofErr w:type="spellStart"/>
      <w:r w:rsidRPr="0068313A">
        <w:t>ApplePay</w:t>
      </w:r>
      <w:proofErr w:type="spellEnd"/>
      <w:r w:rsidRPr="0068313A">
        <w:t xml:space="preserve"> showing gradual adoption. Inventory management presents the largest operational challenge, with several products significantly overstocked and others at risk of stockouts. The log</w:t>
      </w:r>
      <w:r w:rsidRPr="0068313A">
        <w:noBreakHyphen/>
        <w:t>log scatterplot highlights clear inefficiencies in inventory allocation, and warehouse analysis shows that Kelowna holds disproportionate stock relative to customer distribution.</w:t>
      </w:r>
    </w:p>
    <w:p w14:paraId="252BBEBA" w14:textId="77777777" w:rsidR="0068313A" w:rsidRDefault="0068313A">
      <w:pPr>
        <w:rPr>
          <w:rFonts w:asciiTheme="majorHAnsi" w:eastAsiaTheme="majorEastAsia" w:hAnsiTheme="majorHAnsi" w:cstheme="majorBidi"/>
          <w:color w:val="2F5496" w:themeColor="accent1" w:themeShade="BF"/>
          <w:sz w:val="32"/>
          <w:szCs w:val="32"/>
          <w:lang w:val="en-US"/>
        </w:rPr>
      </w:pPr>
      <w:r>
        <w:rPr>
          <w:lang w:val="en-US"/>
        </w:rPr>
        <w:br w:type="page"/>
      </w:r>
    </w:p>
    <w:p w14:paraId="54D89780" w14:textId="3BC8E5FC" w:rsidR="00FE787C" w:rsidRPr="00D71663" w:rsidRDefault="00FE787C" w:rsidP="00F917B0">
      <w:pPr>
        <w:pStyle w:val="Heading1"/>
        <w:spacing w:line="360" w:lineRule="auto"/>
        <w:rPr>
          <w:lang w:val="en-US"/>
        </w:rPr>
      </w:pPr>
      <w:r w:rsidRPr="00D71663">
        <w:rPr>
          <w:lang w:val="en-US"/>
        </w:rPr>
        <w:lastRenderedPageBreak/>
        <w:t>Customers by Region</w:t>
      </w:r>
    </w:p>
    <w:p w14:paraId="76FB2B31" w14:textId="0313EDF4" w:rsidR="00A1151D" w:rsidRPr="00FD4081" w:rsidRDefault="00A1151D" w:rsidP="0068313A">
      <w:pPr>
        <w:pStyle w:val="Subtitle"/>
        <w:spacing w:after="0" w:line="360" w:lineRule="auto"/>
        <w:rPr>
          <w:sz w:val="24"/>
          <w:szCs w:val="24"/>
        </w:rPr>
      </w:pPr>
      <w:r w:rsidRPr="00FD4081">
        <w:rPr>
          <w:sz w:val="24"/>
          <w:szCs w:val="24"/>
        </w:rPr>
        <w:t>Approach</w:t>
      </w:r>
    </w:p>
    <w:p w14:paraId="0D7D9623" w14:textId="016D7C4C" w:rsidR="00CC74E6" w:rsidRDefault="00CC74E6" w:rsidP="00F917B0">
      <w:pPr>
        <w:spacing w:after="0" w:line="360" w:lineRule="auto"/>
      </w:pPr>
      <w:r w:rsidRPr="00CC74E6">
        <w:t>Customer counts and revenue by province were extracted using SQL. After adjusting 2023 data, linear forecasts were generated for 2024 to identify emerging and declining markets.</w:t>
      </w:r>
    </w:p>
    <w:p w14:paraId="1FE56D23" w14:textId="252E6955" w:rsidR="001C3C13" w:rsidRPr="00FD4081" w:rsidRDefault="001C3C13" w:rsidP="00B7377F">
      <w:pPr>
        <w:pStyle w:val="Subtitle"/>
        <w:spacing w:before="240" w:after="0" w:line="360" w:lineRule="auto"/>
        <w:rPr>
          <w:sz w:val="24"/>
          <w:szCs w:val="24"/>
        </w:rPr>
      </w:pPr>
      <w:r w:rsidRPr="00FD4081">
        <w:rPr>
          <w:sz w:val="24"/>
          <w:szCs w:val="24"/>
        </w:rPr>
        <w:t>Customer Distribution</w:t>
      </w:r>
    </w:p>
    <w:p w14:paraId="08185CC6" w14:textId="22037D62" w:rsidR="001C3C13" w:rsidRDefault="001C3C13" w:rsidP="00F917B0">
      <w:pPr>
        <w:spacing w:line="360" w:lineRule="auto"/>
        <w:jc w:val="center"/>
      </w:pPr>
      <w:r>
        <w:rPr>
          <w:noProof/>
          <w:lang w:val="en-US"/>
        </w:rPr>
        <w:drawing>
          <wp:inline distT="0" distB="0" distL="0" distR="0" wp14:anchorId="7AEDCD59" wp14:editId="7ACE99C5">
            <wp:extent cx="5882983" cy="4655127"/>
            <wp:effectExtent l="0" t="0" r="3810" b="0"/>
            <wp:docPr id="775638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638521" name="Picture 77563852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83989" cy="4735052"/>
                    </a:xfrm>
                    <a:prstGeom prst="rect">
                      <a:avLst/>
                    </a:prstGeom>
                  </pic:spPr>
                </pic:pic>
              </a:graphicData>
            </a:graphic>
          </wp:inline>
        </w:drawing>
      </w:r>
    </w:p>
    <w:p w14:paraId="60D20B4F" w14:textId="0BFC1C73" w:rsidR="001C3C13" w:rsidRDefault="005968CB" w:rsidP="00F917B0">
      <w:pPr>
        <w:spacing w:line="360" w:lineRule="auto"/>
      </w:pPr>
      <w:r w:rsidRPr="00302BDA">
        <w:t>This chart shows that Manitoba, Saskatchewan, and Quebec currently hold the largest share of ACME’s customer base. British Columbia and Ontario remain consistently low, indicating limited market penetration.</w:t>
      </w:r>
    </w:p>
    <w:p w14:paraId="62D95112" w14:textId="77777777" w:rsidR="00B7377F" w:rsidRDefault="00B7377F" w:rsidP="00F917B0">
      <w:pPr>
        <w:spacing w:line="360" w:lineRule="auto"/>
      </w:pPr>
    </w:p>
    <w:p w14:paraId="3E80472C" w14:textId="77777777" w:rsidR="00B7377F" w:rsidRDefault="00B7377F" w:rsidP="00F917B0">
      <w:pPr>
        <w:spacing w:line="360" w:lineRule="auto"/>
      </w:pPr>
    </w:p>
    <w:p w14:paraId="1502925E" w14:textId="77777777" w:rsidR="00B7377F" w:rsidRPr="00302BDA" w:rsidRDefault="00B7377F" w:rsidP="00F917B0">
      <w:pPr>
        <w:spacing w:line="360" w:lineRule="auto"/>
      </w:pPr>
    </w:p>
    <w:p w14:paraId="4E08DA48" w14:textId="7F58E760" w:rsidR="006350CD" w:rsidRPr="00FD4081" w:rsidRDefault="006350CD" w:rsidP="00F917B0">
      <w:pPr>
        <w:pStyle w:val="Subtitle"/>
        <w:spacing w:after="0" w:line="360" w:lineRule="auto"/>
        <w:rPr>
          <w:sz w:val="24"/>
          <w:szCs w:val="24"/>
        </w:rPr>
      </w:pPr>
      <w:r w:rsidRPr="00FD4081">
        <w:rPr>
          <w:sz w:val="24"/>
          <w:szCs w:val="24"/>
        </w:rPr>
        <w:lastRenderedPageBreak/>
        <w:t>Customer Trends – Declining Regions</w:t>
      </w:r>
    </w:p>
    <w:p w14:paraId="7F54ACD5" w14:textId="3436A75A" w:rsidR="006350CD" w:rsidRDefault="006350CD" w:rsidP="00F917B0">
      <w:pPr>
        <w:spacing w:line="360" w:lineRule="auto"/>
        <w:jc w:val="center"/>
      </w:pPr>
      <w:r>
        <w:rPr>
          <w:noProof/>
        </w:rPr>
        <w:drawing>
          <wp:inline distT="0" distB="0" distL="0" distR="0" wp14:anchorId="2FBEEFC7" wp14:editId="6FE2C60C">
            <wp:extent cx="4266161" cy="2774372"/>
            <wp:effectExtent l="0" t="0" r="1270" b="6985"/>
            <wp:docPr id="2252738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00778" cy="2796884"/>
                    </a:xfrm>
                    <a:prstGeom prst="rect">
                      <a:avLst/>
                    </a:prstGeom>
                    <a:noFill/>
                    <a:ln>
                      <a:noFill/>
                    </a:ln>
                  </pic:spPr>
                </pic:pic>
              </a:graphicData>
            </a:graphic>
          </wp:inline>
        </w:drawing>
      </w:r>
    </w:p>
    <w:p w14:paraId="5D22FAE9" w14:textId="16A7B346" w:rsidR="00D851E0" w:rsidRPr="00D851E0" w:rsidRDefault="00302BDA" w:rsidP="00F917B0">
      <w:pPr>
        <w:spacing w:line="360" w:lineRule="auto"/>
      </w:pPr>
      <w:r w:rsidRPr="00302BDA">
        <w:t>Alberta, New Brunswick, Nova Scotia, Ontario, and Prince Edward Island show steady declines, with Alberta and New Brunswick experiencing the sharpest drops</w:t>
      </w:r>
      <w:r w:rsidR="00D851E0" w:rsidRPr="00D851E0">
        <w:t>, suggesting potential customer attrition or reduced engagement.</w:t>
      </w:r>
    </w:p>
    <w:p w14:paraId="15CCAD5C" w14:textId="19325CFA" w:rsidR="006350CD" w:rsidRPr="00FD4081" w:rsidRDefault="00D851E0" w:rsidP="00F917B0">
      <w:pPr>
        <w:pStyle w:val="Subtitle"/>
        <w:spacing w:after="0" w:line="360" w:lineRule="auto"/>
        <w:rPr>
          <w:sz w:val="24"/>
          <w:szCs w:val="24"/>
        </w:rPr>
      </w:pPr>
      <w:r w:rsidRPr="00FD4081">
        <w:rPr>
          <w:sz w:val="24"/>
          <w:szCs w:val="24"/>
        </w:rPr>
        <w:t>Customer Trends – Increasing Regions</w:t>
      </w:r>
    </w:p>
    <w:p w14:paraId="69730527" w14:textId="7689BD5E" w:rsidR="006B5A7C" w:rsidRPr="00DE6621" w:rsidRDefault="00E04EB8" w:rsidP="00F917B0">
      <w:pPr>
        <w:spacing w:line="360" w:lineRule="auto"/>
        <w:jc w:val="center"/>
      </w:pPr>
      <w:r>
        <w:rPr>
          <w:noProof/>
        </w:rPr>
        <w:drawing>
          <wp:inline distT="0" distB="0" distL="0" distR="0" wp14:anchorId="45B63867" wp14:editId="289B20D9">
            <wp:extent cx="4662054" cy="3149590"/>
            <wp:effectExtent l="0" t="0" r="5715" b="0"/>
            <wp:docPr id="549149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82729" cy="3163558"/>
                    </a:xfrm>
                    <a:prstGeom prst="rect">
                      <a:avLst/>
                    </a:prstGeom>
                    <a:noFill/>
                    <a:ln>
                      <a:noFill/>
                    </a:ln>
                  </pic:spPr>
                </pic:pic>
              </a:graphicData>
            </a:graphic>
          </wp:inline>
        </w:drawing>
      </w:r>
    </w:p>
    <w:p w14:paraId="068E332F" w14:textId="4956A249" w:rsidR="00C315EA" w:rsidRDefault="00D564C9" w:rsidP="00F917B0">
      <w:pPr>
        <w:spacing w:after="0" w:line="360" w:lineRule="auto"/>
      </w:pPr>
      <w:r w:rsidRPr="00D564C9">
        <w:t>British Columbia, Manitoba, Newfoundland &amp; Labrador, Quebec, and Saskatchewan show consistent growth, with Quebec and Manitoba</w:t>
      </w:r>
      <w:r w:rsidR="0057624F" w:rsidRPr="0057624F">
        <w:t xml:space="preserve"> stand</w:t>
      </w:r>
      <w:r>
        <w:t>ing</w:t>
      </w:r>
      <w:r w:rsidR="0057624F" w:rsidRPr="0057624F">
        <w:t xml:space="preserve"> out as the strongest growth markets.</w:t>
      </w:r>
    </w:p>
    <w:p w14:paraId="3F12B58C" w14:textId="77777777" w:rsidR="0057624F" w:rsidRDefault="0057624F" w:rsidP="00F917B0">
      <w:pPr>
        <w:spacing w:after="0" w:line="360" w:lineRule="auto"/>
        <w:rPr>
          <w:lang w:val="en-US"/>
        </w:rPr>
      </w:pPr>
    </w:p>
    <w:p w14:paraId="1D183367" w14:textId="77777777" w:rsidR="00F21D59" w:rsidRPr="00FD4081" w:rsidRDefault="00F21D59" w:rsidP="00F917B0">
      <w:pPr>
        <w:pStyle w:val="Subtitle"/>
        <w:spacing w:after="0" w:line="360" w:lineRule="auto"/>
        <w:rPr>
          <w:noProof/>
          <w:sz w:val="24"/>
          <w:szCs w:val="24"/>
        </w:rPr>
      </w:pPr>
      <w:r w:rsidRPr="00FD4081">
        <w:rPr>
          <w:noProof/>
          <w:sz w:val="24"/>
          <w:szCs w:val="24"/>
        </w:rPr>
        <w:t>Findings</w:t>
      </w:r>
    </w:p>
    <w:p w14:paraId="4478BD00" w14:textId="77777777" w:rsidR="00F21D59" w:rsidRPr="00D84DB8" w:rsidRDefault="00F21D59" w:rsidP="00F917B0">
      <w:pPr>
        <w:numPr>
          <w:ilvl w:val="0"/>
          <w:numId w:val="7"/>
        </w:numPr>
        <w:spacing w:after="0" w:line="360" w:lineRule="auto"/>
        <w:rPr>
          <w:noProof/>
        </w:rPr>
      </w:pPr>
      <w:r w:rsidRPr="00D84DB8">
        <w:rPr>
          <w:noProof/>
        </w:rPr>
        <w:t>Quebec and Manitoba show strong upward trends and are projected to grow further in 2024.</w:t>
      </w:r>
    </w:p>
    <w:p w14:paraId="66F786E2" w14:textId="77777777" w:rsidR="00F21D59" w:rsidRPr="00D84DB8" w:rsidRDefault="00F21D59" w:rsidP="00F917B0">
      <w:pPr>
        <w:numPr>
          <w:ilvl w:val="0"/>
          <w:numId w:val="7"/>
        </w:numPr>
        <w:spacing w:after="0" w:line="360" w:lineRule="auto"/>
        <w:rPr>
          <w:noProof/>
        </w:rPr>
      </w:pPr>
      <w:r w:rsidRPr="00D84DB8">
        <w:rPr>
          <w:noProof/>
        </w:rPr>
        <w:t>Prince Edward Island, Newfoundland &amp; Labrador, Saskatchewan, and British Columbia remain stable.</w:t>
      </w:r>
    </w:p>
    <w:p w14:paraId="40FE7CCB" w14:textId="77777777" w:rsidR="00F21D59" w:rsidRPr="00D84DB8" w:rsidRDefault="00F21D59" w:rsidP="00F917B0">
      <w:pPr>
        <w:numPr>
          <w:ilvl w:val="0"/>
          <w:numId w:val="7"/>
        </w:numPr>
        <w:spacing w:after="0" w:line="360" w:lineRule="auto"/>
        <w:rPr>
          <w:noProof/>
        </w:rPr>
      </w:pPr>
      <w:r w:rsidRPr="00D84DB8">
        <w:rPr>
          <w:noProof/>
        </w:rPr>
        <w:t>Alberta and New Brunswick show notable declines in customer count.</w:t>
      </w:r>
    </w:p>
    <w:p w14:paraId="7E0658C6" w14:textId="77777777" w:rsidR="00F21D59" w:rsidRPr="00D84DB8" w:rsidRDefault="00F21D59" w:rsidP="00F917B0">
      <w:pPr>
        <w:numPr>
          <w:ilvl w:val="0"/>
          <w:numId w:val="7"/>
        </w:numPr>
        <w:spacing w:after="0" w:line="360" w:lineRule="auto"/>
        <w:rPr>
          <w:noProof/>
        </w:rPr>
      </w:pPr>
      <w:r w:rsidRPr="00D84DB8">
        <w:rPr>
          <w:noProof/>
        </w:rPr>
        <w:t>Ontario remains consistently low.</w:t>
      </w:r>
    </w:p>
    <w:p w14:paraId="5488ACBF" w14:textId="77777777" w:rsidR="00F21D59" w:rsidRPr="00D84DB8" w:rsidRDefault="00F21D59" w:rsidP="00F917B0">
      <w:pPr>
        <w:numPr>
          <w:ilvl w:val="0"/>
          <w:numId w:val="7"/>
        </w:numPr>
        <w:spacing w:after="0" w:line="360" w:lineRule="auto"/>
        <w:rPr>
          <w:noProof/>
        </w:rPr>
      </w:pPr>
      <w:r w:rsidRPr="00D84DB8">
        <w:rPr>
          <w:noProof/>
        </w:rPr>
        <w:t>Northern territories (Yukon, NWT, Nunavut) show no customer activity.</w:t>
      </w:r>
    </w:p>
    <w:p w14:paraId="7CE2E735" w14:textId="469141C8" w:rsidR="00B85099" w:rsidRPr="00F21D59" w:rsidRDefault="00B85099" w:rsidP="00F917B0">
      <w:pPr>
        <w:spacing w:after="0" w:line="360" w:lineRule="auto"/>
        <w:rPr>
          <w:noProof/>
        </w:rPr>
      </w:pPr>
    </w:p>
    <w:p w14:paraId="14C5CFF1" w14:textId="77777777" w:rsidR="0057605B" w:rsidRPr="00FD4081" w:rsidRDefault="0057605B" w:rsidP="00F917B0">
      <w:pPr>
        <w:pStyle w:val="Subtitle"/>
        <w:spacing w:after="0" w:line="360" w:lineRule="auto"/>
        <w:rPr>
          <w:noProof/>
          <w:sz w:val="24"/>
          <w:szCs w:val="24"/>
        </w:rPr>
      </w:pPr>
      <w:r w:rsidRPr="00FD4081">
        <w:rPr>
          <w:noProof/>
          <w:sz w:val="24"/>
          <w:szCs w:val="24"/>
        </w:rPr>
        <w:t>Recommendation</w:t>
      </w:r>
    </w:p>
    <w:p w14:paraId="459AE254" w14:textId="755D94D3" w:rsidR="00B114F9" w:rsidRDefault="00B114F9" w:rsidP="00F917B0">
      <w:pPr>
        <w:numPr>
          <w:ilvl w:val="0"/>
          <w:numId w:val="8"/>
        </w:numPr>
        <w:spacing w:after="0" w:line="360" w:lineRule="auto"/>
        <w:rPr>
          <w:noProof/>
        </w:rPr>
      </w:pPr>
      <w:r>
        <w:rPr>
          <w:noProof/>
        </w:rPr>
        <w:t>Increase marketing and customer retention efforts in Alberta and New Brunswick.</w:t>
      </w:r>
    </w:p>
    <w:p w14:paraId="54C17582" w14:textId="3654CA76" w:rsidR="00B114F9" w:rsidRDefault="00B114F9" w:rsidP="00F917B0">
      <w:pPr>
        <w:numPr>
          <w:ilvl w:val="0"/>
          <w:numId w:val="8"/>
        </w:numPr>
        <w:spacing w:after="0" w:line="360" w:lineRule="auto"/>
        <w:rPr>
          <w:noProof/>
        </w:rPr>
      </w:pPr>
      <w:r>
        <w:rPr>
          <w:noProof/>
        </w:rPr>
        <w:t>Prioritize Quebec and Manitoba for future growth initiatives.</w:t>
      </w:r>
    </w:p>
    <w:p w14:paraId="520E5D84" w14:textId="1CC5EB59" w:rsidR="00312460" w:rsidRPr="00B827FB" w:rsidRDefault="00B114F9" w:rsidP="00F917B0">
      <w:pPr>
        <w:numPr>
          <w:ilvl w:val="0"/>
          <w:numId w:val="8"/>
        </w:numPr>
        <w:spacing w:after="0" w:line="360" w:lineRule="auto"/>
        <w:rPr>
          <w:b/>
          <w:bCs/>
          <w:noProof/>
        </w:rPr>
      </w:pPr>
      <w:r>
        <w:rPr>
          <w:noProof/>
        </w:rPr>
        <w:t>Evaluate whether expanding into northern territories is cost</w:t>
      </w:r>
      <w:r>
        <w:rPr>
          <w:rFonts w:ascii="Cambria Math" w:hAnsi="Cambria Math" w:cs="Cambria Math"/>
          <w:noProof/>
        </w:rPr>
        <w:t>‑</w:t>
      </w:r>
      <w:r>
        <w:rPr>
          <w:noProof/>
        </w:rPr>
        <w:t>effective given their small populations.</w:t>
      </w:r>
      <w:r w:rsidR="00312460" w:rsidRPr="00B827FB">
        <w:rPr>
          <w:lang w:val="en-US"/>
        </w:rPr>
        <w:br w:type="page"/>
      </w:r>
    </w:p>
    <w:p w14:paraId="2F135924" w14:textId="77777777" w:rsidR="00FE787C" w:rsidRPr="00D71663" w:rsidRDefault="00FE787C" w:rsidP="00F917B0">
      <w:pPr>
        <w:pStyle w:val="Heading1"/>
        <w:spacing w:line="360" w:lineRule="auto"/>
        <w:rPr>
          <w:lang w:val="en-US"/>
        </w:rPr>
      </w:pPr>
      <w:r w:rsidRPr="00D71663">
        <w:rPr>
          <w:lang w:val="en-US"/>
        </w:rPr>
        <w:lastRenderedPageBreak/>
        <w:t>Best and Worst Products</w:t>
      </w:r>
    </w:p>
    <w:p w14:paraId="0DCA19E7" w14:textId="1BC40ED1" w:rsidR="008B6CEF" w:rsidRPr="00FD4081" w:rsidRDefault="008B6CEF" w:rsidP="00F917B0">
      <w:pPr>
        <w:pStyle w:val="Subtitle"/>
        <w:spacing w:after="0" w:line="360" w:lineRule="auto"/>
        <w:rPr>
          <w:sz w:val="24"/>
          <w:szCs w:val="24"/>
          <w:lang w:val="en-US"/>
        </w:rPr>
      </w:pPr>
      <w:r w:rsidRPr="00FD4081">
        <w:rPr>
          <w:sz w:val="24"/>
          <w:szCs w:val="24"/>
          <w:lang w:val="en-US"/>
        </w:rPr>
        <w:t>Approach</w:t>
      </w:r>
    </w:p>
    <w:p w14:paraId="72B976B0" w14:textId="77777777" w:rsidR="00D91D61" w:rsidRDefault="00D91D61" w:rsidP="00F917B0">
      <w:pPr>
        <w:pStyle w:val="Subtitle"/>
        <w:spacing w:after="0" w:line="360" w:lineRule="auto"/>
        <w:rPr>
          <w:rFonts w:eastAsiaTheme="minorHAnsi"/>
          <w:color w:val="auto"/>
          <w:spacing w:val="0"/>
        </w:rPr>
      </w:pPr>
      <w:r w:rsidRPr="00D91D61">
        <w:rPr>
          <w:rFonts w:eastAsiaTheme="minorHAnsi"/>
          <w:color w:val="auto"/>
          <w:spacing w:val="0"/>
        </w:rPr>
        <w:t>Top and bottom products were identified using SQL based on historical quantity sold. Products with inconsistent trend directions were removed. Linear forecasts were applied to project 2024 performance.</w:t>
      </w:r>
    </w:p>
    <w:p w14:paraId="5CD4B0D6" w14:textId="51DBA799" w:rsidR="00CB2241" w:rsidRPr="00FD4081" w:rsidRDefault="00CB2241" w:rsidP="00F917B0">
      <w:pPr>
        <w:pStyle w:val="Subtitle"/>
        <w:spacing w:after="0" w:line="360" w:lineRule="auto"/>
        <w:rPr>
          <w:sz w:val="24"/>
          <w:szCs w:val="24"/>
          <w:lang w:val="en-US"/>
        </w:rPr>
      </w:pPr>
      <w:r w:rsidRPr="00FD4081">
        <w:rPr>
          <w:sz w:val="24"/>
          <w:szCs w:val="24"/>
        </w:rPr>
        <w:t>Top 5 Product Trends</w:t>
      </w:r>
    </w:p>
    <w:p w14:paraId="700EDA5C" w14:textId="77777777" w:rsidR="00CB2241" w:rsidRDefault="00D43BC2" w:rsidP="00F917B0">
      <w:pPr>
        <w:spacing w:line="360" w:lineRule="auto"/>
        <w:jc w:val="center"/>
        <w:rPr>
          <w:lang w:val="en-US"/>
        </w:rPr>
      </w:pPr>
      <w:r w:rsidRPr="008B6CEF">
        <w:rPr>
          <w:noProof/>
          <w:lang w:val="en-US"/>
        </w:rPr>
        <w:drawing>
          <wp:inline distT="0" distB="0" distL="0" distR="0" wp14:anchorId="2160BAAB" wp14:editId="3E971E90">
            <wp:extent cx="4505777" cy="2874818"/>
            <wp:effectExtent l="0" t="0" r="9525" b="1905"/>
            <wp:docPr id="19285322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35577" cy="2957634"/>
                    </a:xfrm>
                    <a:prstGeom prst="rect">
                      <a:avLst/>
                    </a:prstGeom>
                    <a:noFill/>
                    <a:ln>
                      <a:noFill/>
                    </a:ln>
                  </pic:spPr>
                </pic:pic>
              </a:graphicData>
            </a:graphic>
          </wp:inline>
        </w:drawing>
      </w:r>
    </w:p>
    <w:p w14:paraId="01DEAE17" w14:textId="7A09C39E" w:rsidR="00CB2241" w:rsidRPr="00D91D61" w:rsidRDefault="00AA79C0" w:rsidP="00F917B0">
      <w:pPr>
        <w:spacing w:line="360" w:lineRule="auto"/>
      </w:pPr>
      <w:r w:rsidRPr="00D91D61">
        <w:t>The forecast chart shows consistent upward trajectories for all top products. The Incredible Wool Plate and Mediocre Aluminum Plate show the strongest projected growth into 2024.</w:t>
      </w:r>
    </w:p>
    <w:p w14:paraId="16EB6976" w14:textId="4E69C91C" w:rsidR="00AA79C0" w:rsidRPr="00FD4081" w:rsidRDefault="00AA79C0" w:rsidP="00F917B0">
      <w:pPr>
        <w:pStyle w:val="Subtitle"/>
        <w:spacing w:after="0" w:line="360" w:lineRule="auto"/>
        <w:rPr>
          <w:sz w:val="24"/>
          <w:szCs w:val="24"/>
          <w:lang w:val="en-US"/>
        </w:rPr>
      </w:pPr>
      <w:r w:rsidRPr="00FD4081">
        <w:rPr>
          <w:sz w:val="24"/>
          <w:szCs w:val="24"/>
        </w:rPr>
        <w:t>Bottom 5 Product Trends</w:t>
      </w:r>
    </w:p>
    <w:p w14:paraId="182FC422" w14:textId="6DF52164" w:rsidR="00287B5F" w:rsidRDefault="007D6AC8" w:rsidP="00F917B0">
      <w:pPr>
        <w:spacing w:line="360" w:lineRule="auto"/>
        <w:jc w:val="center"/>
        <w:rPr>
          <w:lang w:val="en-US"/>
        </w:rPr>
      </w:pPr>
      <w:r w:rsidRPr="008B6CEF">
        <w:rPr>
          <w:noProof/>
          <w:lang w:val="en-US"/>
        </w:rPr>
        <w:drawing>
          <wp:inline distT="0" distB="0" distL="0" distR="0" wp14:anchorId="31F0D7C8" wp14:editId="2327EE4D">
            <wp:extent cx="5040031" cy="2819400"/>
            <wp:effectExtent l="0" t="0" r="8255" b="0"/>
            <wp:docPr id="13580460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18342" cy="2919148"/>
                    </a:xfrm>
                    <a:prstGeom prst="rect">
                      <a:avLst/>
                    </a:prstGeom>
                    <a:noFill/>
                    <a:ln>
                      <a:noFill/>
                    </a:ln>
                  </pic:spPr>
                </pic:pic>
              </a:graphicData>
            </a:graphic>
          </wp:inline>
        </w:drawing>
      </w:r>
    </w:p>
    <w:p w14:paraId="3FBA767D" w14:textId="0B0A4FDF" w:rsidR="000236E9" w:rsidRPr="008B6CEF" w:rsidRDefault="00F211B9" w:rsidP="00F917B0">
      <w:pPr>
        <w:spacing w:line="360" w:lineRule="auto"/>
        <w:rPr>
          <w:lang w:val="en-US"/>
        </w:rPr>
      </w:pPr>
      <w:r w:rsidRPr="00F211B9">
        <w:lastRenderedPageBreak/>
        <w:t xml:space="preserve">The bottom products show flat or declining trends, with several projected to </w:t>
      </w:r>
      <w:r w:rsidRPr="00F41FF8">
        <w:t>generate negative revenue in 2024 due</w:t>
      </w:r>
      <w:r w:rsidRPr="00F211B9">
        <w:t xml:space="preserve"> to downward linear patterns.</w:t>
      </w:r>
    </w:p>
    <w:p w14:paraId="57029D55" w14:textId="7DBBFA76" w:rsidR="00F211B9" w:rsidRPr="00FD4081" w:rsidRDefault="002227BF" w:rsidP="00F917B0">
      <w:pPr>
        <w:pStyle w:val="Subtitle"/>
        <w:spacing w:after="0" w:line="360" w:lineRule="auto"/>
        <w:rPr>
          <w:sz w:val="24"/>
          <w:szCs w:val="24"/>
        </w:rPr>
      </w:pPr>
      <w:r w:rsidRPr="00FD4081">
        <w:rPr>
          <w:sz w:val="24"/>
          <w:szCs w:val="24"/>
        </w:rPr>
        <w:t>Revenue Over Time – Top Products</w:t>
      </w:r>
    </w:p>
    <w:p w14:paraId="0780F680" w14:textId="5975B5A0" w:rsidR="002227BF" w:rsidRDefault="002227BF" w:rsidP="00F917B0">
      <w:pPr>
        <w:spacing w:line="360" w:lineRule="auto"/>
        <w:jc w:val="center"/>
      </w:pPr>
      <w:r>
        <w:rPr>
          <w:noProof/>
          <w:lang w:val="en-US"/>
        </w:rPr>
        <w:drawing>
          <wp:inline distT="0" distB="0" distL="0" distR="0" wp14:anchorId="13C5B03E" wp14:editId="74945A59">
            <wp:extent cx="5133109" cy="2813761"/>
            <wp:effectExtent l="0" t="0" r="0" b="5715"/>
            <wp:docPr id="14721028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40360" cy="2817735"/>
                    </a:xfrm>
                    <a:prstGeom prst="rect">
                      <a:avLst/>
                    </a:prstGeom>
                    <a:noFill/>
                    <a:ln>
                      <a:noFill/>
                    </a:ln>
                  </pic:spPr>
                </pic:pic>
              </a:graphicData>
            </a:graphic>
          </wp:inline>
        </w:drawing>
      </w:r>
    </w:p>
    <w:p w14:paraId="0D6C8F3F" w14:textId="6D51F656" w:rsidR="002227BF" w:rsidRDefault="009B0DE4" w:rsidP="00F917B0">
      <w:pPr>
        <w:spacing w:line="360" w:lineRule="auto"/>
      </w:pPr>
      <w:r w:rsidRPr="009B0DE4">
        <w:t>Top products generate significantly higher revenue and show stable year</w:t>
      </w:r>
      <w:r w:rsidRPr="009B0DE4">
        <w:noBreakHyphen/>
        <w:t>over</w:t>
      </w:r>
      <w:r w:rsidRPr="009B0DE4">
        <w:noBreakHyphen/>
        <w:t>year growth.</w:t>
      </w:r>
    </w:p>
    <w:p w14:paraId="6038C66F" w14:textId="30B6E647" w:rsidR="009B0DE4" w:rsidRPr="00FD4081" w:rsidRDefault="009B0DE4" w:rsidP="00F917B0">
      <w:pPr>
        <w:pStyle w:val="Subtitle"/>
        <w:spacing w:after="0" w:line="360" w:lineRule="auto"/>
        <w:rPr>
          <w:sz w:val="24"/>
          <w:szCs w:val="24"/>
        </w:rPr>
      </w:pPr>
      <w:r w:rsidRPr="00FD4081">
        <w:rPr>
          <w:sz w:val="24"/>
          <w:szCs w:val="24"/>
        </w:rPr>
        <w:t>Revenue Over Time – Bottom Products</w:t>
      </w:r>
    </w:p>
    <w:p w14:paraId="3AA45600" w14:textId="126F6529" w:rsidR="003434AD" w:rsidRPr="003434AD" w:rsidRDefault="003434AD" w:rsidP="00F917B0">
      <w:pPr>
        <w:spacing w:line="360" w:lineRule="auto"/>
        <w:jc w:val="center"/>
      </w:pPr>
      <w:r>
        <w:rPr>
          <w:noProof/>
          <w:lang w:val="en-US"/>
        </w:rPr>
        <w:drawing>
          <wp:inline distT="0" distB="0" distL="0" distR="0" wp14:anchorId="56887F2E" wp14:editId="390CECBD">
            <wp:extent cx="5346105" cy="3131127"/>
            <wp:effectExtent l="0" t="0" r="6985" b="0"/>
            <wp:docPr id="9392237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58361" cy="3138305"/>
                    </a:xfrm>
                    <a:prstGeom prst="rect">
                      <a:avLst/>
                    </a:prstGeom>
                    <a:noFill/>
                    <a:ln>
                      <a:noFill/>
                    </a:ln>
                  </pic:spPr>
                </pic:pic>
              </a:graphicData>
            </a:graphic>
          </wp:inline>
        </w:drawing>
      </w:r>
    </w:p>
    <w:p w14:paraId="707CCE26" w14:textId="03881EFA" w:rsidR="007A78F9" w:rsidRPr="007A78F9" w:rsidRDefault="003434AD" w:rsidP="00F917B0">
      <w:pPr>
        <w:spacing w:line="360" w:lineRule="auto"/>
      </w:pPr>
      <w:r w:rsidRPr="003434AD">
        <w:t>Bottom products contribute minimal revenue and show no signs of recovery.</w:t>
      </w:r>
    </w:p>
    <w:p w14:paraId="1F9FA132" w14:textId="118FDC49" w:rsidR="00D31439" w:rsidRPr="00FD4081" w:rsidRDefault="00D31439" w:rsidP="00F917B0">
      <w:pPr>
        <w:pStyle w:val="Subtitle"/>
        <w:spacing w:after="0" w:line="360" w:lineRule="auto"/>
        <w:rPr>
          <w:sz w:val="24"/>
          <w:szCs w:val="24"/>
          <w:lang w:val="en-US"/>
        </w:rPr>
      </w:pPr>
      <w:r w:rsidRPr="00FD4081">
        <w:rPr>
          <w:sz w:val="24"/>
          <w:szCs w:val="24"/>
          <w:lang w:val="en-US"/>
        </w:rPr>
        <w:lastRenderedPageBreak/>
        <w:t>Findings</w:t>
      </w:r>
    </w:p>
    <w:p w14:paraId="49F7AD5E" w14:textId="77777777" w:rsidR="00D31439" w:rsidRPr="00D31439" w:rsidRDefault="00D31439" w:rsidP="00F917B0">
      <w:pPr>
        <w:pStyle w:val="ListParagraph"/>
        <w:numPr>
          <w:ilvl w:val="0"/>
          <w:numId w:val="10"/>
        </w:numPr>
        <w:spacing w:line="360" w:lineRule="auto"/>
        <w:rPr>
          <w:lang w:val="en-US"/>
        </w:rPr>
      </w:pPr>
      <w:r w:rsidRPr="00D31439">
        <w:rPr>
          <w:b/>
          <w:bCs/>
          <w:lang w:val="en-US"/>
        </w:rPr>
        <w:t>Top 5 products</w:t>
      </w:r>
      <w:r w:rsidRPr="00D31439">
        <w:rPr>
          <w:lang w:val="en-US"/>
        </w:rPr>
        <w:t xml:space="preserve"> (Ergonomic Iron Lamp, Aerodynamic Copper Bag, Incredible Marble Coat, Incredible Wool Plate, Mediocre Aluminum Plate) show consistent growth and strong </w:t>
      </w:r>
      <w:proofErr w:type="gramStart"/>
      <w:r w:rsidRPr="00D31439">
        <w:rPr>
          <w:lang w:val="en-US"/>
        </w:rPr>
        <w:t>projected 2024</w:t>
      </w:r>
      <w:proofErr w:type="gramEnd"/>
      <w:r w:rsidRPr="00D31439">
        <w:rPr>
          <w:lang w:val="en-US"/>
        </w:rPr>
        <w:t xml:space="preserve"> revenue.</w:t>
      </w:r>
    </w:p>
    <w:p w14:paraId="6F57C8F4" w14:textId="77777777" w:rsidR="00D31439" w:rsidRDefault="00D31439" w:rsidP="00F917B0">
      <w:pPr>
        <w:pStyle w:val="ListParagraph"/>
        <w:numPr>
          <w:ilvl w:val="0"/>
          <w:numId w:val="10"/>
        </w:numPr>
        <w:spacing w:line="360" w:lineRule="auto"/>
        <w:rPr>
          <w:lang w:val="en-US"/>
        </w:rPr>
      </w:pPr>
      <w:r w:rsidRPr="00D31439">
        <w:rPr>
          <w:b/>
          <w:bCs/>
          <w:lang w:val="en-US"/>
        </w:rPr>
        <w:t>Bottom 5 products</w:t>
      </w:r>
      <w:r w:rsidRPr="00D31439">
        <w:rPr>
          <w:lang w:val="en-US"/>
        </w:rPr>
        <w:t xml:space="preserve"> show declining or negative projected revenue, with some forecasted to generate negative sales due to linear trend behavior.</w:t>
      </w:r>
    </w:p>
    <w:p w14:paraId="787D0C92" w14:textId="5498BF72" w:rsidR="007D6AC8" w:rsidRPr="0072306D" w:rsidRDefault="00D31439" w:rsidP="00F917B0">
      <w:pPr>
        <w:pStyle w:val="ListParagraph"/>
        <w:numPr>
          <w:ilvl w:val="0"/>
          <w:numId w:val="10"/>
        </w:numPr>
        <w:spacing w:line="360" w:lineRule="auto"/>
        <w:rPr>
          <w:lang w:val="en-US"/>
        </w:rPr>
      </w:pPr>
      <w:r w:rsidRPr="00D31439">
        <w:rPr>
          <w:lang w:val="en-US"/>
        </w:rPr>
        <w:t>These products are unlikely to recover without intervention.</w:t>
      </w:r>
    </w:p>
    <w:p w14:paraId="5001FD87" w14:textId="77777777" w:rsidR="00D31439" w:rsidRPr="00FD4081" w:rsidRDefault="00D31439" w:rsidP="00F917B0">
      <w:pPr>
        <w:pStyle w:val="Subtitle"/>
        <w:spacing w:after="0" w:line="360" w:lineRule="auto"/>
        <w:rPr>
          <w:sz w:val="24"/>
          <w:szCs w:val="24"/>
          <w:lang w:val="en-US"/>
        </w:rPr>
      </w:pPr>
      <w:r w:rsidRPr="00FD4081">
        <w:rPr>
          <w:sz w:val="24"/>
          <w:szCs w:val="24"/>
          <w:lang w:val="en-US"/>
        </w:rPr>
        <w:t>Recommendation</w:t>
      </w:r>
    </w:p>
    <w:p w14:paraId="187CA02D" w14:textId="77777777" w:rsidR="005877CE" w:rsidRPr="005877CE" w:rsidRDefault="005877CE" w:rsidP="00F917B0">
      <w:pPr>
        <w:numPr>
          <w:ilvl w:val="0"/>
          <w:numId w:val="24"/>
        </w:numPr>
        <w:spacing w:after="0" w:line="360" w:lineRule="auto"/>
      </w:pPr>
      <w:r w:rsidRPr="005877CE">
        <w:t>Promote top products through reviews, bundles, and targeted advertising.</w:t>
      </w:r>
    </w:p>
    <w:p w14:paraId="0019ABAE" w14:textId="77777777" w:rsidR="005877CE" w:rsidRPr="005877CE" w:rsidRDefault="005877CE" w:rsidP="00F917B0">
      <w:pPr>
        <w:numPr>
          <w:ilvl w:val="0"/>
          <w:numId w:val="24"/>
        </w:numPr>
        <w:spacing w:after="0" w:line="360" w:lineRule="auto"/>
      </w:pPr>
      <w:r w:rsidRPr="005877CE">
        <w:t>Discount, rebrand, or discontinue bottom products to reduce warehouse costs.</w:t>
      </w:r>
    </w:p>
    <w:p w14:paraId="73DBD0B4" w14:textId="77777777" w:rsidR="005877CE" w:rsidRPr="005877CE" w:rsidRDefault="005877CE" w:rsidP="00F917B0">
      <w:pPr>
        <w:numPr>
          <w:ilvl w:val="0"/>
          <w:numId w:val="24"/>
        </w:numPr>
        <w:spacing w:after="0" w:line="360" w:lineRule="auto"/>
      </w:pPr>
      <w:r w:rsidRPr="005877CE">
        <w:t>Consider liquidation strategies for products forecasted to generate negative revenue.</w:t>
      </w:r>
    </w:p>
    <w:p w14:paraId="6F23032B" w14:textId="77777777" w:rsidR="00857F14" w:rsidRDefault="00857F14" w:rsidP="00F917B0">
      <w:pPr>
        <w:spacing w:line="360" w:lineRule="auto"/>
        <w:rPr>
          <w:rFonts w:asciiTheme="majorHAnsi" w:eastAsiaTheme="majorEastAsia" w:hAnsiTheme="majorHAnsi" w:cstheme="majorBidi"/>
          <w:color w:val="2F5496" w:themeColor="accent1" w:themeShade="BF"/>
          <w:sz w:val="32"/>
          <w:szCs w:val="32"/>
          <w:lang w:val="en-US"/>
        </w:rPr>
      </w:pPr>
      <w:r>
        <w:rPr>
          <w:lang w:val="en-US"/>
        </w:rPr>
        <w:br w:type="page"/>
      </w:r>
    </w:p>
    <w:p w14:paraId="5D8A8A7C" w14:textId="075BFDC4" w:rsidR="00FE787C" w:rsidRPr="00D71663" w:rsidRDefault="00FE787C" w:rsidP="00F917B0">
      <w:pPr>
        <w:pStyle w:val="Heading1"/>
        <w:spacing w:line="360" w:lineRule="auto"/>
        <w:rPr>
          <w:lang w:val="en-US"/>
        </w:rPr>
      </w:pPr>
      <w:r w:rsidRPr="00D71663">
        <w:rPr>
          <w:lang w:val="en-US"/>
        </w:rPr>
        <w:lastRenderedPageBreak/>
        <w:t>Payment Methods</w:t>
      </w:r>
    </w:p>
    <w:p w14:paraId="204F883D" w14:textId="77777777" w:rsidR="00CF539D" w:rsidRPr="00FD4081" w:rsidRDefault="00CF539D" w:rsidP="00F917B0">
      <w:pPr>
        <w:pStyle w:val="Subtitle"/>
        <w:spacing w:after="0" w:line="360" w:lineRule="auto"/>
        <w:rPr>
          <w:sz w:val="24"/>
          <w:szCs w:val="24"/>
        </w:rPr>
      </w:pPr>
      <w:r w:rsidRPr="00FD4081">
        <w:rPr>
          <w:sz w:val="24"/>
          <w:szCs w:val="24"/>
        </w:rPr>
        <w:t>Approach</w:t>
      </w:r>
    </w:p>
    <w:p w14:paraId="4A98913E" w14:textId="77777777" w:rsidR="00E501A1" w:rsidRDefault="00E501A1" w:rsidP="00F917B0">
      <w:pPr>
        <w:spacing w:line="360" w:lineRule="auto"/>
      </w:pPr>
      <w:r w:rsidRPr="00E501A1">
        <w:t xml:space="preserve">Payment method usage was extracted using SQL. For customers with multiple payment methods, the lowest </w:t>
      </w:r>
      <w:proofErr w:type="spellStart"/>
      <w:r w:rsidRPr="00E501A1">
        <w:t>paymentTypeID</w:t>
      </w:r>
      <w:proofErr w:type="spellEnd"/>
      <w:r w:rsidRPr="00E501A1">
        <w:t xml:space="preserve"> was used as the primary method. Linear forecasting was applied to project 2024 usage.</w:t>
      </w:r>
    </w:p>
    <w:p w14:paraId="2DCEC2BA" w14:textId="4DAE1CAC" w:rsidR="00E501A1" w:rsidRPr="00FD4081" w:rsidRDefault="00E501A1" w:rsidP="00F917B0">
      <w:pPr>
        <w:pStyle w:val="Subtitle"/>
        <w:spacing w:after="0" w:line="360" w:lineRule="auto"/>
        <w:rPr>
          <w:sz w:val="24"/>
          <w:szCs w:val="24"/>
        </w:rPr>
      </w:pPr>
      <w:r w:rsidRPr="00FD4081">
        <w:rPr>
          <w:sz w:val="24"/>
          <w:szCs w:val="24"/>
        </w:rPr>
        <w:t>Payment Method Trends</w:t>
      </w:r>
    </w:p>
    <w:p w14:paraId="0F763C80" w14:textId="4CFF9B1D" w:rsidR="00DA60F7" w:rsidRPr="00CF539D" w:rsidRDefault="001C34DA" w:rsidP="00F917B0">
      <w:pPr>
        <w:spacing w:line="360" w:lineRule="auto"/>
        <w:jc w:val="center"/>
        <w:rPr>
          <w:b/>
          <w:bCs/>
        </w:rPr>
      </w:pPr>
      <w:r>
        <w:rPr>
          <w:noProof/>
        </w:rPr>
        <w:drawing>
          <wp:inline distT="0" distB="0" distL="0" distR="0" wp14:anchorId="760505CB" wp14:editId="1029AAFA">
            <wp:extent cx="6065054" cy="4461164"/>
            <wp:effectExtent l="0" t="0" r="0" b="0"/>
            <wp:docPr id="14737375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22296" cy="4503269"/>
                    </a:xfrm>
                    <a:prstGeom prst="rect">
                      <a:avLst/>
                    </a:prstGeom>
                    <a:noFill/>
                    <a:ln>
                      <a:noFill/>
                    </a:ln>
                  </pic:spPr>
                </pic:pic>
              </a:graphicData>
            </a:graphic>
          </wp:inline>
        </w:drawing>
      </w:r>
    </w:p>
    <w:p w14:paraId="225712A1" w14:textId="63F4A536" w:rsidR="00E501A1" w:rsidRDefault="00ED484D" w:rsidP="00F917B0">
      <w:pPr>
        <w:spacing w:line="360" w:lineRule="auto"/>
      </w:pPr>
      <w:r w:rsidRPr="00ED484D">
        <w:t xml:space="preserve">VISA remains the dominant payment method across all years. </w:t>
      </w:r>
      <w:proofErr w:type="spellStart"/>
      <w:r w:rsidRPr="00ED484D">
        <w:t>ApplePay</w:t>
      </w:r>
      <w:proofErr w:type="spellEnd"/>
      <w:r w:rsidRPr="00ED484D">
        <w:t xml:space="preserve"> shows steady growth, reflecting increasing customer adoption. AMEX remains the least used and shows no upward trend.</w:t>
      </w:r>
    </w:p>
    <w:p w14:paraId="393020FD" w14:textId="77777777" w:rsidR="00E04EB8" w:rsidRDefault="00E04EB8" w:rsidP="00F917B0">
      <w:pPr>
        <w:spacing w:line="360" w:lineRule="auto"/>
      </w:pPr>
    </w:p>
    <w:p w14:paraId="50D0B2A2" w14:textId="77777777" w:rsidR="00E04EB8" w:rsidRDefault="00E04EB8" w:rsidP="00F917B0">
      <w:pPr>
        <w:spacing w:line="360" w:lineRule="auto"/>
      </w:pPr>
    </w:p>
    <w:p w14:paraId="500B7593" w14:textId="77777777" w:rsidR="00E04EB8" w:rsidRDefault="00E04EB8" w:rsidP="00F917B0">
      <w:pPr>
        <w:spacing w:line="360" w:lineRule="auto"/>
      </w:pPr>
    </w:p>
    <w:p w14:paraId="0F46A876" w14:textId="77777777" w:rsidR="00EE1409" w:rsidRPr="00FD4081" w:rsidRDefault="00ED484D" w:rsidP="00F917B0">
      <w:pPr>
        <w:pStyle w:val="Subtitle"/>
        <w:spacing w:after="0" w:line="360" w:lineRule="auto"/>
        <w:rPr>
          <w:sz w:val="24"/>
          <w:szCs w:val="24"/>
        </w:rPr>
      </w:pPr>
      <w:r w:rsidRPr="00FD4081">
        <w:rPr>
          <w:sz w:val="24"/>
          <w:szCs w:val="24"/>
        </w:rPr>
        <w:lastRenderedPageBreak/>
        <w:t>Total Rev</w:t>
      </w:r>
      <w:r w:rsidR="00EE1409" w:rsidRPr="00FD4081">
        <w:rPr>
          <w:sz w:val="24"/>
          <w:szCs w:val="24"/>
        </w:rPr>
        <w:t>enue by Payment Method</w:t>
      </w:r>
    </w:p>
    <w:p w14:paraId="60D51978" w14:textId="714F6E48" w:rsidR="00ED484D" w:rsidRDefault="00EE1409" w:rsidP="00F917B0">
      <w:pPr>
        <w:pStyle w:val="Subtitle"/>
        <w:spacing w:line="360" w:lineRule="auto"/>
        <w:jc w:val="center"/>
      </w:pPr>
      <w:r>
        <w:rPr>
          <w:b/>
          <w:bCs/>
          <w:noProof/>
        </w:rPr>
        <w:drawing>
          <wp:inline distT="0" distB="0" distL="0" distR="0" wp14:anchorId="28C4B6E2" wp14:editId="55272A0B">
            <wp:extent cx="5026811" cy="3920836"/>
            <wp:effectExtent l="0" t="0" r="2540" b="3810"/>
            <wp:docPr id="19351224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44917" cy="3934958"/>
                    </a:xfrm>
                    <a:prstGeom prst="rect">
                      <a:avLst/>
                    </a:prstGeom>
                    <a:noFill/>
                    <a:ln>
                      <a:noFill/>
                    </a:ln>
                  </pic:spPr>
                </pic:pic>
              </a:graphicData>
            </a:graphic>
          </wp:inline>
        </w:drawing>
      </w:r>
    </w:p>
    <w:p w14:paraId="774B8DFC" w14:textId="67D7484D" w:rsidR="00EE1409" w:rsidRPr="00EE1409" w:rsidRDefault="00750A40" w:rsidP="00F917B0">
      <w:pPr>
        <w:spacing w:line="360" w:lineRule="auto"/>
      </w:pPr>
      <w:r w:rsidRPr="00750A40">
        <w:t xml:space="preserve">VISA generates the highest revenue by a wide margin. PayPal and MC contribute moderate amounts, while </w:t>
      </w:r>
      <w:proofErr w:type="spellStart"/>
      <w:r w:rsidRPr="00750A40">
        <w:t>ApplePay</w:t>
      </w:r>
      <w:proofErr w:type="spellEnd"/>
      <w:r w:rsidRPr="00750A40">
        <w:t xml:space="preserve"> remains small but growing.</w:t>
      </w:r>
    </w:p>
    <w:p w14:paraId="191C2964" w14:textId="60FB4370" w:rsidR="00CF539D" w:rsidRPr="00FD4081" w:rsidRDefault="00CF539D" w:rsidP="00F917B0">
      <w:pPr>
        <w:pStyle w:val="Subtitle"/>
        <w:spacing w:after="0" w:line="360" w:lineRule="auto"/>
        <w:rPr>
          <w:sz w:val="24"/>
          <w:szCs w:val="24"/>
        </w:rPr>
      </w:pPr>
      <w:r w:rsidRPr="00FD4081">
        <w:rPr>
          <w:sz w:val="24"/>
          <w:szCs w:val="24"/>
        </w:rPr>
        <w:t>Findings</w:t>
      </w:r>
    </w:p>
    <w:p w14:paraId="686C95ED" w14:textId="77777777" w:rsidR="00CF539D" w:rsidRPr="00B22B95" w:rsidRDefault="00CF539D" w:rsidP="00F917B0">
      <w:pPr>
        <w:numPr>
          <w:ilvl w:val="0"/>
          <w:numId w:val="13"/>
        </w:numPr>
        <w:spacing w:after="0" w:line="360" w:lineRule="auto"/>
      </w:pPr>
      <w:r w:rsidRPr="00B22B95">
        <w:t>VISA dominates, accounting for over half of all revenue.</w:t>
      </w:r>
    </w:p>
    <w:p w14:paraId="28C09292" w14:textId="77777777" w:rsidR="00CF539D" w:rsidRPr="00B22B95" w:rsidRDefault="00CF539D" w:rsidP="00F917B0">
      <w:pPr>
        <w:numPr>
          <w:ilvl w:val="0"/>
          <w:numId w:val="13"/>
        </w:numPr>
        <w:spacing w:after="0" w:line="360" w:lineRule="auto"/>
      </w:pPr>
      <w:r w:rsidRPr="00B22B95">
        <w:t>PayPal and MC remain stable.</w:t>
      </w:r>
    </w:p>
    <w:p w14:paraId="7EC3ACF9" w14:textId="77777777" w:rsidR="00CF539D" w:rsidRPr="00B22B95" w:rsidRDefault="00CF539D" w:rsidP="00F917B0">
      <w:pPr>
        <w:numPr>
          <w:ilvl w:val="0"/>
          <w:numId w:val="13"/>
        </w:numPr>
        <w:spacing w:after="0" w:line="360" w:lineRule="auto"/>
      </w:pPr>
      <w:proofErr w:type="spellStart"/>
      <w:r w:rsidRPr="00B22B95">
        <w:t>ApplePay</w:t>
      </w:r>
      <w:proofErr w:type="spellEnd"/>
      <w:r w:rsidRPr="00B22B95">
        <w:t xml:space="preserve"> shows consistent growth and may become more significant.</w:t>
      </w:r>
    </w:p>
    <w:p w14:paraId="4AF1F383" w14:textId="4790182C" w:rsidR="001C34DA" w:rsidRPr="00CF539D" w:rsidRDefault="00CF539D" w:rsidP="00F917B0">
      <w:pPr>
        <w:numPr>
          <w:ilvl w:val="0"/>
          <w:numId w:val="13"/>
        </w:numPr>
        <w:spacing w:after="0" w:line="360" w:lineRule="auto"/>
      </w:pPr>
      <w:r w:rsidRPr="00B22B95">
        <w:t>AMEX remains the least</w:t>
      </w:r>
      <w:r w:rsidRPr="00CF539D">
        <w:t xml:space="preserve"> used and shows no upward trend.</w:t>
      </w:r>
    </w:p>
    <w:p w14:paraId="45054B7D" w14:textId="77777777" w:rsidR="00CF539D" w:rsidRPr="00FD4081" w:rsidRDefault="00CF539D" w:rsidP="00F917B0">
      <w:pPr>
        <w:pStyle w:val="Subtitle"/>
        <w:spacing w:before="240" w:after="0" w:line="360" w:lineRule="auto"/>
        <w:rPr>
          <w:sz w:val="24"/>
          <w:szCs w:val="24"/>
        </w:rPr>
      </w:pPr>
      <w:r w:rsidRPr="00FD4081">
        <w:rPr>
          <w:sz w:val="24"/>
          <w:szCs w:val="24"/>
        </w:rPr>
        <w:t>Recommendation</w:t>
      </w:r>
    </w:p>
    <w:p w14:paraId="085DDAFD" w14:textId="77777777" w:rsidR="008E26DB" w:rsidRDefault="008E26DB" w:rsidP="00F917B0">
      <w:pPr>
        <w:pStyle w:val="ListParagraph"/>
        <w:numPr>
          <w:ilvl w:val="0"/>
          <w:numId w:val="25"/>
        </w:numPr>
        <w:spacing w:line="360" w:lineRule="auto"/>
      </w:pPr>
      <w:r w:rsidRPr="008E26DB">
        <w:t xml:space="preserve">Reevaluate the cost of </w:t>
      </w:r>
      <w:r w:rsidRPr="00B22B95">
        <w:t>supporting AMEX and PayPal if processing</w:t>
      </w:r>
      <w:r w:rsidRPr="008E26DB">
        <w:t xml:space="preserve"> fees outweigh revenue.</w:t>
      </w:r>
    </w:p>
    <w:p w14:paraId="2B17152B" w14:textId="18FAA03B" w:rsidR="00EF7F96" w:rsidRPr="00FC2DE7" w:rsidRDefault="008E26DB" w:rsidP="00F917B0">
      <w:pPr>
        <w:pStyle w:val="ListParagraph"/>
        <w:numPr>
          <w:ilvl w:val="0"/>
          <w:numId w:val="25"/>
        </w:numPr>
        <w:spacing w:line="360" w:lineRule="auto"/>
      </w:pPr>
      <w:r w:rsidRPr="008E26DB">
        <w:t xml:space="preserve">Continue supporting </w:t>
      </w:r>
      <w:proofErr w:type="spellStart"/>
      <w:r w:rsidRPr="008E26DB">
        <w:t>ApplePay</w:t>
      </w:r>
      <w:proofErr w:type="spellEnd"/>
      <w:r w:rsidRPr="008E26DB">
        <w:t xml:space="preserve"> and reassess in 2024 as adoption increases.</w:t>
      </w:r>
      <w:r w:rsidR="00623BC2" w:rsidRPr="00FC2DE7">
        <w:rPr>
          <w:b/>
          <w:bCs/>
          <w:lang w:val="en-US"/>
        </w:rPr>
        <w:br w:type="page"/>
      </w:r>
    </w:p>
    <w:p w14:paraId="047AD638" w14:textId="5A300C34" w:rsidR="00EF7F96" w:rsidRDefault="00FE787C" w:rsidP="00F917B0">
      <w:pPr>
        <w:pStyle w:val="Heading1"/>
        <w:spacing w:line="360" w:lineRule="auto"/>
        <w:rPr>
          <w:lang w:val="en-US"/>
        </w:rPr>
      </w:pPr>
      <w:r w:rsidRPr="00D71663">
        <w:rPr>
          <w:lang w:val="en-US"/>
        </w:rPr>
        <w:lastRenderedPageBreak/>
        <w:t xml:space="preserve">Inventory </w:t>
      </w:r>
      <w:r w:rsidR="00EF7F96" w:rsidRPr="00D71663">
        <w:rPr>
          <w:lang w:val="en-US"/>
        </w:rPr>
        <w:t>Management</w:t>
      </w:r>
    </w:p>
    <w:p w14:paraId="177578CB" w14:textId="0CB00BF2" w:rsidR="00927358" w:rsidRPr="00FD4081" w:rsidRDefault="00927358" w:rsidP="00F917B0">
      <w:pPr>
        <w:pStyle w:val="Subtitle"/>
        <w:spacing w:after="0" w:line="360" w:lineRule="auto"/>
        <w:rPr>
          <w:rFonts w:eastAsiaTheme="minorHAnsi"/>
          <w:sz w:val="24"/>
          <w:szCs w:val="24"/>
        </w:rPr>
      </w:pPr>
      <w:r w:rsidRPr="00FD4081">
        <w:rPr>
          <w:rFonts w:eastAsiaTheme="minorHAnsi"/>
          <w:sz w:val="24"/>
          <w:szCs w:val="24"/>
        </w:rPr>
        <w:t>Approach</w:t>
      </w:r>
    </w:p>
    <w:p w14:paraId="4F9BA3DF" w14:textId="791E6238" w:rsidR="00D867EE" w:rsidRPr="00D867EE" w:rsidRDefault="002834BC" w:rsidP="00F917B0">
      <w:pPr>
        <w:spacing w:line="360" w:lineRule="auto"/>
        <w:rPr>
          <w:rFonts w:cstheme="minorHAnsi"/>
        </w:rPr>
      </w:pPr>
      <w:r w:rsidRPr="002834BC">
        <w:rPr>
          <w:rFonts w:cstheme="minorHAnsi"/>
        </w:rPr>
        <w:t>Two SQL queries were used: product</w:t>
      </w:r>
      <w:r w:rsidRPr="002834BC">
        <w:rPr>
          <w:rFonts w:cstheme="minorHAnsi"/>
        </w:rPr>
        <w:noBreakHyphen/>
        <w:t>level inventory vs sold quantities and warehouse</w:t>
      </w:r>
      <w:r w:rsidRPr="002834BC">
        <w:rPr>
          <w:rFonts w:cstheme="minorHAnsi"/>
        </w:rPr>
        <w:noBreakHyphen/>
        <w:t>level inventory totals. A log</w:t>
      </w:r>
      <w:r w:rsidRPr="002834BC">
        <w:rPr>
          <w:rFonts w:cstheme="minorHAnsi"/>
        </w:rPr>
        <w:noBreakHyphen/>
        <w:t>log scatterplot was used due to wide variation in product volumes. Products were categorized into overstock, healthy, and stockout</w:t>
      </w:r>
      <w:r w:rsidRPr="002834BC">
        <w:rPr>
          <w:rFonts w:cstheme="minorHAnsi"/>
        </w:rPr>
        <w:noBreakHyphen/>
        <w:t>risk groups</w:t>
      </w:r>
      <w:r w:rsidR="00D867EE" w:rsidRPr="00D867EE">
        <w:rPr>
          <w:rFonts w:cstheme="minorHAnsi"/>
        </w:rPr>
        <w:t>.</w:t>
      </w:r>
    </w:p>
    <w:p w14:paraId="0D9B2839" w14:textId="2E37AD31" w:rsidR="00507687" w:rsidRPr="00FD4081" w:rsidRDefault="00D867EE" w:rsidP="00F917B0">
      <w:pPr>
        <w:pStyle w:val="Subtitle"/>
        <w:spacing w:after="0" w:line="360" w:lineRule="auto"/>
        <w:rPr>
          <w:sz w:val="24"/>
          <w:szCs w:val="24"/>
        </w:rPr>
      </w:pPr>
      <w:r w:rsidRPr="00FD4081">
        <w:rPr>
          <w:sz w:val="24"/>
          <w:szCs w:val="24"/>
        </w:rPr>
        <w:t>Overstocked Products</w:t>
      </w:r>
    </w:p>
    <w:p w14:paraId="2C0C2E3D" w14:textId="03F82FDB" w:rsidR="00507687" w:rsidRDefault="00D867EE" w:rsidP="00F917B0">
      <w:pPr>
        <w:spacing w:line="360" w:lineRule="auto"/>
        <w:jc w:val="center"/>
        <w:rPr>
          <w:rFonts w:cstheme="minorHAnsi"/>
        </w:rPr>
      </w:pPr>
      <w:r>
        <w:rPr>
          <w:rFonts w:cstheme="minorHAnsi"/>
          <w:noProof/>
        </w:rPr>
        <w:drawing>
          <wp:inline distT="0" distB="0" distL="0" distR="0" wp14:anchorId="6350A2E6" wp14:editId="471E8359">
            <wp:extent cx="4308764" cy="2589079"/>
            <wp:effectExtent l="0" t="0" r="0" b="1905"/>
            <wp:docPr id="15585277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34518" cy="2604554"/>
                    </a:xfrm>
                    <a:prstGeom prst="rect">
                      <a:avLst/>
                    </a:prstGeom>
                    <a:noFill/>
                    <a:ln>
                      <a:noFill/>
                    </a:ln>
                  </pic:spPr>
                </pic:pic>
              </a:graphicData>
            </a:graphic>
          </wp:inline>
        </w:drawing>
      </w:r>
    </w:p>
    <w:p w14:paraId="572BA92D" w14:textId="45DFA0B6" w:rsidR="00D867EE" w:rsidRDefault="00C12CD3" w:rsidP="00F917B0">
      <w:pPr>
        <w:spacing w:line="360" w:lineRule="auto"/>
        <w:rPr>
          <w:rFonts w:cstheme="minorHAnsi"/>
        </w:rPr>
      </w:pPr>
      <w:r w:rsidRPr="00C12CD3">
        <w:rPr>
          <w:rFonts w:cstheme="minorHAnsi"/>
        </w:rPr>
        <w:t xml:space="preserve">Inventory levels are </w:t>
      </w:r>
      <w:r w:rsidRPr="002834BC">
        <w:rPr>
          <w:rFonts w:cstheme="minorHAnsi"/>
        </w:rPr>
        <w:t>20–30× higher than</w:t>
      </w:r>
      <w:r w:rsidRPr="00C12CD3">
        <w:rPr>
          <w:rFonts w:cstheme="minorHAnsi"/>
        </w:rPr>
        <w:t xml:space="preserve"> units sold for several products, tying up warehouse space and capital.</w:t>
      </w:r>
    </w:p>
    <w:p w14:paraId="5C21C588" w14:textId="77777777" w:rsidR="00C12CD3" w:rsidRPr="00FD4081" w:rsidRDefault="00C12CD3" w:rsidP="00F917B0">
      <w:pPr>
        <w:pStyle w:val="Subtitle"/>
        <w:spacing w:after="0" w:line="360" w:lineRule="auto"/>
        <w:rPr>
          <w:sz w:val="24"/>
          <w:szCs w:val="24"/>
        </w:rPr>
      </w:pPr>
      <w:r w:rsidRPr="00FD4081">
        <w:rPr>
          <w:sz w:val="24"/>
          <w:szCs w:val="24"/>
        </w:rPr>
        <w:t>Stockout-Risk Products</w:t>
      </w:r>
    </w:p>
    <w:p w14:paraId="12419E8E" w14:textId="188FB50F" w:rsidR="00C12CD3" w:rsidRDefault="00C12CD3" w:rsidP="00F917B0">
      <w:pPr>
        <w:pStyle w:val="Subtitle"/>
        <w:spacing w:line="360" w:lineRule="auto"/>
        <w:jc w:val="center"/>
      </w:pPr>
      <w:r>
        <w:rPr>
          <w:rFonts w:cstheme="minorHAnsi"/>
          <w:noProof/>
        </w:rPr>
        <w:drawing>
          <wp:inline distT="0" distB="0" distL="0" distR="0" wp14:anchorId="6EABF6EE" wp14:editId="1CAF5EE7">
            <wp:extent cx="4311627" cy="2590800"/>
            <wp:effectExtent l="0" t="0" r="0" b="0"/>
            <wp:docPr id="8944349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37550" cy="2606377"/>
                    </a:xfrm>
                    <a:prstGeom prst="rect">
                      <a:avLst/>
                    </a:prstGeom>
                    <a:noFill/>
                    <a:ln>
                      <a:noFill/>
                    </a:ln>
                  </pic:spPr>
                </pic:pic>
              </a:graphicData>
            </a:graphic>
          </wp:inline>
        </w:drawing>
      </w:r>
    </w:p>
    <w:p w14:paraId="1D2F8253" w14:textId="5BA9C25C" w:rsidR="00C12CD3" w:rsidRDefault="008D5A14" w:rsidP="00F917B0">
      <w:pPr>
        <w:spacing w:line="360" w:lineRule="auto"/>
      </w:pPr>
      <w:r w:rsidRPr="008D5A14">
        <w:lastRenderedPageBreak/>
        <w:t>These products have sales that meet or exceed inventory levels, indicating potential missed revenue if stock is not replenished.</w:t>
      </w:r>
    </w:p>
    <w:p w14:paraId="755943E7" w14:textId="097CA5DA" w:rsidR="008D5A14" w:rsidRPr="00FD4081" w:rsidRDefault="008D5A14" w:rsidP="00F917B0">
      <w:pPr>
        <w:pStyle w:val="Subtitle"/>
        <w:spacing w:after="0" w:line="360" w:lineRule="auto"/>
        <w:rPr>
          <w:sz w:val="24"/>
          <w:szCs w:val="24"/>
        </w:rPr>
      </w:pPr>
      <w:r w:rsidRPr="00FD4081">
        <w:rPr>
          <w:sz w:val="24"/>
          <w:szCs w:val="24"/>
        </w:rPr>
        <w:t>Healthy Inventory Products</w:t>
      </w:r>
    </w:p>
    <w:p w14:paraId="4D048B79" w14:textId="77889697" w:rsidR="008D5A14" w:rsidRDefault="008D5A14" w:rsidP="00F917B0">
      <w:pPr>
        <w:spacing w:line="360" w:lineRule="auto"/>
        <w:jc w:val="center"/>
      </w:pPr>
      <w:r>
        <w:rPr>
          <w:rFonts w:cstheme="minorHAnsi"/>
          <w:noProof/>
        </w:rPr>
        <w:drawing>
          <wp:inline distT="0" distB="0" distL="0" distR="0" wp14:anchorId="4E06261A" wp14:editId="683DDED9">
            <wp:extent cx="4544291" cy="2730605"/>
            <wp:effectExtent l="0" t="0" r="8890" b="0"/>
            <wp:docPr id="8294656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63935" cy="2742409"/>
                    </a:xfrm>
                    <a:prstGeom prst="rect">
                      <a:avLst/>
                    </a:prstGeom>
                    <a:noFill/>
                    <a:ln>
                      <a:noFill/>
                    </a:ln>
                  </pic:spPr>
                </pic:pic>
              </a:graphicData>
            </a:graphic>
          </wp:inline>
        </w:drawing>
      </w:r>
    </w:p>
    <w:p w14:paraId="5A4678DE" w14:textId="5CACA113" w:rsidR="008D5A14" w:rsidRDefault="00A6643A" w:rsidP="00F917B0">
      <w:pPr>
        <w:spacing w:line="360" w:lineRule="auto"/>
      </w:pPr>
      <w:r w:rsidRPr="00A6643A">
        <w:t>Healthy products show balanced inventory and demand, with inventory ratios close to 1–2.</w:t>
      </w:r>
    </w:p>
    <w:p w14:paraId="1C11C248" w14:textId="1DCD531E" w:rsidR="00A6643A" w:rsidRPr="00FD4081" w:rsidRDefault="00A6643A" w:rsidP="00F917B0">
      <w:pPr>
        <w:pStyle w:val="Subtitle"/>
        <w:spacing w:after="0" w:line="360" w:lineRule="auto"/>
        <w:rPr>
          <w:sz w:val="24"/>
          <w:szCs w:val="24"/>
        </w:rPr>
      </w:pPr>
      <w:r w:rsidRPr="00FD4081">
        <w:rPr>
          <w:sz w:val="24"/>
          <w:szCs w:val="24"/>
        </w:rPr>
        <w:t>Inventory Efficiency Overview</w:t>
      </w:r>
    </w:p>
    <w:p w14:paraId="68743BD6" w14:textId="18E45AE4" w:rsidR="00A6643A" w:rsidRDefault="00A6643A" w:rsidP="00F917B0">
      <w:pPr>
        <w:spacing w:line="360" w:lineRule="auto"/>
        <w:jc w:val="center"/>
      </w:pPr>
      <w:r>
        <w:rPr>
          <w:rFonts w:cstheme="minorHAnsi"/>
          <w:noProof/>
        </w:rPr>
        <w:drawing>
          <wp:inline distT="0" distB="0" distL="0" distR="0" wp14:anchorId="0B7F970D" wp14:editId="462CD76D">
            <wp:extent cx="4759037" cy="3583539"/>
            <wp:effectExtent l="0" t="0" r="3810" b="0"/>
            <wp:docPr id="3139405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72125" cy="3593394"/>
                    </a:xfrm>
                    <a:prstGeom prst="rect">
                      <a:avLst/>
                    </a:prstGeom>
                    <a:noFill/>
                    <a:ln>
                      <a:noFill/>
                    </a:ln>
                  </pic:spPr>
                </pic:pic>
              </a:graphicData>
            </a:graphic>
          </wp:inline>
        </w:drawing>
      </w:r>
    </w:p>
    <w:p w14:paraId="7A3657E2" w14:textId="0E6FF234" w:rsidR="00E5640C" w:rsidRPr="00E5640C" w:rsidRDefault="00CA6C23" w:rsidP="00F917B0">
      <w:pPr>
        <w:spacing w:after="0" w:line="360" w:lineRule="auto"/>
      </w:pPr>
      <w:r w:rsidRPr="00CA6C23">
        <w:lastRenderedPageBreak/>
        <w:t>The log</w:t>
      </w:r>
      <w:r w:rsidRPr="00CA6C23">
        <w:noBreakHyphen/>
        <w:t>log scale allows meaningful comparison across products with vastly different volumes and clearly separates overstocked, healthy, and stockout</w:t>
      </w:r>
      <w:r w:rsidRPr="00CA6C23">
        <w:noBreakHyphen/>
        <w:t>risk items.</w:t>
      </w:r>
      <w:r>
        <w:t xml:space="preserve"> </w:t>
      </w:r>
      <w:r w:rsidR="00E5640C" w:rsidRPr="00E5640C">
        <w:t>The scatterplot clearly separates products into three clusters:</w:t>
      </w:r>
    </w:p>
    <w:p w14:paraId="11D67197" w14:textId="23E995B7" w:rsidR="00E5640C" w:rsidRPr="00E5640C" w:rsidRDefault="00E5640C" w:rsidP="00F917B0">
      <w:pPr>
        <w:numPr>
          <w:ilvl w:val="0"/>
          <w:numId w:val="27"/>
        </w:numPr>
        <w:spacing w:after="0" w:line="360" w:lineRule="auto"/>
      </w:pPr>
      <w:r w:rsidRPr="00E5640C">
        <w:rPr>
          <w:b/>
          <w:bCs/>
        </w:rPr>
        <w:t>Overstock:</w:t>
      </w:r>
      <w:r w:rsidRPr="00E5640C">
        <w:t xml:space="preserve"> High inventory, low sales</w:t>
      </w:r>
      <w:r>
        <w:t xml:space="preserve"> (blue markers)</w:t>
      </w:r>
    </w:p>
    <w:p w14:paraId="6AD06453" w14:textId="2CC7358B" w:rsidR="00E5640C" w:rsidRPr="00E5640C" w:rsidRDefault="00E5640C" w:rsidP="00F917B0">
      <w:pPr>
        <w:numPr>
          <w:ilvl w:val="0"/>
          <w:numId w:val="27"/>
        </w:numPr>
        <w:spacing w:after="0" w:line="360" w:lineRule="auto"/>
      </w:pPr>
      <w:r w:rsidRPr="00E5640C">
        <w:rPr>
          <w:b/>
          <w:bCs/>
        </w:rPr>
        <w:t>Healthy:</w:t>
      </w:r>
      <w:r w:rsidRPr="00E5640C">
        <w:t xml:space="preserve"> Near the diagonal</w:t>
      </w:r>
      <w:r>
        <w:t xml:space="preserve"> (green markers)</w:t>
      </w:r>
    </w:p>
    <w:p w14:paraId="57A5C660" w14:textId="33790E78" w:rsidR="00E5640C" w:rsidRPr="00E5640C" w:rsidRDefault="00E5640C" w:rsidP="00F917B0">
      <w:pPr>
        <w:numPr>
          <w:ilvl w:val="0"/>
          <w:numId w:val="27"/>
        </w:numPr>
        <w:spacing w:after="0" w:line="360" w:lineRule="auto"/>
      </w:pPr>
      <w:r w:rsidRPr="00E5640C">
        <w:rPr>
          <w:b/>
          <w:bCs/>
        </w:rPr>
        <w:t>Stockout</w:t>
      </w:r>
      <w:r w:rsidRPr="00E5640C">
        <w:rPr>
          <w:b/>
          <w:bCs/>
        </w:rPr>
        <w:noBreakHyphen/>
        <w:t>risk:</w:t>
      </w:r>
      <w:r w:rsidRPr="00E5640C">
        <w:t xml:space="preserve"> Low inventory, relatively high sales</w:t>
      </w:r>
      <w:r>
        <w:t xml:space="preserve"> (red markers)</w:t>
      </w:r>
    </w:p>
    <w:p w14:paraId="0DB84564" w14:textId="77777777" w:rsidR="00E5640C" w:rsidRPr="00E5640C" w:rsidRDefault="00E5640C" w:rsidP="00F917B0">
      <w:pPr>
        <w:spacing w:line="360" w:lineRule="auto"/>
      </w:pPr>
      <w:r w:rsidRPr="00E5640C">
        <w:t>This visual provides a high</w:t>
      </w:r>
      <w:r w:rsidRPr="00E5640C">
        <w:noBreakHyphen/>
        <w:t>level view of ACME’s inventory health.</w:t>
      </w:r>
    </w:p>
    <w:p w14:paraId="79862F5F" w14:textId="1B5C577C" w:rsidR="00A6643A" w:rsidRPr="00FD4081" w:rsidRDefault="00C029ED" w:rsidP="00F917B0">
      <w:pPr>
        <w:pStyle w:val="Subtitle"/>
        <w:spacing w:after="0" w:line="360" w:lineRule="auto"/>
        <w:rPr>
          <w:sz w:val="24"/>
          <w:szCs w:val="24"/>
        </w:rPr>
      </w:pPr>
      <w:r w:rsidRPr="00FD4081">
        <w:rPr>
          <w:sz w:val="24"/>
          <w:szCs w:val="24"/>
        </w:rPr>
        <w:t>Warehouse Inventory Levels</w:t>
      </w:r>
    </w:p>
    <w:p w14:paraId="7C6202A7" w14:textId="0886141A" w:rsidR="00507687" w:rsidRDefault="00F6058F" w:rsidP="00F917B0">
      <w:pPr>
        <w:spacing w:line="360" w:lineRule="auto"/>
        <w:jc w:val="center"/>
        <w:rPr>
          <w:rFonts w:cstheme="minorHAnsi"/>
        </w:rPr>
      </w:pPr>
      <w:r>
        <w:rPr>
          <w:rFonts w:cstheme="minorHAnsi"/>
          <w:noProof/>
        </w:rPr>
        <w:drawing>
          <wp:inline distT="0" distB="0" distL="0" distR="0" wp14:anchorId="2CDD84C8" wp14:editId="69A6A54D">
            <wp:extent cx="5618355" cy="3616037"/>
            <wp:effectExtent l="0" t="0" r="1905" b="3810"/>
            <wp:docPr id="768344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27728" cy="3622070"/>
                    </a:xfrm>
                    <a:prstGeom prst="rect">
                      <a:avLst/>
                    </a:prstGeom>
                    <a:noFill/>
                    <a:ln>
                      <a:noFill/>
                    </a:ln>
                  </pic:spPr>
                </pic:pic>
              </a:graphicData>
            </a:graphic>
          </wp:inline>
        </w:drawing>
      </w:r>
    </w:p>
    <w:p w14:paraId="2AF4DCD6" w14:textId="48962ED4" w:rsidR="00C029ED" w:rsidRPr="00927358" w:rsidRDefault="00C408C3" w:rsidP="00F917B0">
      <w:pPr>
        <w:spacing w:line="360" w:lineRule="auto"/>
        <w:rPr>
          <w:rFonts w:cstheme="minorHAnsi"/>
        </w:rPr>
      </w:pPr>
      <w:r w:rsidRPr="00C408C3">
        <w:rPr>
          <w:rFonts w:cstheme="minorHAnsi"/>
        </w:rPr>
        <w:t>Kelowna holds the highest inventory despite being geographically distant from most customers. Toronto and Winnipeg are better positioned relative to customer distribution.</w:t>
      </w:r>
    </w:p>
    <w:p w14:paraId="4C569AAB" w14:textId="77777777" w:rsidR="00927358" w:rsidRPr="00FD4081" w:rsidRDefault="00927358" w:rsidP="00F917B0">
      <w:pPr>
        <w:pStyle w:val="Subtitle"/>
        <w:spacing w:after="0" w:line="360" w:lineRule="auto"/>
        <w:rPr>
          <w:sz w:val="24"/>
          <w:szCs w:val="24"/>
        </w:rPr>
      </w:pPr>
      <w:r w:rsidRPr="00FD4081">
        <w:rPr>
          <w:sz w:val="24"/>
          <w:szCs w:val="24"/>
        </w:rPr>
        <w:t>Findings</w:t>
      </w:r>
    </w:p>
    <w:p w14:paraId="3178745A" w14:textId="77777777" w:rsidR="00927358" w:rsidRPr="00CA6C23" w:rsidRDefault="00927358" w:rsidP="00F917B0">
      <w:pPr>
        <w:numPr>
          <w:ilvl w:val="0"/>
          <w:numId w:val="17"/>
        </w:numPr>
        <w:spacing w:after="0" w:line="360" w:lineRule="auto"/>
        <w:rPr>
          <w:rFonts w:cstheme="minorHAnsi"/>
        </w:rPr>
      </w:pPr>
      <w:r w:rsidRPr="00927358">
        <w:rPr>
          <w:rFonts w:cstheme="minorHAnsi"/>
        </w:rPr>
        <w:t xml:space="preserve">Many products </w:t>
      </w:r>
      <w:r w:rsidRPr="00CA6C23">
        <w:rPr>
          <w:rFonts w:cstheme="minorHAnsi"/>
        </w:rPr>
        <w:t>have inventory levels 10–30× higher than units sold.</w:t>
      </w:r>
    </w:p>
    <w:p w14:paraId="75147F8D" w14:textId="77777777" w:rsidR="00927358" w:rsidRPr="00CA6C23" w:rsidRDefault="00927358" w:rsidP="00F917B0">
      <w:pPr>
        <w:numPr>
          <w:ilvl w:val="0"/>
          <w:numId w:val="17"/>
        </w:numPr>
        <w:spacing w:after="0" w:line="360" w:lineRule="auto"/>
        <w:rPr>
          <w:rFonts w:cstheme="minorHAnsi"/>
        </w:rPr>
      </w:pPr>
      <w:r w:rsidRPr="00CA6C23">
        <w:rPr>
          <w:rFonts w:cstheme="minorHAnsi"/>
        </w:rPr>
        <w:t>Several products are at stockout risk, with sales exceeding inventory.</w:t>
      </w:r>
    </w:p>
    <w:p w14:paraId="2E6E42C7" w14:textId="77777777" w:rsidR="00927358" w:rsidRPr="00CA6C23" w:rsidRDefault="00927358" w:rsidP="00F917B0">
      <w:pPr>
        <w:numPr>
          <w:ilvl w:val="0"/>
          <w:numId w:val="17"/>
        </w:numPr>
        <w:spacing w:after="0" w:line="360" w:lineRule="auto"/>
        <w:rPr>
          <w:rFonts w:cstheme="minorHAnsi"/>
        </w:rPr>
      </w:pPr>
      <w:r w:rsidRPr="00CA6C23">
        <w:rPr>
          <w:rFonts w:cstheme="minorHAnsi"/>
        </w:rPr>
        <w:t xml:space="preserve">Only a small subset of products </w:t>
      </w:r>
      <w:proofErr w:type="gramStart"/>
      <w:r w:rsidRPr="00CA6C23">
        <w:rPr>
          <w:rFonts w:cstheme="minorHAnsi"/>
        </w:rPr>
        <w:t>fall</w:t>
      </w:r>
      <w:proofErr w:type="gramEnd"/>
      <w:r w:rsidRPr="00CA6C23">
        <w:rPr>
          <w:rFonts w:cstheme="minorHAnsi"/>
        </w:rPr>
        <w:t xml:space="preserve"> into the healthy category.</w:t>
      </w:r>
    </w:p>
    <w:p w14:paraId="57049E30" w14:textId="77777777" w:rsidR="00927358" w:rsidRPr="00CA6C23" w:rsidRDefault="00927358" w:rsidP="00F917B0">
      <w:pPr>
        <w:numPr>
          <w:ilvl w:val="0"/>
          <w:numId w:val="17"/>
        </w:numPr>
        <w:spacing w:after="0" w:line="360" w:lineRule="auto"/>
        <w:rPr>
          <w:rFonts w:cstheme="minorHAnsi"/>
        </w:rPr>
      </w:pPr>
      <w:r w:rsidRPr="00CA6C23">
        <w:rPr>
          <w:rFonts w:cstheme="minorHAnsi"/>
        </w:rPr>
        <w:t>Warehouse distribution is even, but customer distribution is not.</w:t>
      </w:r>
    </w:p>
    <w:p w14:paraId="614046C5" w14:textId="6AC9C8EC" w:rsidR="00F6058F" w:rsidRPr="00C408C3" w:rsidRDefault="00927358" w:rsidP="00F917B0">
      <w:pPr>
        <w:numPr>
          <w:ilvl w:val="0"/>
          <w:numId w:val="17"/>
        </w:numPr>
        <w:spacing w:after="0" w:line="360" w:lineRule="auto"/>
        <w:rPr>
          <w:rFonts w:cstheme="minorHAnsi"/>
        </w:rPr>
      </w:pPr>
      <w:r w:rsidRPr="00CA6C23">
        <w:rPr>
          <w:rFonts w:cstheme="minorHAnsi"/>
        </w:rPr>
        <w:t>Kelowna holds high inventory despite being far</w:t>
      </w:r>
      <w:r w:rsidRPr="00927358">
        <w:rPr>
          <w:rFonts w:cstheme="minorHAnsi"/>
        </w:rPr>
        <w:t xml:space="preserve"> from most customers.</w:t>
      </w:r>
      <w:r w:rsidR="00F6058F" w:rsidRPr="00F6058F">
        <w:rPr>
          <w:rFonts w:cstheme="minorHAnsi"/>
          <w:noProof/>
        </w:rPr>
        <w:t xml:space="preserve"> </w:t>
      </w:r>
    </w:p>
    <w:p w14:paraId="0B583F2A" w14:textId="77777777" w:rsidR="00927358" w:rsidRPr="00FD4081" w:rsidRDefault="00927358" w:rsidP="00F917B0">
      <w:pPr>
        <w:pStyle w:val="Subtitle"/>
        <w:spacing w:before="240" w:after="0" w:line="360" w:lineRule="auto"/>
        <w:rPr>
          <w:sz w:val="24"/>
          <w:szCs w:val="24"/>
        </w:rPr>
      </w:pPr>
      <w:r w:rsidRPr="00FD4081">
        <w:rPr>
          <w:sz w:val="24"/>
          <w:szCs w:val="24"/>
        </w:rPr>
        <w:lastRenderedPageBreak/>
        <w:t>Recommendation</w:t>
      </w:r>
    </w:p>
    <w:p w14:paraId="79BE61C1" w14:textId="77777777" w:rsidR="007C15A1" w:rsidRPr="007C15A1" w:rsidRDefault="007C15A1" w:rsidP="00F917B0">
      <w:pPr>
        <w:numPr>
          <w:ilvl w:val="0"/>
          <w:numId w:val="28"/>
        </w:numPr>
        <w:spacing w:after="0" w:line="360" w:lineRule="auto"/>
        <w:rPr>
          <w:rFonts w:cstheme="minorHAnsi"/>
        </w:rPr>
      </w:pPr>
      <w:r w:rsidRPr="007C15A1">
        <w:rPr>
          <w:rFonts w:cstheme="minorHAnsi"/>
        </w:rPr>
        <w:t>Reduce excess inventory through promotions or liquidation.</w:t>
      </w:r>
    </w:p>
    <w:p w14:paraId="17B92580" w14:textId="77777777" w:rsidR="007C15A1" w:rsidRPr="007C15A1" w:rsidRDefault="007C15A1" w:rsidP="00F917B0">
      <w:pPr>
        <w:numPr>
          <w:ilvl w:val="0"/>
          <w:numId w:val="28"/>
        </w:numPr>
        <w:spacing w:after="0" w:line="360" w:lineRule="auto"/>
        <w:rPr>
          <w:rFonts w:cstheme="minorHAnsi"/>
        </w:rPr>
      </w:pPr>
      <w:r w:rsidRPr="007C15A1">
        <w:rPr>
          <w:rFonts w:cstheme="minorHAnsi"/>
        </w:rPr>
        <w:t>Replenish stockout</w:t>
      </w:r>
      <w:r w:rsidRPr="007C15A1">
        <w:rPr>
          <w:rFonts w:cstheme="minorHAnsi"/>
        </w:rPr>
        <w:noBreakHyphen/>
        <w:t>risk products to avoid missed revenue.</w:t>
      </w:r>
    </w:p>
    <w:p w14:paraId="34E04F15" w14:textId="77777777" w:rsidR="007C15A1" w:rsidRPr="007C15A1" w:rsidRDefault="007C15A1" w:rsidP="00F917B0">
      <w:pPr>
        <w:numPr>
          <w:ilvl w:val="0"/>
          <w:numId w:val="28"/>
        </w:numPr>
        <w:spacing w:after="0" w:line="360" w:lineRule="auto"/>
        <w:rPr>
          <w:rFonts w:cstheme="minorHAnsi"/>
        </w:rPr>
      </w:pPr>
      <w:r w:rsidRPr="007C15A1">
        <w:rPr>
          <w:rFonts w:cstheme="minorHAnsi"/>
        </w:rPr>
        <w:t xml:space="preserve">Consider temporarily closing </w:t>
      </w:r>
      <w:r w:rsidRPr="00CA6C23">
        <w:rPr>
          <w:rFonts w:cstheme="minorHAnsi"/>
        </w:rPr>
        <w:t>the Kelowna warehouse</w:t>
      </w:r>
      <w:r w:rsidRPr="007C15A1">
        <w:rPr>
          <w:rFonts w:cstheme="minorHAnsi"/>
        </w:rPr>
        <w:t xml:space="preserve"> to reduce operating costs.</w:t>
      </w:r>
    </w:p>
    <w:p w14:paraId="61337D27" w14:textId="652F994E" w:rsidR="008F7A1F" w:rsidRPr="005B2B7E" w:rsidRDefault="007C15A1" w:rsidP="00F917B0">
      <w:pPr>
        <w:numPr>
          <w:ilvl w:val="0"/>
          <w:numId w:val="28"/>
        </w:numPr>
        <w:spacing w:after="0" w:line="360" w:lineRule="auto"/>
        <w:rPr>
          <w:rFonts w:cstheme="minorHAnsi"/>
        </w:rPr>
      </w:pPr>
      <w:r w:rsidRPr="007C15A1">
        <w:rPr>
          <w:rFonts w:cstheme="minorHAnsi"/>
        </w:rPr>
        <w:t>Adopt a leaner inventory strategy with more frequent replenishment cycles</w:t>
      </w:r>
      <w:r w:rsidR="0085663C" w:rsidRPr="007C15A1">
        <w:rPr>
          <w:lang w:val="en-US"/>
        </w:rPr>
        <w:t>.</w:t>
      </w:r>
      <w:r w:rsidR="008558C8" w:rsidRPr="007C15A1">
        <w:rPr>
          <w:lang w:val="en-US"/>
        </w:rPr>
        <w:t xml:space="preserve"> </w:t>
      </w:r>
    </w:p>
    <w:p w14:paraId="21D594CF" w14:textId="77777777" w:rsidR="005F7C21" w:rsidRDefault="005F7C21" w:rsidP="00F917B0">
      <w:pPr>
        <w:spacing w:line="360" w:lineRule="auto"/>
        <w:rPr>
          <w:rFonts w:asciiTheme="majorHAnsi" w:eastAsiaTheme="majorEastAsia" w:hAnsiTheme="majorHAnsi" w:cstheme="majorBidi"/>
          <w:color w:val="2F5496" w:themeColor="accent1" w:themeShade="BF"/>
          <w:sz w:val="32"/>
          <w:szCs w:val="32"/>
        </w:rPr>
      </w:pPr>
      <w:r>
        <w:br w:type="page"/>
      </w:r>
    </w:p>
    <w:p w14:paraId="0FE509AA" w14:textId="637BDCE1" w:rsidR="007847BD" w:rsidRDefault="006A4BDA" w:rsidP="00F917B0">
      <w:pPr>
        <w:pStyle w:val="Heading1"/>
        <w:spacing w:line="360" w:lineRule="auto"/>
      </w:pPr>
      <w:r>
        <w:lastRenderedPageBreak/>
        <w:t>Limitations</w:t>
      </w:r>
    </w:p>
    <w:p w14:paraId="3EBF5510" w14:textId="3C414002" w:rsidR="006A4BDA" w:rsidRDefault="0068613C" w:rsidP="00F917B0">
      <w:pPr>
        <w:spacing w:line="360" w:lineRule="auto"/>
      </w:pPr>
      <w:r w:rsidRPr="0068613C">
        <w:t>The 2023 dataset was incomplete and required a 20% uplift to approximate year</w:t>
      </w:r>
      <w:r w:rsidRPr="0068613C">
        <w:noBreakHyphen/>
        <w:t>end totals. Linear forecasting cannot account for sudden market shifts or seasonality beyond historical patterns. Product</w:t>
      </w:r>
      <w:r w:rsidRPr="0068613C">
        <w:noBreakHyphen/>
        <w:t xml:space="preserve">level analysis did not include profitability or cost data, limiting recommendations to sales and inventory metrics. The assumption that customers with multiple payment methods default to the lowest </w:t>
      </w:r>
      <w:proofErr w:type="spellStart"/>
      <w:r w:rsidRPr="0068613C">
        <w:t>paymentTypeID</w:t>
      </w:r>
      <w:proofErr w:type="spellEnd"/>
      <w:r w:rsidRPr="0068613C">
        <w:t xml:space="preserve"> may not reflect actual behavior. The log</w:t>
      </w:r>
      <w:r w:rsidRPr="0068613C">
        <w:noBreakHyphen/>
        <w:t>log scatterplot improves visibility across product volumes but reduces detail for very low</w:t>
      </w:r>
      <w:r w:rsidRPr="0068613C">
        <w:noBreakHyphen/>
        <w:t>volume items.</w:t>
      </w:r>
    </w:p>
    <w:p w14:paraId="1A6084B3" w14:textId="6D203BBB" w:rsidR="000B4A84" w:rsidRDefault="000B4A84" w:rsidP="00F917B0">
      <w:pPr>
        <w:pStyle w:val="Heading1"/>
        <w:spacing w:line="360" w:lineRule="auto"/>
      </w:pPr>
      <w:r>
        <w:t>Methods</w:t>
      </w:r>
    </w:p>
    <w:p w14:paraId="0CFD0570" w14:textId="7D04B84E" w:rsidR="000B4A84" w:rsidRDefault="007540C9" w:rsidP="00F917B0">
      <w:pPr>
        <w:spacing w:line="360" w:lineRule="auto"/>
      </w:pPr>
      <w:r w:rsidRPr="007540C9">
        <w:t>SQL was used to extract customer, product, payment, and inventory data. After cleaning and adjusting the 2023 dataset, linear forecasting models were applied to project 2024 performance. Inventory efficiency was evaluated using grouped bar charts and a log</w:t>
      </w:r>
      <w:r w:rsidRPr="007540C9">
        <w:noBreakHyphen/>
        <w:t>log scatterplot to accommodate wide variation in product volumes. All visuals were created in Excel for transparency and consistency.</w:t>
      </w:r>
    </w:p>
    <w:p w14:paraId="0D774DDC" w14:textId="020BAB8F" w:rsidR="000B4A84" w:rsidRDefault="000B4A84" w:rsidP="00F917B0">
      <w:pPr>
        <w:pStyle w:val="Heading1"/>
        <w:spacing w:line="360" w:lineRule="auto"/>
      </w:pPr>
      <w:r>
        <w:t>Next Steps</w:t>
      </w:r>
    </w:p>
    <w:p w14:paraId="4407D7A1" w14:textId="77777777" w:rsidR="00F3383D" w:rsidRDefault="00F3383D" w:rsidP="00F917B0">
      <w:pPr>
        <w:pStyle w:val="Heading1"/>
        <w:spacing w:line="360" w:lineRule="auto"/>
        <w:rPr>
          <w:rFonts w:asciiTheme="minorHAnsi" w:eastAsiaTheme="minorHAnsi" w:hAnsiTheme="minorHAnsi" w:cstheme="minorBidi"/>
          <w:color w:val="auto"/>
          <w:sz w:val="22"/>
          <w:szCs w:val="22"/>
        </w:rPr>
      </w:pPr>
      <w:r w:rsidRPr="00F3383D">
        <w:rPr>
          <w:rFonts w:asciiTheme="minorHAnsi" w:eastAsiaTheme="minorHAnsi" w:hAnsiTheme="minorHAnsi" w:cstheme="minorBidi"/>
          <w:color w:val="auto"/>
          <w:sz w:val="22"/>
          <w:szCs w:val="22"/>
        </w:rPr>
        <w:t>Future analysis could include customer segmentation, profitability modeling, and shipping</w:t>
      </w:r>
      <w:r w:rsidRPr="00F3383D">
        <w:rPr>
          <w:rFonts w:ascii="Cambria Math" w:eastAsiaTheme="minorHAnsi" w:hAnsi="Cambria Math" w:cs="Cambria Math"/>
          <w:color w:val="auto"/>
          <w:sz w:val="22"/>
          <w:szCs w:val="22"/>
        </w:rPr>
        <w:t>‑</w:t>
      </w:r>
      <w:r w:rsidRPr="00F3383D">
        <w:rPr>
          <w:rFonts w:asciiTheme="minorHAnsi" w:eastAsiaTheme="minorHAnsi" w:hAnsiTheme="minorHAnsi" w:cstheme="minorBidi"/>
          <w:color w:val="auto"/>
          <w:sz w:val="22"/>
          <w:szCs w:val="22"/>
        </w:rPr>
        <w:t>time analysis to understand regional declines. Implementing an inventory turnover dashboard would support real</w:t>
      </w:r>
      <w:r w:rsidRPr="00F3383D">
        <w:rPr>
          <w:rFonts w:ascii="Cambria Math" w:eastAsiaTheme="minorHAnsi" w:hAnsi="Cambria Math" w:cs="Cambria Math"/>
          <w:color w:val="auto"/>
          <w:sz w:val="22"/>
          <w:szCs w:val="22"/>
        </w:rPr>
        <w:t>‑</w:t>
      </w:r>
      <w:r w:rsidRPr="00F3383D">
        <w:rPr>
          <w:rFonts w:asciiTheme="minorHAnsi" w:eastAsiaTheme="minorHAnsi" w:hAnsiTheme="minorHAnsi" w:cstheme="minorBidi"/>
          <w:color w:val="auto"/>
          <w:sz w:val="22"/>
          <w:szCs w:val="22"/>
        </w:rPr>
        <w:t>time monitoring. Integrating datasets into a BI tool such as Power BI or Tableau would streamline reporting and enable interactive exploration.</w:t>
      </w:r>
    </w:p>
    <w:p w14:paraId="0626105D" w14:textId="35A2DD12" w:rsidR="00FC3054" w:rsidRPr="00FC3054" w:rsidRDefault="00FC3054" w:rsidP="00F917B0">
      <w:pPr>
        <w:pStyle w:val="Heading1"/>
        <w:spacing w:line="360" w:lineRule="auto"/>
        <w:rPr>
          <w:lang w:val="en-US"/>
        </w:rPr>
      </w:pPr>
      <w:r>
        <w:rPr>
          <w:lang w:val="en-US"/>
        </w:rPr>
        <w:t>Summary Report</w:t>
      </w:r>
    </w:p>
    <w:p w14:paraId="325BBC0E" w14:textId="307476D9" w:rsidR="00305003" w:rsidRPr="00305003" w:rsidRDefault="00305003" w:rsidP="00F917B0">
      <w:pPr>
        <w:spacing w:line="360" w:lineRule="auto"/>
        <w:rPr>
          <w:rFonts w:cstheme="minorHAnsi"/>
        </w:rPr>
      </w:pPr>
      <w:r w:rsidRPr="00305003">
        <w:rPr>
          <w:rFonts w:cstheme="minorHAnsi"/>
        </w:rPr>
        <w:t>ACME’s strongest opportunities lie in expanding into growing regions (Quebec, Manitoba), optimizing product offerings, and addressing significant inefficiencies in inventory management.</w:t>
      </w:r>
    </w:p>
    <w:p w14:paraId="044A3E68" w14:textId="77777777" w:rsidR="00305003" w:rsidRPr="00FD4081" w:rsidRDefault="00305003" w:rsidP="00F917B0">
      <w:pPr>
        <w:pStyle w:val="Subtitle"/>
        <w:spacing w:after="0" w:line="360" w:lineRule="auto"/>
        <w:rPr>
          <w:sz w:val="24"/>
          <w:szCs w:val="24"/>
        </w:rPr>
      </w:pPr>
      <w:r w:rsidRPr="00FD4081">
        <w:rPr>
          <w:sz w:val="24"/>
          <w:szCs w:val="24"/>
        </w:rPr>
        <w:t>Customer Insights</w:t>
      </w:r>
    </w:p>
    <w:p w14:paraId="2F48BCAD" w14:textId="77777777" w:rsidR="00305003" w:rsidRPr="00305003" w:rsidRDefault="00305003" w:rsidP="00F917B0">
      <w:pPr>
        <w:numPr>
          <w:ilvl w:val="0"/>
          <w:numId w:val="29"/>
        </w:numPr>
        <w:spacing w:after="0" w:line="360" w:lineRule="auto"/>
        <w:rPr>
          <w:rFonts w:cstheme="minorHAnsi"/>
        </w:rPr>
      </w:pPr>
      <w:r w:rsidRPr="00305003">
        <w:rPr>
          <w:rFonts w:cstheme="minorHAnsi"/>
        </w:rPr>
        <w:t>Quebec and Manitoba show strong growth potential.</w:t>
      </w:r>
    </w:p>
    <w:p w14:paraId="147B08B9" w14:textId="77777777" w:rsidR="00305003" w:rsidRPr="00305003" w:rsidRDefault="00305003" w:rsidP="00F917B0">
      <w:pPr>
        <w:numPr>
          <w:ilvl w:val="0"/>
          <w:numId w:val="29"/>
        </w:numPr>
        <w:spacing w:line="360" w:lineRule="auto"/>
        <w:rPr>
          <w:rFonts w:cstheme="minorHAnsi"/>
        </w:rPr>
      </w:pPr>
      <w:r w:rsidRPr="00305003">
        <w:rPr>
          <w:rFonts w:cstheme="minorHAnsi"/>
        </w:rPr>
        <w:t>Alberta and New Brunswick require targeted retention strategies.</w:t>
      </w:r>
    </w:p>
    <w:p w14:paraId="4F0A6CCF" w14:textId="77777777" w:rsidR="00305003" w:rsidRPr="00FD4081" w:rsidRDefault="00305003" w:rsidP="00F917B0">
      <w:pPr>
        <w:pStyle w:val="Subtitle"/>
        <w:spacing w:after="0" w:line="360" w:lineRule="auto"/>
        <w:rPr>
          <w:sz w:val="24"/>
          <w:szCs w:val="24"/>
        </w:rPr>
      </w:pPr>
      <w:r w:rsidRPr="00FD4081">
        <w:rPr>
          <w:sz w:val="24"/>
          <w:szCs w:val="24"/>
        </w:rPr>
        <w:t>Product Insights</w:t>
      </w:r>
    </w:p>
    <w:p w14:paraId="5DFD259A" w14:textId="77777777" w:rsidR="00305003" w:rsidRPr="00305003" w:rsidRDefault="00305003" w:rsidP="00F917B0">
      <w:pPr>
        <w:numPr>
          <w:ilvl w:val="0"/>
          <w:numId w:val="30"/>
        </w:numPr>
        <w:spacing w:after="0" w:line="360" w:lineRule="auto"/>
        <w:rPr>
          <w:rFonts w:cstheme="minorHAnsi"/>
        </w:rPr>
      </w:pPr>
      <w:r w:rsidRPr="00305003">
        <w:rPr>
          <w:rFonts w:cstheme="minorHAnsi"/>
        </w:rPr>
        <w:t>Top products are reliable revenue drivers.</w:t>
      </w:r>
    </w:p>
    <w:p w14:paraId="53986E12" w14:textId="77777777" w:rsidR="00305003" w:rsidRPr="00305003" w:rsidRDefault="00305003" w:rsidP="00F917B0">
      <w:pPr>
        <w:numPr>
          <w:ilvl w:val="0"/>
          <w:numId w:val="30"/>
        </w:numPr>
        <w:spacing w:after="0" w:line="360" w:lineRule="auto"/>
        <w:rPr>
          <w:rFonts w:cstheme="minorHAnsi"/>
        </w:rPr>
      </w:pPr>
      <w:r w:rsidRPr="00305003">
        <w:rPr>
          <w:rFonts w:cstheme="minorHAnsi"/>
        </w:rPr>
        <w:t>Bottom products should be discounted or discontinued.</w:t>
      </w:r>
    </w:p>
    <w:p w14:paraId="19C37C50" w14:textId="77777777" w:rsidR="00305003" w:rsidRPr="00FD4081" w:rsidRDefault="00305003" w:rsidP="00F917B0">
      <w:pPr>
        <w:pStyle w:val="Subtitle"/>
        <w:spacing w:before="240" w:after="0" w:line="360" w:lineRule="auto"/>
        <w:rPr>
          <w:sz w:val="24"/>
          <w:szCs w:val="24"/>
        </w:rPr>
      </w:pPr>
      <w:r w:rsidRPr="00FD4081">
        <w:rPr>
          <w:sz w:val="24"/>
          <w:szCs w:val="24"/>
        </w:rPr>
        <w:lastRenderedPageBreak/>
        <w:t>Payment Insights</w:t>
      </w:r>
    </w:p>
    <w:p w14:paraId="7B84BF62" w14:textId="77777777" w:rsidR="00305003" w:rsidRPr="00305003" w:rsidRDefault="00305003" w:rsidP="00F917B0">
      <w:pPr>
        <w:numPr>
          <w:ilvl w:val="0"/>
          <w:numId w:val="31"/>
        </w:numPr>
        <w:spacing w:after="0" w:line="360" w:lineRule="auto"/>
        <w:rPr>
          <w:rFonts w:cstheme="minorHAnsi"/>
        </w:rPr>
      </w:pPr>
      <w:r w:rsidRPr="00305003">
        <w:rPr>
          <w:rFonts w:cstheme="minorHAnsi"/>
        </w:rPr>
        <w:t xml:space="preserve">VISA dominates; </w:t>
      </w:r>
      <w:proofErr w:type="spellStart"/>
      <w:r w:rsidRPr="00305003">
        <w:rPr>
          <w:rFonts w:cstheme="minorHAnsi"/>
        </w:rPr>
        <w:t>ApplePay</w:t>
      </w:r>
      <w:proofErr w:type="spellEnd"/>
      <w:r w:rsidRPr="00305003">
        <w:rPr>
          <w:rFonts w:cstheme="minorHAnsi"/>
        </w:rPr>
        <w:t xml:space="preserve"> is rising.</w:t>
      </w:r>
    </w:p>
    <w:p w14:paraId="2EAF06E4" w14:textId="77777777" w:rsidR="00305003" w:rsidRPr="00305003" w:rsidRDefault="00305003" w:rsidP="00F917B0">
      <w:pPr>
        <w:numPr>
          <w:ilvl w:val="0"/>
          <w:numId w:val="31"/>
        </w:numPr>
        <w:spacing w:line="360" w:lineRule="auto"/>
        <w:rPr>
          <w:rFonts w:cstheme="minorHAnsi"/>
        </w:rPr>
      </w:pPr>
      <w:r w:rsidRPr="00305003">
        <w:rPr>
          <w:rFonts w:cstheme="minorHAnsi"/>
        </w:rPr>
        <w:t>AMEX and PayPal may not be cost</w:t>
      </w:r>
      <w:r w:rsidRPr="00305003">
        <w:rPr>
          <w:rFonts w:cstheme="minorHAnsi"/>
        </w:rPr>
        <w:noBreakHyphen/>
        <w:t>effective.</w:t>
      </w:r>
    </w:p>
    <w:p w14:paraId="0BA82F13" w14:textId="77777777" w:rsidR="00305003" w:rsidRPr="00FD4081" w:rsidRDefault="00305003" w:rsidP="00F917B0">
      <w:pPr>
        <w:pStyle w:val="Subtitle"/>
        <w:spacing w:after="0" w:line="360" w:lineRule="auto"/>
        <w:rPr>
          <w:sz w:val="24"/>
          <w:szCs w:val="24"/>
        </w:rPr>
      </w:pPr>
      <w:r w:rsidRPr="00FD4081">
        <w:rPr>
          <w:sz w:val="24"/>
          <w:szCs w:val="24"/>
        </w:rPr>
        <w:t>Inventory Insights</w:t>
      </w:r>
    </w:p>
    <w:p w14:paraId="4E22A200" w14:textId="77777777" w:rsidR="00305003" w:rsidRPr="00305003" w:rsidRDefault="00305003" w:rsidP="00F917B0">
      <w:pPr>
        <w:numPr>
          <w:ilvl w:val="0"/>
          <w:numId w:val="32"/>
        </w:numPr>
        <w:spacing w:after="0" w:line="360" w:lineRule="auto"/>
        <w:rPr>
          <w:rFonts w:cstheme="minorHAnsi"/>
        </w:rPr>
      </w:pPr>
      <w:r w:rsidRPr="00305003">
        <w:rPr>
          <w:rFonts w:cstheme="minorHAnsi"/>
        </w:rPr>
        <w:t>Overstocking is a major operational issue.</w:t>
      </w:r>
    </w:p>
    <w:p w14:paraId="21ADB963" w14:textId="77777777" w:rsidR="00305003" w:rsidRPr="00305003" w:rsidRDefault="00305003" w:rsidP="00F917B0">
      <w:pPr>
        <w:numPr>
          <w:ilvl w:val="0"/>
          <w:numId w:val="32"/>
        </w:numPr>
        <w:spacing w:after="0" w:line="360" w:lineRule="auto"/>
        <w:rPr>
          <w:rFonts w:cstheme="minorHAnsi"/>
        </w:rPr>
      </w:pPr>
      <w:r w:rsidRPr="00305003">
        <w:rPr>
          <w:rFonts w:cstheme="minorHAnsi"/>
        </w:rPr>
        <w:t>Stockout</w:t>
      </w:r>
      <w:r w:rsidRPr="00305003">
        <w:rPr>
          <w:rFonts w:cstheme="minorHAnsi"/>
        </w:rPr>
        <w:noBreakHyphen/>
        <w:t>risk products need immediate attention.</w:t>
      </w:r>
    </w:p>
    <w:p w14:paraId="20ADC736" w14:textId="77777777" w:rsidR="00305003" w:rsidRPr="00305003" w:rsidRDefault="00305003" w:rsidP="00F917B0">
      <w:pPr>
        <w:numPr>
          <w:ilvl w:val="0"/>
          <w:numId w:val="32"/>
        </w:numPr>
        <w:spacing w:line="360" w:lineRule="auto"/>
        <w:rPr>
          <w:rFonts w:cstheme="minorHAnsi"/>
        </w:rPr>
      </w:pPr>
      <w:r w:rsidRPr="00305003">
        <w:rPr>
          <w:rFonts w:cstheme="minorHAnsi"/>
        </w:rPr>
        <w:t>Warehouse strategy should be restructured to reduce costs.</w:t>
      </w:r>
    </w:p>
    <w:p w14:paraId="6EBBEAD0" w14:textId="45C01797" w:rsidR="00FC3054" w:rsidRPr="00FC3054" w:rsidRDefault="00FC3054" w:rsidP="00305003">
      <w:pPr>
        <w:spacing w:line="276" w:lineRule="auto"/>
        <w:rPr>
          <w:rFonts w:cstheme="minorHAnsi"/>
          <w:lang w:val="en-US"/>
        </w:rPr>
      </w:pPr>
    </w:p>
    <w:sectPr w:rsidR="00FC3054" w:rsidRPr="00FC305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DFDC6" w14:textId="77777777" w:rsidR="00603301" w:rsidRDefault="00603301" w:rsidP="00A6537A">
      <w:pPr>
        <w:spacing w:after="0" w:line="240" w:lineRule="auto"/>
      </w:pPr>
      <w:r>
        <w:separator/>
      </w:r>
    </w:p>
  </w:endnote>
  <w:endnote w:type="continuationSeparator" w:id="0">
    <w:p w14:paraId="5016B807" w14:textId="77777777" w:rsidR="00603301" w:rsidRDefault="00603301" w:rsidP="00A6537A">
      <w:pPr>
        <w:spacing w:after="0" w:line="240" w:lineRule="auto"/>
      </w:pPr>
      <w:r>
        <w:continuationSeparator/>
      </w:r>
    </w:p>
  </w:endnote>
  <w:endnote w:type="continuationNotice" w:id="1">
    <w:p w14:paraId="711CAEB3" w14:textId="77777777" w:rsidR="00603301" w:rsidRDefault="0060330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229BE" w14:textId="77777777" w:rsidR="00603301" w:rsidRDefault="00603301" w:rsidP="00A6537A">
      <w:pPr>
        <w:spacing w:after="0" w:line="240" w:lineRule="auto"/>
      </w:pPr>
      <w:r>
        <w:separator/>
      </w:r>
    </w:p>
  </w:footnote>
  <w:footnote w:type="continuationSeparator" w:id="0">
    <w:p w14:paraId="11F8C6D3" w14:textId="77777777" w:rsidR="00603301" w:rsidRDefault="00603301" w:rsidP="00A6537A">
      <w:pPr>
        <w:spacing w:after="0" w:line="240" w:lineRule="auto"/>
      </w:pPr>
      <w:r>
        <w:continuationSeparator/>
      </w:r>
    </w:p>
  </w:footnote>
  <w:footnote w:type="continuationNotice" w:id="1">
    <w:p w14:paraId="0F601D96" w14:textId="77777777" w:rsidR="00603301" w:rsidRDefault="0060330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566A6"/>
    <w:multiLevelType w:val="hybridMultilevel"/>
    <w:tmpl w:val="5F769B12"/>
    <w:lvl w:ilvl="0" w:tplc="31AE2BD2">
      <w:start w:val="5"/>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D2200C9"/>
    <w:multiLevelType w:val="hybridMultilevel"/>
    <w:tmpl w:val="D4160648"/>
    <w:lvl w:ilvl="0" w:tplc="1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D4C545C"/>
    <w:multiLevelType w:val="multilevel"/>
    <w:tmpl w:val="0BF4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F5165"/>
    <w:multiLevelType w:val="hybridMultilevel"/>
    <w:tmpl w:val="C46E2E62"/>
    <w:lvl w:ilvl="0" w:tplc="D452EF8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137226E"/>
    <w:multiLevelType w:val="multilevel"/>
    <w:tmpl w:val="3762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421BF"/>
    <w:multiLevelType w:val="multilevel"/>
    <w:tmpl w:val="8D32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E72E1"/>
    <w:multiLevelType w:val="multilevel"/>
    <w:tmpl w:val="D520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552A5"/>
    <w:multiLevelType w:val="hybridMultilevel"/>
    <w:tmpl w:val="57F0E5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D311810"/>
    <w:multiLevelType w:val="multilevel"/>
    <w:tmpl w:val="8B06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A45C5F"/>
    <w:multiLevelType w:val="hybridMultilevel"/>
    <w:tmpl w:val="41805B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38601FB"/>
    <w:multiLevelType w:val="hybridMultilevel"/>
    <w:tmpl w:val="2AB0F4E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1" w15:restartNumberingAfterBreak="0">
    <w:nsid w:val="23C16566"/>
    <w:multiLevelType w:val="multilevel"/>
    <w:tmpl w:val="9590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814DA"/>
    <w:multiLevelType w:val="hybridMultilevel"/>
    <w:tmpl w:val="324856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17C1CEA"/>
    <w:multiLevelType w:val="multilevel"/>
    <w:tmpl w:val="0048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EB60CD"/>
    <w:multiLevelType w:val="hybridMultilevel"/>
    <w:tmpl w:val="BAE0C7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10065E4"/>
    <w:multiLevelType w:val="multilevel"/>
    <w:tmpl w:val="4090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DD5771"/>
    <w:multiLevelType w:val="multilevel"/>
    <w:tmpl w:val="83DE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217ED7"/>
    <w:multiLevelType w:val="multilevel"/>
    <w:tmpl w:val="9220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8F20F9"/>
    <w:multiLevelType w:val="multilevel"/>
    <w:tmpl w:val="7544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0F5750"/>
    <w:multiLevelType w:val="multilevel"/>
    <w:tmpl w:val="D990E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540FAE"/>
    <w:multiLevelType w:val="multilevel"/>
    <w:tmpl w:val="6188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8031C4"/>
    <w:multiLevelType w:val="multilevel"/>
    <w:tmpl w:val="D4EA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331975"/>
    <w:multiLevelType w:val="multilevel"/>
    <w:tmpl w:val="B6EA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E8064B"/>
    <w:multiLevelType w:val="multilevel"/>
    <w:tmpl w:val="1CEAB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D96DC0"/>
    <w:multiLevelType w:val="multilevel"/>
    <w:tmpl w:val="53A6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E93EE0"/>
    <w:multiLevelType w:val="multilevel"/>
    <w:tmpl w:val="B2DAC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7470DD"/>
    <w:multiLevelType w:val="multilevel"/>
    <w:tmpl w:val="4166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DA2D98"/>
    <w:multiLevelType w:val="multilevel"/>
    <w:tmpl w:val="9DD8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B143C8"/>
    <w:multiLevelType w:val="hybridMultilevel"/>
    <w:tmpl w:val="25C446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7403612C"/>
    <w:multiLevelType w:val="multilevel"/>
    <w:tmpl w:val="35E8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D66F75"/>
    <w:multiLevelType w:val="multilevel"/>
    <w:tmpl w:val="4EF2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4029FF"/>
    <w:multiLevelType w:val="multilevel"/>
    <w:tmpl w:val="B8F8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58711">
    <w:abstractNumId w:val="3"/>
  </w:num>
  <w:num w:numId="2" w16cid:durableId="940456146">
    <w:abstractNumId w:val="0"/>
  </w:num>
  <w:num w:numId="3" w16cid:durableId="989865214">
    <w:abstractNumId w:val="1"/>
  </w:num>
  <w:num w:numId="4" w16cid:durableId="1927377511">
    <w:abstractNumId w:val="10"/>
  </w:num>
  <w:num w:numId="5" w16cid:durableId="1630016295">
    <w:abstractNumId w:val="28"/>
  </w:num>
  <w:num w:numId="6" w16cid:durableId="813833574">
    <w:abstractNumId w:val="18"/>
  </w:num>
  <w:num w:numId="7" w16cid:durableId="1599827758">
    <w:abstractNumId w:val="2"/>
  </w:num>
  <w:num w:numId="8" w16cid:durableId="472413002">
    <w:abstractNumId w:val="31"/>
  </w:num>
  <w:num w:numId="9" w16cid:durableId="1681734029">
    <w:abstractNumId w:val="12"/>
  </w:num>
  <w:num w:numId="10" w16cid:durableId="646589059">
    <w:abstractNumId w:val="9"/>
  </w:num>
  <w:num w:numId="11" w16cid:durableId="1335960581">
    <w:abstractNumId w:val="7"/>
  </w:num>
  <w:num w:numId="12" w16cid:durableId="240336324">
    <w:abstractNumId w:val="8"/>
  </w:num>
  <w:num w:numId="13" w16cid:durableId="1219048294">
    <w:abstractNumId w:val="20"/>
  </w:num>
  <w:num w:numId="14" w16cid:durableId="514081072">
    <w:abstractNumId w:val="5"/>
  </w:num>
  <w:num w:numId="15" w16cid:durableId="1156919932">
    <w:abstractNumId w:val="25"/>
  </w:num>
  <w:num w:numId="16" w16cid:durableId="1034767545">
    <w:abstractNumId w:val="29"/>
  </w:num>
  <w:num w:numId="17" w16cid:durableId="1923446380">
    <w:abstractNumId w:val="4"/>
  </w:num>
  <w:num w:numId="18" w16cid:durableId="1850487740">
    <w:abstractNumId w:val="19"/>
  </w:num>
  <w:num w:numId="19" w16cid:durableId="2070836708">
    <w:abstractNumId w:val="24"/>
  </w:num>
  <w:num w:numId="20" w16cid:durableId="1807581010">
    <w:abstractNumId w:val="27"/>
  </w:num>
  <w:num w:numId="21" w16cid:durableId="761875866">
    <w:abstractNumId w:val="16"/>
  </w:num>
  <w:num w:numId="22" w16cid:durableId="486213876">
    <w:abstractNumId w:val="15"/>
  </w:num>
  <w:num w:numId="23" w16cid:durableId="90515469">
    <w:abstractNumId w:val="21"/>
  </w:num>
  <w:num w:numId="24" w16cid:durableId="955058862">
    <w:abstractNumId w:val="13"/>
  </w:num>
  <w:num w:numId="25" w16cid:durableId="2037583336">
    <w:abstractNumId w:val="14"/>
  </w:num>
  <w:num w:numId="26" w16cid:durableId="1411388013">
    <w:abstractNumId w:val="23"/>
  </w:num>
  <w:num w:numId="27" w16cid:durableId="1039428051">
    <w:abstractNumId w:val="6"/>
  </w:num>
  <w:num w:numId="28" w16cid:durableId="1544827850">
    <w:abstractNumId w:val="30"/>
  </w:num>
  <w:num w:numId="29" w16cid:durableId="868759337">
    <w:abstractNumId w:val="22"/>
  </w:num>
  <w:num w:numId="30" w16cid:durableId="1148324800">
    <w:abstractNumId w:val="17"/>
  </w:num>
  <w:num w:numId="31" w16cid:durableId="946735171">
    <w:abstractNumId w:val="26"/>
  </w:num>
  <w:num w:numId="32" w16cid:durableId="7082605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38E"/>
    <w:rsid w:val="000004CC"/>
    <w:rsid w:val="00000E90"/>
    <w:rsid w:val="000056EA"/>
    <w:rsid w:val="00017939"/>
    <w:rsid w:val="000200CF"/>
    <w:rsid w:val="000236E9"/>
    <w:rsid w:val="00027867"/>
    <w:rsid w:val="00041D79"/>
    <w:rsid w:val="00050429"/>
    <w:rsid w:val="0005053D"/>
    <w:rsid w:val="00050D06"/>
    <w:rsid w:val="00056A49"/>
    <w:rsid w:val="00061673"/>
    <w:rsid w:val="00066F76"/>
    <w:rsid w:val="000679C7"/>
    <w:rsid w:val="000712D0"/>
    <w:rsid w:val="00071C93"/>
    <w:rsid w:val="0007263F"/>
    <w:rsid w:val="0007360A"/>
    <w:rsid w:val="000769AC"/>
    <w:rsid w:val="00080786"/>
    <w:rsid w:val="00094544"/>
    <w:rsid w:val="0009663E"/>
    <w:rsid w:val="000A16C6"/>
    <w:rsid w:val="000A2A7E"/>
    <w:rsid w:val="000A34D3"/>
    <w:rsid w:val="000A7B77"/>
    <w:rsid w:val="000B02E3"/>
    <w:rsid w:val="000B10B1"/>
    <w:rsid w:val="000B2734"/>
    <w:rsid w:val="000B4A84"/>
    <w:rsid w:val="000C27C4"/>
    <w:rsid w:val="000C795C"/>
    <w:rsid w:val="000D1ABD"/>
    <w:rsid w:val="000D710A"/>
    <w:rsid w:val="000E40D3"/>
    <w:rsid w:val="000E4BCA"/>
    <w:rsid w:val="000F36BF"/>
    <w:rsid w:val="001008DC"/>
    <w:rsid w:val="00103CED"/>
    <w:rsid w:val="0010766C"/>
    <w:rsid w:val="00113BF2"/>
    <w:rsid w:val="00115592"/>
    <w:rsid w:val="001217A2"/>
    <w:rsid w:val="00123189"/>
    <w:rsid w:val="001409DA"/>
    <w:rsid w:val="001475EB"/>
    <w:rsid w:val="001506D6"/>
    <w:rsid w:val="0015105C"/>
    <w:rsid w:val="001553EC"/>
    <w:rsid w:val="00166058"/>
    <w:rsid w:val="001746CF"/>
    <w:rsid w:val="00175BEC"/>
    <w:rsid w:val="001762EE"/>
    <w:rsid w:val="00182657"/>
    <w:rsid w:val="0018527F"/>
    <w:rsid w:val="00192208"/>
    <w:rsid w:val="001A330D"/>
    <w:rsid w:val="001A5AD4"/>
    <w:rsid w:val="001A5C92"/>
    <w:rsid w:val="001A7042"/>
    <w:rsid w:val="001B136E"/>
    <w:rsid w:val="001B3CAC"/>
    <w:rsid w:val="001C224D"/>
    <w:rsid w:val="001C315C"/>
    <w:rsid w:val="001C34DA"/>
    <w:rsid w:val="001C3932"/>
    <w:rsid w:val="001C3C13"/>
    <w:rsid w:val="001C6781"/>
    <w:rsid w:val="001D13F3"/>
    <w:rsid w:val="001D1887"/>
    <w:rsid w:val="001D3345"/>
    <w:rsid w:val="001D6425"/>
    <w:rsid w:val="001E43A1"/>
    <w:rsid w:val="001E60B1"/>
    <w:rsid w:val="00206982"/>
    <w:rsid w:val="002170CC"/>
    <w:rsid w:val="002217C7"/>
    <w:rsid w:val="002227BF"/>
    <w:rsid w:val="0022568B"/>
    <w:rsid w:val="0023210D"/>
    <w:rsid w:val="002369D3"/>
    <w:rsid w:val="00237F74"/>
    <w:rsid w:val="00242687"/>
    <w:rsid w:val="0025044C"/>
    <w:rsid w:val="00250B63"/>
    <w:rsid w:val="0025216A"/>
    <w:rsid w:val="0025242F"/>
    <w:rsid w:val="0025441D"/>
    <w:rsid w:val="00267562"/>
    <w:rsid w:val="002722DF"/>
    <w:rsid w:val="0027621B"/>
    <w:rsid w:val="00277FCB"/>
    <w:rsid w:val="00280FC7"/>
    <w:rsid w:val="0028217A"/>
    <w:rsid w:val="002834BC"/>
    <w:rsid w:val="00287B5F"/>
    <w:rsid w:val="002A22A4"/>
    <w:rsid w:val="002B59BC"/>
    <w:rsid w:val="002C1A70"/>
    <w:rsid w:val="002D77C2"/>
    <w:rsid w:val="002F08AF"/>
    <w:rsid w:val="00302BDA"/>
    <w:rsid w:val="003045E2"/>
    <w:rsid w:val="00305003"/>
    <w:rsid w:val="00305EC8"/>
    <w:rsid w:val="00310E04"/>
    <w:rsid w:val="003117EC"/>
    <w:rsid w:val="00312460"/>
    <w:rsid w:val="0031483E"/>
    <w:rsid w:val="00315D5A"/>
    <w:rsid w:val="00320D9F"/>
    <w:rsid w:val="00327399"/>
    <w:rsid w:val="00336321"/>
    <w:rsid w:val="00343085"/>
    <w:rsid w:val="003434AD"/>
    <w:rsid w:val="003457C2"/>
    <w:rsid w:val="00346491"/>
    <w:rsid w:val="00347F55"/>
    <w:rsid w:val="003525B7"/>
    <w:rsid w:val="00354D9C"/>
    <w:rsid w:val="00360FB3"/>
    <w:rsid w:val="0036139A"/>
    <w:rsid w:val="00362A83"/>
    <w:rsid w:val="00370DBE"/>
    <w:rsid w:val="00377355"/>
    <w:rsid w:val="00380656"/>
    <w:rsid w:val="00384E94"/>
    <w:rsid w:val="00387290"/>
    <w:rsid w:val="00390D4A"/>
    <w:rsid w:val="003A224A"/>
    <w:rsid w:val="003C05ED"/>
    <w:rsid w:val="003C0E13"/>
    <w:rsid w:val="003C4502"/>
    <w:rsid w:val="003C55FF"/>
    <w:rsid w:val="003E66B2"/>
    <w:rsid w:val="003E7F1A"/>
    <w:rsid w:val="003F0C98"/>
    <w:rsid w:val="003F5474"/>
    <w:rsid w:val="00417747"/>
    <w:rsid w:val="0043577C"/>
    <w:rsid w:val="004575BE"/>
    <w:rsid w:val="004620FB"/>
    <w:rsid w:val="0046264E"/>
    <w:rsid w:val="0046493B"/>
    <w:rsid w:val="00464D5F"/>
    <w:rsid w:val="004802E0"/>
    <w:rsid w:val="00482E13"/>
    <w:rsid w:val="00486FA0"/>
    <w:rsid w:val="00490672"/>
    <w:rsid w:val="00492E7D"/>
    <w:rsid w:val="00496EEC"/>
    <w:rsid w:val="004B2829"/>
    <w:rsid w:val="004B7A83"/>
    <w:rsid w:val="004C19A2"/>
    <w:rsid w:val="004D150B"/>
    <w:rsid w:val="004D2F93"/>
    <w:rsid w:val="004D4A20"/>
    <w:rsid w:val="004E2941"/>
    <w:rsid w:val="004E33A8"/>
    <w:rsid w:val="004E7591"/>
    <w:rsid w:val="004E773E"/>
    <w:rsid w:val="00503999"/>
    <w:rsid w:val="00504D06"/>
    <w:rsid w:val="00507687"/>
    <w:rsid w:val="00521546"/>
    <w:rsid w:val="00523015"/>
    <w:rsid w:val="00532D3E"/>
    <w:rsid w:val="00533089"/>
    <w:rsid w:val="0053324A"/>
    <w:rsid w:val="00536EE1"/>
    <w:rsid w:val="00542D74"/>
    <w:rsid w:val="00542E8D"/>
    <w:rsid w:val="00564BCE"/>
    <w:rsid w:val="00574B90"/>
    <w:rsid w:val="0057605B"/>
    <w:rsid w:val="0057624F"/>
    <w:rsid w:val="005834FB"/>
    <w:rsid w:val="005877CE"/>
    <w:rsid w:val="00587FBF"/>
    <w:rsid w:val="00594368"/>
    <w:rsid w:val="0059528B"/>
    <w:rsid w:val="005968CB"/>
    <w:rsid w:val="005A02BE"/>
    <w:rsid w:val="005A19F8"/>
    <w:rsid w:val="005A23FB"/>
    <w:rsid w:val="005A611C"/>
    <w:rsid w:val="005B1655"/>
    <w:rsid w:val="005B2B7E"/>
    <w:rsid w:val="005B369D"/>
    <w:rsid w:val="005B4603"/>
    <w:rsid w:val="005C2F14"/>
    <w:rsid w:val="005C4EB9"/>
    <w:rsid w:val="005F025B"/>
    <w:rsid w:val="005F43B3"/>
    <w:rsid w:val="005F7C21"/>
    <w:rsid w:val="006003DC"/>
    <w:rsid w:val="00600C94"/>
    <w:rsid w:val="00602B3E"/>
    <w:rsid w:val="00603301"/>
    <w:rsid w:val="006046AF"/>
    <w:rsid w:val="00610931"/>
    <w:rsid w:val="0061479D"/>
    <w:rsid w:val="0061589B"/>
    <w:rsid w:val="00616E0B"/>
    <w:rsid w:val="00623BC2"/>
    <w:rsid w:val="00627503"/>
    <w:rsid w:val="006350CD"/>
    <w:rsid w:val="006476FE"/>
    <w:rsid w:val="00650220"/>
    <w:rsid w:val="0065417A"/>
    <w:rsid w:val="00656475"/>
    <w:rsid w:val="006649C9"/>
    <w:rsid w:val="00665ED0"/>
    <w:rsid w:val="00667B66"/>
    <w:rsid w:val="00672353"/>
    <w:rsid w:val="006750AA"/>
    <w:rsid w:val="0067517B"/>
    <w:rsid w:val="0067778C"/>
    <w:rsid w:val="0068313A"/>
    <w:rsid w:val="0068613C"/>
    <w:rsid w:val="00690F22"/>
    <w:rsid w:val="006A34F6"/>
    <w:rsid w:val="006A4097"/>
    <w:rsid w:val="006A4BDA"/>
    <w:rsid w:val="006A75DD"/>
    <w:rsid w:val="006B0A56"/>
    <w:rsid w:val="006B5A7C"/>
    <w:rsid w:val="006B69FE"/>
    <w:rsid w:val="006C56B3"/>
    <w:rsid w:val="006D1899"/>
    <w:rsid w:val="006D350D"/>
    <w:rsid w:val="006D42E1"/>
    <w:rsid w:val="006D48E5"/>
    <w:rsid w:val="006D5AA6"/>
    <w:rsid w:val="006D7A4E"/>
    <w:rsid w:val="006E1E82"/>
    <w:rsid w:val="006E7398"/>
    <w:rsid w:val="006E7C29"/>
    <w:rsid w:val="006F77CD"/>
    <w:rsid w:val="00705DEC"/>
    <w:rsid w:val="007174EB"/>
    <w:rsid w:val="0072306D"/>
    <w:rsid w:val="007247FC"/>
    <w:rsid w:val="007249A7"/>
    <w:rsid w:val="00727C4C"/>
    <w:rsid w:val="00737D08"/>
    <w:rsid w:val="00747C77"/>
    <w:rsid w:val="00750435"/>
    <w:rsid w:val="00750A40"/>
    <w:rsid w:val="007540C9"/>
    <w:rsid w:val="00755AF9"/>
    <w:rsid w:val="00762E28"/>
    <w:rsid w:val="00765340"/>
    <w:rsid w:val="007703E6"/>
    <w:rsid w:val="007847BD"/>
    <w:rsid w:val="00792C43"/>
    <w:rsid w:val="00793294"/>
    <w:rsid w:val="00794E04"/>
    <w:rsid w:val="00796800"/>
    <w:rsid w:val="007A347D"/>
    <w:rsid w:val="007A4236"/>
    <w:rsid w:val="007A6D0B"/>
    <w:rsid w:val="007A78F9"/>
    <w:rsid w:val="007B2BEC"/>
    <w:rsid w:val="007B35B6"/>
    <w:rsid w:val="007B35C6"/>
    <w:rsid w:val="007C15A1"/>
    <w:rsid w:val="007C2D2E"/>
    <w:rsid w:val="007C6756"/>
    <w:rsid w:val="007C78D3"/>
    <w:rsid w:val="007D260E"/>
    <w:rsid w:val="007D6AC8"/>
    <w:rsid w:val="007E45F4"/>
    <w:rsid w:val="007F1B5C"/>
    <w:rsid w:val="007F4338"/>
    <w:rsid w:val="007F50AC"/>
    <w:rsid w:val="00804D07"/>
    <w:rsid w:val="00810EC9"/>
    <w:rsid w:val="00810EF7"/>
    <w:rsid w:val="0081329A"/>
    <w:rsid w:val="008164CB"/>
    <w:rsid w:val="00844F00"/>
    <w:rsid w:val="0085212C"/>
    <w:rsid w:val="008558C8"/>
    <w:rsid w:val="0085663C"/>
    <w:rsid w:val="00857F14"/>
    <w:rsid w:val="00861470"/>
    <w:rsid w:val="00865BE8"/>
    <w:rsid w:val="00865C9C"/>
    <w:rsid w:val="008703F3"/>
    <w:rsid w:val="00871A27"/>
    <w:rsid w:val="00874049"/>
    <w:rsid w:val="008741B2"/>
    <w:rsid w:val="00876513"/>
    <w:rsid w:val="008861BA"/>
    <w:rsid w:val="00887C1A"/>
    <w:rsid w:val="00896002"/>
    <w:rsid w:val="00896411"/>
    <w:rsid w:val="00897FD9"/>
    <w:rsid w:val="008B0CA1"/>
    <w:rsid w:val="008B2066"/>
    <w:rsid w:val="008B5740"/>
    <w:rsid w:val="008B6CEF"/>
    <w:rsid w:val="008C37BF"/>
    <w:rsid w:val="008D2249"/>
    <w:rsid w:val="008D5A14"/>
    <w:rsid w:val="008E0299"/>
    <w:rsid w:val="008E1265"/>
    <w:rsid w:val="008E26DB"/>
    <w:rsid w:val="008F0B5E"/>
    <w:rsid w:val="008F7A1F"/>
    <w:rsid w:val="0090125B"/>
    <w:rsid w:val="00907BC5"/>
    <w:rsid w:val="00907D35"/>
    <w:rsid w:val="00914EBA"/>
    <w:rsid w:val="00922A5F"/>
    <w:rsid w:val="00922A96"/>
    <w:rsid w:val="0092580D"/>
    <w:rsid w:val="00927358"/>
    <w:rsid w:val="00931B69"/>
    <w:rsid w:val="009525D0"/>
    <w:rsid w:val="009528F8"/>
    <w:rsid w:val="00956F1D"/>
    <w:rsid w:val="0095762F"/>
    <w:rsid w:val="009705DE"/>
    <w:rsid w:val="00970A28"/>
    <w:rsid w:val="009732EB"/>
    <w:rsid w:val="00980329"/>
    <w:rsid w:val="00987E3B"/>
    <w:rsid w:val="00992E72"/>
    <w:rsid w:val="0099424B"/>
    <w:rsid w:val="009968EE"/>
    <w:rsid w:val="00997463"/>
    <w:rsid w:val="009B02EA"/>
    <w:rsid w:val="009B0DE4"/>
    <w:rsid w:val="009B1F3C"/>
    <w:rsid w:val="009B4A41"/>
    <w:rsid w:val="009D0C77"/>
    <w:rsid w:val="009E6727"/>
    <w:rsid w:val="009E72FB"/>
    <w:rsid w:val="009F7032"/>
    <w:rsid w:val="00A047DB"/>
    <w:rsid w:val="00A1151D"/>
    <w:rsid w:val="00A136AA"/>
    <w:rsid w:val="00A14E24"/>
    <w:rsid w:val="00A24099"/>
    <w:rsid w:val="00A240E7"/>
    <w:rsid w:val="00A27122"/>
    <w:rsid w:val="00A37132"/>
    <w:rsid w:val="00A376D8"/>
    <w:rsid w:val="00A37A31"/>
    <w:rsid w:val="00A502EB"/>
    <w:rsid w:val="00A5349D"/>
    <w:rsid w:val="00A62F1A"/>
    <w:rsid w:val="00A6537A"/>
    <w:rsid w:val="00A6643A"/>
    <w:rsid w:val="00A73C2D"/>
    <w:rsid w:val="00A84318"/>
    <w:rsid w:val="00A935A6"/>
    <w:rsid w:val="00AA6946"/>
    <w:rsid w:val="00AA79C0"/>
    <w:rsid w:val="00AB0D7B"/>
    <w:rsid w:val="00AC0EBA"/>
    <w:rsid w:val="00AC3614"/>
    <w:rsid w:val="00AC6C55"/>
    <w:rsid w:val="00AC70D9"/>
    <w:rsid w:val="00AD30C9"/>
    <w:rsid w:val="00AD5AB8"/>
    <w:rsid w:val="00AE141A"/>
    <w:rsid w:val="00AE166A"/>
    <w:rsid w:val="00AE5E99"/>
    <w:rsid w:val="00B01405"/>
    <w:rsid w:val="00B03027"/>
    <w:rsid w:val="00B066CD"/>
    <w:rsid w:val="00B07089"/>
    <w:rsid w:val="00B114F9"/>
    <w:rsid w:val="00B14E5B"/>
    <w:rsid w:val="00B1678E"/>
    <w:rsid w:val="00B20873"/>
    <w:rsid w:val="00B22B95"/>
    <w:rsid w:val="00B452CB"/>
    <w:rsid w:val="00B47EF8"/>
    <w:rsid w:val="00B50AF5"/>
    <w:rsid w:val="00B56D0D"/>
    <w:rsid w:val="00B64094"/>
    <w:rsid w:val="00B64531"/>
    <w:rsid w:val="00B71BB2"/>
    <w:rsid w:val="00B7377F"/>
    <w:rsid w:val="00B74DDF"/>
    <w:rsid w:val="00B75AAA"/>
    <w:rsid w:val="00B811D4"/>
    <w:rsid w:val="00B827FB"/>
    <w:rsid w:val="00B85099"/>
    <w:rsid w:val="00B85C6D"/>
    <w:rsid w:val="00B97C3E"/>
    <w:rsid w:val="00BA005A"/>
    <w:rsid w:val="00BA1700"/>
    <w:rsid w:val="00BA3BA9"/>
    <w:rsid w:val="00BB4256"/>
    <w:rsid w:val="00BB7F62"/>
    <w:rsid w:val="00BD1B17"/>
    <w:rsid w:val="00BD767F"/>
    <w:rsid w:val="00BE03BF"/>
    <w:rsid w:val="00BE1278"/>
    <w:rsid w:val="00BF338E"/>
    <w:rsid w:val="00C029ED"/>
    <w:rsid w:val="00C10F47"/>
    <w:rsid w:val="00C12CD3"/>
    <w:rsid w:val="00C15839"/>
    <w:rsid w:val="00C1721D"/>
    <w:rsid w:val="00C221DD"/>
    <w:rsid w:val="00C30C2B"/>
    <w:rsid w:val="00C31427"/>
    <w:rsid w:val="00C315EA"/>
    <w:rsid w:val="00C3285E"/>
    <w:rsid w:val="00C365F2"/>
    <w:rsid w:val="00C408C3"/>
    <w:rsid w:val="00C41D56"/>
    <w:rsid w:val="00C44CD3"/>
    <w:rsid w:val="00C52189"/>
    <w:rsid w:val="00C56B33"/>
    <w:rsid w:val="00C65BCB"/>
    <w:rsid w:val="00C7177B"/>
    <w:rsid w:val="00C91801"/>
    <w:rsid w:val="00C9551B"/>
    <w:rsid w:val="00C95F75"/>
    <w:rsid w:val="00CA6C23"/>
    <w:rsid w:val="00CA6DFF"/>
    <w:rsid w:val="00CB2241"/>
    <w:rsid w:val="00CC30C5"/>
    <w:rsid w:val="00CC4F4C"/>
    <w:rsid w:val="00CC6B29"/>
    <w:rsid w:val="00CC74E6"/>
    <w:rsid w:val="00CE0EC9"/>
    <w:rsid w:val="00CE67DD"/>
    <w:rsid w:val="00CE7919"/>
    <w:rsid w:val="00CE7CF2"/>
    <w:rsid w:val="00CF539D"/>
    <w:rsid w:val="00D042D3"/>
    <w:rsid w:val="00D11B22"/>
    <w:rsid w:val="00D12A5D"/>
    <w:rsid w:val="00D16CAC"/>
    <w:rsid w:val="00D16E26"/>
    <w:rsid w:val="00D22D0C"/>
    <w:rsid w:val="00D23BC5"/>
    <w:rsid w:val="00D31439"/>
    <w:rsid w:val="00D32490"/>
    <w:rsid w:val="00D37CBE"/>
    <w:rsid w:val="00D43BC2"/>
    <w:rsid w:val="00D44AB1"/>
    <w:rsid w:val="00D502E8"/>
    <w:rsid w:val="00D515EF"/>
    <w:rsid w:val="00D51D49"/>
    <w:rsid w:val="00D539F9"/>
    <w:rsid w:val="00D551B4"/>
    <w:rsid w:val="00D564C9"/>
    <w:rsid w:val="00D6302B"/>
    <w:rsid w:val="00D641E5"/>
    <w:rsid w:val="00D71663"/>
    <w:rsid w:val="00D7689E"/>
    <w:rsid w:val="00D81781"/>
    <w:rsid w:val="00D83F66"/>
    <w:rsid w:val="00D84DB8"/>
    <w:rsid w:val="00D851E0"/>
    <w:rsid w:val="00D867EE"/>
    <w:rsid w:val="00D87EA4"/>
    <w:rsid w:val="00D91D61"/>
    <w:rsid w:val="00D945F6"/>
    <w:rsid w:val="00DA135A"/>
    <w:rsid w:val="00DA59E9"/>
    <w:rsid w:val="00DA60F7"/>
    <w:rsid w:val="00DB2803"/>
    <w:rsid w:val="00DB28A8"/>
    <w:rsid w:val="00DB7E4B"/>
    <w:rsid w:val="00DC2233"/>
    <w:rsid w:val="00DC552D"/>
    <w:rsid w:val="00DD32FF"/>
    <w:rsid w:val="00DE42C9"/>
    <w:rsid w:val="00DE6621"/>
    <w:rsid w:val="00DE7282"/>
    <w:rsid w:val="00DE73E6"/>
    <w:rsid w:val="00DF5341"/>
    <w:rsid w:val="00E013D0"/>
    <w:rsid w:val="00E04EB8"/>
    <w:rsid w:val="00E060B8"/>
    <w:rsid w:val="00E069E4"/>
    <w:rsid w:val="00E14B08"/>
    <w:rsid w:val="00E206E9"/>
    <w:rsid w:val="00E31D40"/>
    <w:rsid w:val="00E501A1"/>
    <w:rsid w:val="00E559AD"/>
    <w:rsid w:val="00E5640C"/>
    <w:rsid w:val="00E64FBB"/>
    <w:rsid w:val="00E663AB"/>
    <w:rsid w:val="00E66666"/>
    <w:rsid w:val="00E67034"/>
    <w:rsid w:val="00E71277"/>
    <w:rsid w:val="00E74631"/>
    <w:rsid w:val="00E7503F"/>
    <w:rsid w:val="00E81D37"/>
    <w:rsid w:val="00E82E29"/>
    <w:rsid w:val="00E8466E"/>
    <w:rsid w:val="00E86906"/>
    <w:rsid w:val="00EA26E8"/>
    <w:rsid w:val="00EA3075"/>
    <w:rsid w:val="00EA5244"/>
    <w:rsid w:val="00EB23C1"/>
    <w:rsid w:val="00EB47C1"/>
    <w:rsid w:val="00EB5C78"/>
    <w:rsid w:val="00EC6FA9"/>
    <w:rsid w:val="00ED3E52"/>
    <w:rsid w:val="00ED484D"/>
    <w:rsid w:val="00EE1409"/>
    <w:rsid w:val="00EE31DC"/>
    <w:rsid w:val="00EE6525"/>
    <w:rsid w:val="00EF41DA"/>
    <w:rsid w:val="00EF7F96"/>
    <w:rsid w:val="00F1735C"/>
    <w:rsid w:val="00F211B9"/>
    <w:rsid w:val="00F21D59"/>
    <w:rsid w:val="00F23DC5"/>
    <w:rsid w:val="00F27120"/>
    <w:rsid w:val="00F31BEA"/>
    <w:rsid w:val="00F330A8"/>
    <w:rsid w:val="00F3383D"/>
    <w:rsid w:val="00F41B7A"/>
    <w:rsid w:val="00F41FF8"/>
    <w:rsid w:val="00F468F7"/>
    <w:rsid w:val="00F52D5C"/>
    <w:rsid w:val="00F559D3"/>
    <w:rsid w:val="00F55C69"/>
    <w:rsid w:val="00F6058F"/>
    <w:rsid w:val="00F67662"/>
    <w:rsid w:val="00F7111C"/>
    <w:rsid w:val="00F71E94"/>
    <w:rsid w:val="00F814E1"/>
    <w:rsid w:val="00F828EB"/>
    <w:rsid w:val="00F84E72"/>
    <w:rsid w:val="00F917B0"/>
    <w:rsid w:val="00F91D25"/>
    <w:rsid w:val="00F93E8A"/>
    <w:rsid w:val="00F9576F"/>
    <w:rsid w:val="00FA1422"/>
    <w:rsid w:val="00FA5D9F"/>
    <w:rsid w:val="00FC081D"/>
    <w:rsid w:val="00FC23EC"/>
    <w:rsid w:val="00FC2DE7"/>
    <w:rsid w:val="00FC3054"/>
    <w:rsid w:val="00FC318E"/>
    <w:rsid w:val="00FC5AA5"/>
    <w:rsid w:val="00FC7C33"/>
    <w:rsid w:val="00FD0509"/>
    <w:rsid w:val="00FD33ED"/>
    <w:rsid w:val="00FD3A5B"/>
    <w:rsid w:val="00FD4081"/>
    <w:rsid w:val="00FE67C6"/>
    <w:rsid w:val="00FE787C"/>
    <w:rsid w:val="00FF46E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97278"/>
  <w15:chartTrackingRefBased/>
  <w15:docId w15:val="{85A84589-DD78-45ED-9004-17A004067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FBB"/>
  </w:style>
  <w:style w:type="paragraph" w:styleId="Heading1">
    <w:name w:val="heading 1"/>
    <w:basedOn w:val="Normal"/>
    <w:next w:val="Normal"/>
    <w:link w:val="Heading1Char"/>
    <w:uiPriority w:val="9"/>
    <w:qFormat/>
    <w:rsid w:val="008B574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115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2735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689E"/>
    <w:pPr>
      <w:ind w:left="720"/>
      <w:contextualSpacing/>
    </w:pPr>
  </w:style>
  <w:style w:type="paragraph" w:styleId="Header">
    <w:name w:val="header"/>
    <w:basedOn w:val="Normal"/>
    <w:link w:val="HeaderChar"/>
    <w:uiPriority w:val="99"/>
    <w:unhideWhenUsed/>
    <w:rsid w:val="00A653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537A"/>
  </w:style>
  <w:style w:type="paragraph" w:styleId="Footer">
    <w:name w:val="footer"/>
    <w:basedOn w:val="Normal"/>
    <w:link w:val="FooterChar"/>
    <w:uiPriority w:val="99"/>
    <w:unhideWhenUsed/>
    <w:rsid w:val="00A653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537A"/>
  </w:style>
  <w:style w:type="character" w:styleId="Hyperlink">
    <w:name w:val="Hyperlink"/>
    <w:basedOn w:val="DefaultParagraphFont"/>
    <w:uiPriority w:val="99"/>
    <w:unhideWhenUsed/>
    <w:rsid w:val="006D1899"/>
    <w:rPr>
      <w:color w:val="0563C1" w:themeColor="hyperlink"/>
      <w:u w:val="single"/>
    </w:rPr>
  </w:style>
  <w:style w:type="character" w:styleId="UnresolvedMention">
    <w:name w:val="Unresolved Mention"/>
    <w:basedOn w:val="DefaultParagraphFont"/>
    <w:uiPriority w:val="99"/>
    <w:semiHidden/>
    <w:unhideWhenUsed/>
    <w:rsid w:val="006D1899"/>
    <w:rPr>
      <w:color w:val="605E5C"/>
      <w:shd w:val="clear" w:color="auto" w:fill="E1DFDD"/>
    </w:rPr>
  </w:style>
  <w:style w:type="character" w:customStyle="1" w:styleId="Heading3Char">
    <w:name w:val="Heading 3 Char"/>
    <w:basedOn w:val="DefaultParagraphFont"/>
    <w:link w:val="Heading3"/>
    <w:uiPriority w:val="9"/>
    <w:semiHidden/>
    <w:rsid w:val="00927358"/>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8F7A1F"/>
    <w:rPr>
      <w:rFonts w:ascii="Times New Roman" w:hAnsi="Times New Roman" w:cs="Times New Roman"/>
      <w:sz w:val="24"/>
      <w:szCs w:val="24"/>
    </w:rPr>
  </w:style>
  <w:style w:type="character" w:customStyle="1" w:styleId="Heading2Char">
    <w:name w:val="Heading 2 Char"/>
    <w:basedOn w:val="DefaultParagraphFont"/>
    <w:link w:val="Heading2"/>
    <w:uiPriority w:val="9"/>
    <w:semiHidden/>
    <w:rsid w:val="00A1151D"/>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8B574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74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B5740"/>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C1583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15839"/>
    <w:rPr>
      <w:rFonts w:eastAsiaTheme="minorEastAsia"/>
      <w:color w:val="5A5A5A" w:themeColor="text1" w:themeTint="A5"/>
      <w:spacing w:val="15"/>
    </w:rPr>
  </w:style>
  <w:style w:type="character" w:styleId="FollowedHyperlink">
    <w:name w:val="FollowedHyperlink"/>
    <w:basedOn w:val="DefaultParagraphFont"/>
    <w:uiPriority w:val="99"/>
    <w:semiHidden/>
    <w:unhideWhenUsed/>
    <w:rsid w:val="0030500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933990">
      <w:bodyDiv w:val="1"/>
      <w:marLeft w:val="0"/>
      <w:marRight w:val="0"/>
      <w:marTop w:val="0"/>
      <w:marBottom w:val="0"/>
      <w:divBdr>
        <w:top w:val="none" w:sz="0" w:space="0" w:color="auto"/>
        <w:left w:val="none" w:sz="0" w:space="0" w:color="auto"/>
        <w:bottom w:val="none" w:sz="0" w:space="0" w:color="auto"/>
        <w:right w:val="none" w:sz="0" w:space="0" w:color="auto"/>
      </w:divBdr>
    </w:div>
    <w:div w:id="417017672">
      <w:bodyDiv w:val="1"/>
      <w:marLeft w:val="0"/>
      <w:marRight w:val="0"/>
      <w:marTop w:val="0"/>
      <w:marBottom w:val="0"/>
      <w:divBdr>
        <w:top w:val="none" w:sz="0" w:space="0" w:color="auto"/>
        <w:left w:val="none" w:sz="0" w:space="0" w:color="auto"/>
        <w:bottom w:val="none" w:sz="0" w:space="0" w:color="auto"/>
        <w:right w:val="none" w:sz="0" w:space="0" w:color="auto"/>
      </w:divBdr>
    </w:div>
    <w:div w:id="535120077">
      <w:bodyDiv w:val="1"/>
      <w:marLeft w:val="0"/>
      <w:marRight w:val="0"/>
      <w:marTop w:val="0"/>
      <w:marBottom w:val="0"/>
      <w:divBdr>
        <w:top w:val="none" w:sz="0" w:space="0" w:color="auto"/>
        <w:left w:val="none" w:sz="0" w:space="0" w:color="auto"/>
        <w:bottom w:val="none" w:sz="0" w:space="0" w:color="auto"/>
        <w:right w:val="none" w:sz="0" w:space="0" w:color="auto"/>
      </w:divBdr>
    </w:div>
    <w:div w:id="837114777">
      <w:bodyDiv w:val="1"/>
      <w:marLeft w:val="0"/>
      <w:marRight w:val="0"/>
      <w:marTop w:val="0"/>
      <w:marBottom w:val="0"/>
      <w:divBdr>
        <w:top w:val="none" w:sz="0" w:space="0" w:color="auto"/>
        <w:left w:val="none" w:sz="0" w:space="0" w:color="auto"/>
        <w:bottom w:val="none" w:sz="0" w:space="0" w:color="auto"/>
        <w:right w:val="none" w:sz="0" w:space="0" w:color="auto"/>
      </w:divBdr>
    </w:div>
    <w:div w:id="854878834">
      <w:bodyDiv w:val="1"/>
      <w:marLeft w:val="0"/>
      <w:marRight w:val="0"/>
      <w:marTop w:val="0"/>
      <w:marBottom w:val="0"/>
      <w:divBdr>
        <w:top w:val="none" w:sz="0" w:space="0" w:color="auto"/>
        <w:left w:val="none" w:sz="0" w:space="0" w:color="auto"/>
        <w:bottom w:val="none" w:sz="0" w:space="0" w:color="auto"/>
        <w:right w:val="none" w:sz="0" w:space="0" w:color="auto"/>
      </w:divBdr>
    </w:div>
    <w:div w:id="962005148">
      <w:bodyDiv w:val="1"/>
      <w:marLeft w:val="0"/>
      <w:marRight w:val="0"/>
      <w:marTop w:val="0"/>
      <w:marBottom w:val="0"/>
      <w:divBdr>
        <w:top w:val="none" w:sz="0" w:space="0" w:color="auto"/>
        <w:left w:val="none" w:sz="0" w:space="0" w:color="auto"/>
        <w:bottom w:val="none" w:sz="0" w:space="0" w:color="auto"/>
        <w:right w:val="none" w:sz="0" w:space="0" w:color="auto"/>
      </w:divBdr>
    </w:div>
    <w:div w:id="997926617">
      <w:bodyDiv w:val="1"/>
      <w:marLeft w:val="0"/>
      <w:marRight w:val="0"/>
      <w:marTop w:val="0"/>
      <w:marBottom w:val="0"/>
      <w:divBdr>
        <w:top w:val="none" w:sz="0" w:space="0" w:color="auto"/>
        <w:left w:val="none" w:sz="0" w:space="0" w:color="auto"/>
        <w:bottom w:val="none" w:sz="0" w:space="0" w:color="auto"/>
        <w:right w:val="none" w:sz="0" w:space="0" w:color="auto"/>
      </w:divBdr>
    </w:div>
    <w:div w:id="1256205791">
      <w:bodyDiv w:val="1"/>
      <w:marLeft w:val="0"/>
      <w:marRight w:val="0"/>
      <w:marTop w:val="0"/>
      <w:marBottom w:val="0"/>
      <w:divBdr>
        <w:top w:val="none" w:sz="0" w:space="0" w:color="auto"/>
        <w:left w:val="none" w:sz="0" w:space="0" w:color="auto"/>
        <w:bottom w:val="none" w:sz="0" w:space="0" w:color="auto"/>
        <w:right w:val="none" w:sz="0" w:space="0" w:color="auto"/>
      </w:divBdr>
    </w:div>
    <w:div w:id="1307661865">
      <w:bodyDiv w:val="1"/>
      <w:marLeft w:val="0"/>
      <w:marRight w:val="0"/>
      <w:marTop w:val="0"/>
      <w:marBottom w:val="0"/>
      <w:divBdr>
        <w:top w:val="none" w:sz="0" w:space="0" w:color="auto"/>
        <w:left w:val="none" w:sz="0" w:space="0" w:color="auto"/>
        <w:bottom w:val="none" w:sz="0" w:space="0" w:color="auto"/>
        <w:right w:val="none" w:sz="0" w:space="0" w:color="auto"/>
      </w:divBdr>
    </w:div>
    <w:div w:id="1474180950">
      <w:bodyDiv w:val="1"/>
      <w:marLeft w:val="0"/>
      <w:marRight w:val="0"/>
      <w:marTop w:val="0"/>
      <w:marBottom w:val="0"/>
      <w:divBdr>
        <w:top w:val="none" w:sz="0" w:space="0" w:color="auto"/>
        <w:left w:val="none" w:sz="0" w:space="0" w:color="auto"/>
        <w:bottom w:val="none" w:sz="0" w:space="0" w:color="auto"/>
        <w:right w:val="none" w:sz="0" w:space="0" w:color="auto"/>
      </w:divBdr>
    </w:div>
    <w:div w:id="1790972664">
      <w:bodyDiv w:val="1"/>
      <w:marLeft w:val="0"/>
      <w:marRight w:val="0"/>
      <w:marTop w:val="0"/>
      <w:marBottom w:val="0"/>
      <w:divBdr>
        <w:top w:val="none" w:sz="0" w:space="0" w:color="auto"/>
        <w:left w:val="none" w:sz="0" w:space="0" w:color="auto"/>
        <w:bottom w:val="none" w:sz="0" w:space="0" w:color="auto"/>
        <w:right w:val="none" w:sz="0" w:space="0" w:color="auto"/>
      </w:divBdr>
    </w:div>
    <w:div w:id="1826166765">
      <w:bodyDiv w:val="1"/>
      <w:marLeft w:val="0"/>
      <w:marRight w:val="0"/>
      <w:marTop w:val="0"/>
      <w:marBottom w:val="0"/>
      <w:divBdr>
        <w:top w:val="none" w:sz="0" w:space="0" w:color="auto"/>
        <w:left w:val="none" w:sz="0" w:space="0" w:color="auto"/>
        <w:bottom w:val="none" w:sz="0" w:space="0" w:color="auto"/>
        <w:right w:val="none" w:sz="0" w:space="0" w:color="auto"/>
      </w:divBdr>
    </w:div>
    <w:div w:id="2125539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3361</TotalTime>
  <Pages>15</Pages>
  <Words>1451</Words>
  <Characters>8271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Rianna Sundlie</dc:creator>
  <cp:keywords/>
  <dc:description/>
  <cp:lastModifiedBy>Rianna Sundlie</cp:lastModifiedBy>
  <cp:revision>467</cp:revision>
  <dcterms:created xsi:type="dcterms:W3CDTF">2023-12-07T04:08:00Z</dcterms:created>
  <dcterms:modified xsi:type="dcterms:W3CDTF">2026-06-22T14:26:00Z</dcterms:modified>
</cp:coreProperties>
</file>