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7CE32" w14:textId="523705EA" w:rsidR="006B4C4C" w:rsidRPr="00B4655B" w:rsidRDefault="00281F24" w:rsidP="00FA25C2">
      <w:pPr>
        <w:pStyle w:val="Title"/>
        <w:spacing w:after="240"/>
        <w:rPr>
          <w:rFonts w:ascii="Calibri" w:hAnsi="Calibri" w:cs="Calibri"/>
          <w:lang w:val="en-US"/>
        </w:rPr>
        <w:sectPr w:rsidR="006B4C4C" w:rsidRPr="00B4655B" w:rsidSect="006B4C4C">
          <w:headerReference w:type="default" r:id="rId8"/>
          <w:pgSz w:w="12240" w:h="15840"/>
          <w:pgMar w:top="1440" w:right="1440" w:bottom="1440" w:left="1440" w:header="708" w:footer="708" w:gutter="0"/>
          <w:cols w:space="708"/>
          <w:docGrid w:linePitch="360"/>
        </w:sectPr>
      </w:pPr>
      <w:r w:rsidRPr="00B4655B">
        <w:rPr>
          <w:rFonts w:ascii="Calibri" w:hAnsi="Calibri" w:cs="Calibri"/>
          <w:lang w:val="en-US"/>
        </w:rPr>
        <w:t>Compa</w:t>
      </w:r>
      <w:r w:rsidR="00DE178A" w:rsidRPr="00B4655B">
        <w:rPr>
          <w:rFonts w:ascii="Calibri" w:hAnsi="Calibri" w:cs="Calibri"/>
          <w:lang w:val="en-US"/>
        </w:rPr>
        <w:t xml:space="preserve">ring the </w:t>
      </w:r>
      <w:r w:rsidR="007F4C9A" w:rsidRPr="00B4655B">
        <w:rPr>
          <w:rFonts w:ascii="Calibri" w:hAnsi="Calibri" w:cs="Calibri"/>
          <w:lang w:val="en-US"/>
        </w:rPr>
        <w:t xml:space="preserve">Generation of Renewable and Nonrenewable Energy </w:t>
      </w:r>
      <w:r w:rsidR="00DE178A" w:rsidRPr="00B4655B">
        <w:rPr>
          <w:rFonts w:ascii="Calibri" w:hAnsi="Calibri" w:cs="Calibri"/>
          <w:lang w:val="en-US"/>
        </w:rPr>
        <w:t>Overtime</w:t>
      </w:r>
    </w:p>
    <w:p w14:paraId="7E4DB807" w14:textId="64288963" w:rsidR="00045B9B" w:rsidRPr="00B4655B" w:rsidRDefault="004A4FAC" w:rsidP="00603111">
      <w:pPr>
        <w:pStyle w:val="Heading1"/>
        <w:spacing w:before="0"/>
        <w:rPr>
          <w:rFonts w:ascii="Calibri" w:hAnsi="Calibri" w:cs="Calibri"/>
          <w:lang w:val="en-US"/>
        </w:rPr>
      </w:pPr>
      <w:r w:rsidRPr="00B4655B">
        <w:rPr>
          <w:rFonts w:ascii="Calibri" w:hAnsi="Calibri" w:cs="Calibri"/>
          <w:lang w:val="en-US"/>
        </w:rPr>
        <w:t>Introductio</w:t>
      </w:r>
      <w:r w:rsidR="00045B9B" w:rsidRPr="00B4655B">
        <w:rPr>
          <w:rFonts w:ascii="Calibri" w:hAnsi="Calibri" w:cs="Calibri"/>
          <w:lang w:val="en-US"/>
        </w:rPr>
        <w:t>n</w:t>
      </w:r>
    </w:p>
    <w:p w14:paraId="3E943B8B" w14:textId="6EBDB80D" w:rsidR="00F83418" w:rsidRPr="00B4655B" w:rsidRDefault="00744C60" w:rsidP="00224068">
      <w:pPr>
        <w:spacing w:line="360" w:lineRule="auto"/>
        <w:rPr>
          <w:rFonts w:ascii="Calibri" w:hAnsi="Calibri" w:cs="Calibri"/>
          <w:sz w:val="24"/>
          <w:szCs w:val="24"/>
          <w:lang w:val="en-US"/>
        </w:rPr>
      </w:pPr>
      <w:r w:rsidRPr="00744C60">
        <w:rPr>
          <w:rFonts w:ascii="Calibri" w:hAnsi="Calibri" w:cs="Calibri"/>
          <w:sz w:val="24"/>
          <w:szCs w:val="24"/>
        </w:rPr>
        <w:t>This report examines long</w:t>
      </w:r>
      <w:r w:rsidRPr="00744C60">
        <w:rPr>
          <w:rFonts w:ascii="Cambria Math" w:hAnsi="Cambria Math" w:cs="Cambria Math"/>
          <w:sz w:val="24"/>
          <w:szCs w:val="24"/>
        </w:rPr>
        <w:t>‑</w:t>
      </w:r>
      <w:r w:rsidRPr="00744C60">
        <w:rPr>
          <w:rFonts w:ascii="Calibri" w:hAnsi="Calibri" w:cs="Calibri"/>
          <w:sz w:val="24"/>
          <w:szCs w:val="24"/>
        </w:rPr>
        <w:t>term trends in Canadian electricity generation from 2005 to 2016, comparing renewable and non</w:t>
      </w:r>
      <w:r w:rsidRPr="00744C60">
        <w:rPr>
          <w:rFonts w:ascii="Cambria Math" w:hAnsi="Cambria Math" w:cs="Cambria Math"/>
          <w:sz w:val="24"/>
          <w:szCs w:val="24"/>
        </w:rPr>
        <w:t>‑</w:t>
      </w:r>
      <w:r w:rsidRPr="00744C60">
        <w:rPr>
          <w:rFonts w:ascii="Calibri" w:hAnsi="Calibri" w:cs="Calibri"/>
          <w:sz w:val="24"/>
          <w:szCs w:val="24"/>
        </w:rPr>
        <w:t>renewable energy sources. The goal of the analysis is to quantify how production levels have changed over time, evaluate differences in variability between the two categories, and determine whether meaningful shifts occurred across two distinct periods: 2005–2010 and 2011–2016. As stated in the original document, the study “provides a comprehensive view of how Canada’s energy landscape evolved during a decade marked by technological growth and increasing emphasis on sustainability” . Using statistical modeling, hypothesis testing, and visualization, the analysis highlights how Canada’s energy mix has shifted toward cleaner sources</w:t>
      </w:r>
      <w:r w:rsidR="00612C82" w:rsidRPr="00B4655B">
        <w:rPr>
          <w:rFonts w:ascii="Calibri" w:hAnsi="Calibri" w:cs="Calibri"/>
          <w:sz w:val="24"/>
          <w:szCs w:val="24"/>
          <w:lang w:val="en-US"/>
        </w:rPr>
        <w:t>.</w:t>
      </w:r>
    </w:p>
    <w:p w14:paraId="07B827FB" w14:textId="56221D05" w:rsidR="008C0D14" w:rsidRPr="00B4655B" w:rsidRDefault="000353D6" w:rsidP="00224068">
      <w:pPr>
        <w:pStyle w:val="Heading1"/>
        <w:spacing w:before="0" w:line="360" w:lineRule="auto"/>
        <w:rPr>
          <w:rFonts w:ascii="Calibri" w:hAnsi="Calibri" w:cs="Calibri"/>
          <w:lang w:val="en-US"/>
        </w:rPr>
      </w:pPr>
      <w:r>
        <w:rPr>
          <w:rFonts w:ascii="Calibri" w:hAnsi="Calibri" w:cs="Calibri"/>
          <w:lang w:val="en-US"/>
        </w:rPr>
        <w:t>Data Description &amp; Preparation</w:t>
      </w:r>
    </w:p>
    <w:p w14:paraId="56D6FBA0" w14:textId="77777777" w:rsidR="00407B15" w:rsidRDefault="00407B15" w:rsidP="00224068">
      <w:pPr>
        <w:spacing w:line="360" w:lineRule="auto"/>
        <w:rPr>
          <w:rFonts w:ascii="Calibri" w:hAnsi="Calibri" w:cs="Calibri"/>
          <w:sz w:val="24"/>
          <w:szCs w:val="24"/>
        </w:rPr>
      </w:pPr>
      <w:r w:rsidRPr="00407B15">
        <w:rPr>
          <w:rFonts w:ascii="Calibri" w:hAnsi="Calibri" w:cs="Calibri"/>
          <w:sz w:val="24"/>
          <w:szCs w:val="24"/>
        </w:rPr>
        <w:t>The dataset used in this analysis was obtained from the Government of Canada Open Data Portal and contains annual electricity generation values measured in gigawatt</w:t>
      </w:r>
      <w:r w:rsidRPr="00407B15">
        <w:rPr>
          <w:rFonts w:ascii="Calibri" w:hAnsi="Calibri" w:cs="Calibri"/>
          <w:sz w:val="24"/>
          <w:szCs w:val="24"/>
        </w:rPr>
        <w:noBreakHyphen/>
        <w:t>hours (GWh). Each record includes the energy source, region, and year. Only national</w:t>
      </w:r>
      <w:r w:rsidRPr="00407B15">
        <w:rPr>
          <w:rFonts w:ascii="Calibri" w:hAnsi="Calibri" w:cs="Calibri"/>
          <w:sz w:val="24"/>
          <w:szCs w:val="24"/>
        </w:rPr>
        <w:noBreakHyphen/>
        <w:t>level data for Canada were included in this study.</w:t>
      </w:r>
    </w:p>
    <w:p w14:paraId="39D9DBC2" w14:textId="19B1D8CD" w:rsidR="00A6657D" w:rsidRPr="00B4655B" w:rsidRDefault="00491965" w:rsidP="00224068">
      <w:pPr>
        <w:spacing w:line="360" w:lineRule="auto"/>
        <w:rPr>
          <w:rFonts w:ascii="Calibri" w:hAnsi="Calibri" w:cs="Calibri"/>
          <w:sz w:val="24"/>
          <w:szCs w:val="24"/>
          <w:lang w:val="en-US"/>
        </w:rPr>
      </w:pPr>
      <w:r w:rsidRPr="00491965">
        <w:rPr>
          <w:rFonts w:ascii="Calibri" w:hAnsi="Calibri" w:cs="Calibri"/>
          <w:sz w:val="24"/>
          <w:szCs w:val="24"/>
          <w:lang w:val="en-US"/>
        </w:rPr>
        <w:t>To focus on national trends, the dataset was filtered to include only the Canada region.</w:t>
      </w:r>
      <w:r>
        <w:rPr>
          <w:rFonts w:ascii="Calibri" w:hAnsi="Calibri" w:cs="Calibri"/>
          <w:sz w:val="24"/>
          <w:szCs w:val="24"/>
          <w:lang w:val="en-US"/>
        </w:rPr>
        <w:t xml:space="preserve"> </w:t>
      </w:r>
      <w:r w:rsidRPr="00491965">
        <w:rPr>
          <w:rFonts w:ascii="Calibri" w:hAnsi="Calibri" w:cs="Calibri"/>
          <w:sz w:val="24"/>
          <w:szCs w:val="24"/>
          <w:lang w:val="en-US"/>
        </w:rPr>
        <w:t>Energy sources were grouped into two categories</w:t>
      </w:r>
      <w:r w:rsidR="00A6657D" w:rsidRPr="00B4655B">
        <w:rPr>
          <w:rFonts w:ascii="Calibri" w:hAnsi="Calibri" w:cs="Calibri"/>
          <w:sz w:val="24"/>
          <w:szCs w:val="24"/>
          <w:lang w:val="en-US"/>
        </w:rPr>
        <w:t>:</w:t>
      </w:r>
    </w:p>
    <w:p w14:paraId="69C5E334" w14:textId="77777777" w:rsidR="00A6657D" w:rsidRPr="00B4655B" w:rsidRDefault="00A6657D">
      <w:pPr>
        <w:pStyle w:val="ListParagraph"/>
        <w:numPr>
          <w:ilvl w:val="0"/>
          <w:numId w:val="2"/>
        </w:numPr>
        <w:spacing w:line="360" w:lineRule="auto"/>
        <w:rPr>
          <w:rFonts w:ascii="Calibri" w:hAnsi="Calibri" w:cs="Calibri"/>
          <w:sz w:val="24"/>
          <w:szCs w:val="24"/>
          <w:lang w:val="en-US"/>
        </w:rPr>
      </w:pPr>
      <w:r w:rsidRPr="00D0624A">
        <w:rPr>
          <w:rFonts w:ascii="Calibri" w:hAnsi="Calibri" w:cs="Calibri"/>
          <w:b/>
          <w:bCs/>
          <w:sz w:val="24"/>
          <w:szCs w:val="24"/>
          <w:lang w:val="en-US"/>
        </w:rPr>
        <w:t>Renewable:</w:t>
      </w:r>
      <w:r w:rsidRPr="00B4655B">
        <w:rPr>
          <w:rFonts w:ascii="Calibri" w:hAnsi="Calibri" w:cs="Calibri"/>
          <w:sz w:val="24"/>
          <w:szCs w:val="24"/>
          <w:lang w:val="en-US"/>
        </w:rPr>
        <w:t xml:space="preserve"> Hydro, Wind, Biomass, Solar</w:t>
      </w:r>
    </w:p>
    <w:p w14:paraId="2B253F95" w14:textId="77777777" w:rsidR="00437D37" w:rsidRDefault="00A6657D">
      <w:pPr>
        <w:pStyle w:val="ListParagraph"/>
        <w:numPr>
          <w:ilvl w:val="0"/>
          <w:numId w:val="2"/>
        </w:numPr>
        <w:spacing w:line="360" w:lineRule="auto"/>
        <w:rPr>
          <w:rFonts w:ascii="Calibri" w:hAnsi="Calibri" w:cs="Calibri"/>
          <w:sz w:val="24"/>
          <w:szCs w:val="24"/>
          <w:lang w:val="en-US"/>
        </w:rPr>
      </w:pPr>
      <w:r w:rsidRPr="00D0624A">
        <w:rPr>
          <w:rFonts w:ascii="Calibri" w:hAnsi="Calibri" w:cs="Calibri"/>
          <w:b/>
          <w:bCs/>
          <w:sz w:val="24"/>
          <w:szCs w:val="24"/>
          <w:lang w:val="en-US"/>
        </w:rPr>
        <w:t>Non</w:t>
      </w:r>
      <w:r w:rsidRPr="00D0624A">
        <w:rPr>
          <w:rFonts w:ascii="Cambria Math" w:hAnsi="Cambria Math" w:cs="Cambria Math"/>
          <w:b/>
          <w:bCs/>
          <w:sz w:val="24"/>
          <w:szCs w:val="24"/>
          <w:lang w:val="en-US"/>
        </w:rPr>
        <w:t>‑</w:t>
      </w:r>
      <w:r w:rsidRPr="00D0624A">
        <w:rPr>
          <w:rFonts w:ascii="Calibri" w:hAnsi="Calibri" w:cs="Calibri"/>
          <w:b/>
          <w:bCs/>
          <w:sz w:val="24"/>
          <w:szCs w:val="24"/>
          <w:lang w:val="en-US"/>
        </w:rPr>
        <w:t>renewable:</w:t>
      </w:r>
      <w:r w:rsidRPr="00B4655B">
        <w:rPr>
          <w:rFonts w:ascii="Calibri" w:hAnsi="Calibri" w:cs="Calibri"/>
          <w:sz w:val="24"/>
          <w:szCs w:val="24"/>
          <w:lang w:val="en-US"/>
        </w:rPr>
        <w:t xml:space="preserve"> Nuclear, Coal, Natural Gas, Oil and Diesel</w:t>
      </w:r>
    </w:p>
    <w:p w14:paraId="1B9F6838" w14:textId="3E83E582" w:rsidR="00AE6E2A" w:rsidRDefault="00FF6BCB" w:rsidP="00224068">
      <w:pPr>
        <w:spacing w:line="360" w:lineRule="auto"/>
        <w:rPr>
          <w:rFonts w:ascii="Calibri" w:hAnsi="Calibri" w:cs="Calibri"/>
          <w:sz w:val="24"/>
          <w:szCs w:val="24"/>
          <w:lang w:val="en-US"/>
        </w:rPr>
      </w:pPr>
      <w:r w:rsidRPr="00FF6BCB">
        <w:rPr>
          <w:rFonts w:ascii="Calibri" w:hAnsi="Calibri" w:cs="Calibri"/>
          <w:sz w:val="24"/>
          <w:szCs w:val="24"/>
        </w:rPr>
        <w:t xml:space="preserve">After filtering the dataset to include only Canadian totals, the energy source variable was converted to a factor to support grouping operations. Annual totals were then aggregated for each category, resulting in two summary datasets: one containing yearly renewable generation </w:t>
      </w:r>
      <w:r w:rsidRPr="00FF6BCB">
        <w:rPr>
          <w:rFonts w:ascii="Calibri" w:hAnsi="Calibri" w:cs="Calibri"/>
          <w:sz w:val="24"/>
          <w:szCs w:val="24"/>
        </w:rPr>
        <w:lastRenderedPageBreak/>
        <w:t>and another containing yearly non</w:t>
      </w:r>
      <w:r w:rsidRPr="00FF6BCB">
        <w:rPr>
          <w:rFonts w:ascii="Calibri" w:hAnsi="Calibri" w:cs="Calibri"/>
          <w:sz w:val="24"/>
          <w:szCs w:val="24"/>
        </w:rPr>
        <w:noBreakHyphen/>
        <w:t>renewable generation. These aggregated datasets formed the basis for all statistical modeling and visualization.</w:t>
      </w:r>
    </w:p>
    <w:p w14:paraId="38A5F1DD" w14:textId="77777777" w:rsidR="00D529DB" w:rsidRDefault="00AE6E2A" w:rsidP="00D529DB">
      <w:pPr>
        <w:keepNext/>
        <w:spacing w:line="360" w:lineRule="auto"/>
        <w:jc w:val="center"/>
      </w:pPr>
      <w:r>
        <w:rPr>
          <w:rFonts w:ascii="Calibri" w:hAnsi="Calibri" w:cs="Calibri"/>
          <w:noProof/>
          <w:sz w:val="24"/>
          <w:szCs w:val="24"/>
          <w:lang w:val="en-US"/>
        </w:rPr>
        <w:drawing>
          <wp:inline distT="0" distB="0" distL="0" distR="0" wp14:anchorId="3E714841" wp14:editId="004C2DB4">
            <wp:extent cx="5015893" cy="3532909"/>
            <wp:effectExtent l="0" t="0" r="0" b="0"/>
            <wp:docPr id="41019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8562" cy="3598179"/>
                    </a:xfrm>
                    <a:prstGeom prst="rect">
                      <a:avLst/>
                    </a:prstGeom>
                    <a:noFill/>
                  </pic:spPr>
                </pic:pic>
              </a:graphicData>
            </a:graphic>
          </wp:inline>
        </w:drawing>
      </w:r>
    </w:p>
    <w:p w14:paraId="09A6052D" w14:textId="764346B1" w:rsidR="00491965" w:rsidRPr="00D529DB" w:rsidRDefault="00D529DB" w:rsidP="00D529DB">
      <w:pPr>
        <w:pStyle w:val="Caption"/>
        <w:jc w:val="center"/>
        <w:rPr>
          <w:rFonts w:ascii="Calibri" w:hAnsi="Calibri" w:cs="Calibri"/>
          <w:sz w:val="20"/>
          <w:szCs w:val="20"/>
          <w:lang w:val="en-US"/>
        </w:rPr>
      </w:pPr>
      <w:r w:rsidRPr="00D529DB">
        <w:rPr>
          <w:rFonts w:ascii="Calibri" w:hAnsi="Calibri" w:cs="Calibri"/>
          <w:sz w:val="20"/>
          <w:szCs w:val="20"/>
        </w:rPr>
        <w:t xml:space="preserve">Figure </w:t>
      </w:r>
      <w:r w:rsidRPr="00D529DB">
        <w:rPr>
          <w:rFonts w:ascii="Calibri" w:hAnsi="Calibri" w:cs="Calibri"/>
          <w:sz w:val="20"/>
          <w:szCs w:val="20"/>
        </w:rPr>
        <w:fldChar w:fldCharType="begin"/>
      </w:r>
      <w:r w:rsidRPr="00D529DB">
        <w:rPr>
          <w:rFonts w:ascii="Calibri" w:hAnsi="Calibri" w:cs="Calibri"/>
          <w:sz w:val="20"/>
          <w:szCs w:val="20"/>
        </w:rPr>
        <w:instrText xml:space="preserve"> SEQ Figure \* ARABIC </w:instrText>
      </w:r>
      <w:r w:rsidRPr="00D529DB">
        <w:rPr>
          <w:rFonts w:ascii="Calibri" w:hAnsi="Calibri" w:cs="Calibri"/>
          <w:sz w:val="20"/>
          <w:szCs w:val="20"/>
        </w:rPr>
        <w:fldChar w:fldCharType="separate"/>
      </w:r>
      <w:r>
        <w:rPr>
          <w:rFonts w:ascii="Calibri" w:hAnsi="Calibri" w:cs="Calibri"/>
          <w:noProof/>
          <w:sz w:val="20"/>
          <w:szCs w:val="20"/>
        </w:rPr>
        <w:t>1</w:t>
      </w:r>
      <w:r w:rsidRPr="00D529DB">
        <w:rPr>
          <w:rFonts w:ascii="Calibri" w:hAnsi="Calibri" w:cs="Calibri"/>
          <w:sz w:val="20"/>
          <w:szCs w:val="20"/>
        </w:rPr>
        <w:fldChar w:fldCharType="end"/>
      </w:r>
      <w:r w:rsidRPr="00D529DB">
        <w:rPr>
          <w:rFonts w:ascii="Calibri" w:hAnsi="Calibri" w:cs="Calibri"/>
          <w:sz w:val="20"/>
          <w:szCs w:val="20"/>
        </w:rPr>
        <w:t>. Bar plot of yearly renewable vs non-renewable generation.</w:t>
      </w:r>
    </w:p>
    <w:p w14:paraId="2175A623" w14:textId="4A422F23" w:rsidR="004A4FAC" w:rsidRPr="00544FF4" w:rsidRDefault="00AE6E2A" w:rsidP="00224068">
      <w:pPr>
        <w:pStyle w:val="Heading1"/>
        <w:spacing w:before="0" w:line="360" w:lineRule="auto"/>
        <w:rPr>
          <w:rFonts w:ascii="Calibri" w:hAnsi="Calibri" w:cs="Calibri"/>
          <w:lang w:val="en-US"/>
        </w:rPr>
      </w:pPr>
      <w:r w:rsidRPr="00544FF4">
        <w:rPr>
          <w:rFonts w:ascii="Calibri" w:hAnsi="Calibri" w:cs="Calibri"/>
          <w:lang w:val="en-US"/>
        </w:rPr>
        <w:t>Methods</w:t>
      </w:r>
    </w:p>
    <w:p w14:paraId="3CE72751" w14:textId="55E7A7A8" w:rsidR="00C93488" w:rsidRPr="00C93488" w:rsidRDefault="003F64DC" w:rsidP="00224068">
      <w:pPr>
        <w:spacing w:line="360" w:lineRule="auto"/>
        <w:rPr>
          <w:rFonts w:ascii="Calibri" w:hAnsi="Calibri" w:cs="Calibri"/>
          <w:sz w:val="24"/>
          <w:szCs w:val="24"/>
        </w:rPr>
      </w:pPr>
      <w:bookmarkStart w:id="0" w:name="data-preparation"/>
      <w:r w:rsidRPr="003F64DC">
        <w:rPr>
          <w:rFonts w:ascii="Calibri" w:hAnsi="Calibri" w:cs="Calibri"/>
          <w:sz w:val="24"/>
          <w:szCs w:val="24"/>
        </w:rPr>
        <w:t>A combination of statistical techniques and visualizations was used to analyze differences between renewable and non</w:t>
      </w:r>
      <w:r w:rsidRPr="003F64DC">
        <w:rPr>
          <w:rFonts w:ascii="Calibri" w:hAnsi="Calibri" w:cs="Calibri"/>
          <w:sz w:val="24"/>
          <w:szCs w:val="24"/>
        </w:rPr>
        <w:noBreakHyphen/>
        <w:t>renewable electricity generation.</w:t>
      </w:r>
    </w:p>
    <w:p w14:paraId="3BA9BA52" w14:textId="72EE595D" w:rsidR="00381CFA" w:rsidRDefault="00AE6E2A" w:rsidP="00224068">
      <w:pPr>
        <w:pStyle w:val="Heading2"/>
        <w:spacing w:line="360" w:lineRule="auto"/>
        <w:rPr>
          <w:rFonts w:ascii="Calibri" w:hAnsi="Calibri" w:cs="Calibri"/>
        </w:rPr>
      </w:pPr>
      <w:r w:rsidRPr="00544FF4">
        <w:rPr>
          <w:rFonts w:ascii="Calibri" w:hAnsi="Calibri" w:cs="Calibri"/>
        </w:rPr>
        <w:t>Maximum Likelihood Estimation (MLE)</w:t>
      </w:r>
    </w:p>
    <w:p w14:paraId="3163E5D0" w14:textId="2D517E4C" w:rsidR="001D3DF2" w:rsidRPr="001D3DF2" w:rsidRDefault="009A09CA" w:rsidP="00224068">
      <w:pPr>
        <w:spacing w:line="360" w:lineRule="auto"/>
        <w:rPr>
          <w:rFonts w:ascii="Calibri" w:hAnsi="Calibri" w:cs="Calibri"/>
          <w:sz w:val="24"/>
          <w:szCs w:val="24"/>
        </w:rPr>
      </w:pPr>
      <w:r w:rsidRPr="009A09CA">
        <w:rPr>
          <w:rFonts w:ascii="Calibri" w:hAnsi="Calibri" w:cs="Calibri"/>
          <w:sz w:val="24"/>
          <w:szCs w:val="24"/>
        </w:rPr>
        <w:t>MLE was used to estimate the mean and standard deviation of annual renewable and non</w:t>
      </w:r>
      <w:r w:rsidRPr="009A09CA">
        <w:rPr>
          <w:rFonts w:ascii="Calibri" w:hAnsi="Calibri" w:cs="Calibri"/>
          <w:sz w:val="24"/>
          <w:szCs w:val="24"/>
        </w:rPr>
        <w:noBreakHyphen/>
        <w:t xml:space="preserve">renewable energy generation, assuming a normal distribution. </w:t>
      </w:r>
      <w:r w:rsidR="00ED3438" w:rsidRPr="00ED3438">
        <w:rPr>
          <w:rFonts w:ascii="Calibri" w:hAnsi="Calibri" w:cs="Calibri"/>
          <w:sz w:val="24"/>
          <w:szCs w:val="24"/>
        </w:rPr>
        <w:t>MLE was used because it provides reliable estimates of the mean and standard deviation with small sample sizes and allows both parameters to be estimated consistently under the assumption of normally distributed annual totals. This makes it well</w:t>
      </w:r>
      <w:r w:rsidR="00ED3438" w:rsidRPr="00ED3438">
        <w:rPr>
          <w:rFonts w:ascii="Cambria Math" w:hAnsi="Cambria Math" w:cs="Cambria Math"/>
          <w:sz w:val="24"/>
          <w:szCs w:val="24"/>
        </w:rPr>
        <w:t>‑</w:t>
      </w:r>
      <w:r w:rsidR="00ED3438" w:rsidRPr="00ED3438">
        <w:rPr>
          <w:rFonts w:ascii="Calibri" w:hAnsi="Calibri" w:cs="Calibri"/>
          <w:sz w:val="24"/>
          <w:szCs w:val="24"/>
        </w:rPr>
        <w:t>suited for yearly electricity generation data, where only twelve observations are available for each energy category.</w:t>
      </w:r>
    </w:p>
    <w:p w14:paraId="4EE291C1" w14:textId="77777777" w:rsidR="0091721C" w:rsidRDefault="00AE6E2A" w:rsidP="00224068">
      <w:pPr>
        <w:pStyle w:val="Heading2"/>
        <w:spacing w:line="360" w:lineRule="auto"/>
        <w:rPr>
          <w:rFonts w:ascii="Calibri" w:hAnsi="Calibri" w:cs="Calibri"/>
        </w:rPr>
      </w:pPr>
      <w:bookmarkStart w:id="1" w:name="point-estimation"/>
      <w:bookmarkEnd w:id="0"/>
      <w:r w:rsidRPr="00544FF4">
        <w:rPr>
          <w:rFonts w:ascii="Calibri" w:hAnsi="Calibri" w:cs="Calibri"/>
        </w:rPr>
        <w:lastRenderedPageBreak/>
        <w:t>Confidence Intervals</w:t>
      </w:r>
      <w:bookmarkStart w:id="2" w:name="maximum-likelihood-estimation"/>
    </w:p>
    <w:p w14:paraId="099CE8C6" w14:textId="260CF96B" w:rsidR="0091721C" w:rsidRPr="0091721C" w:rsidRDefault="009A09CA" w:rsidP="00224068">
      <w:pPr>
        <w:pStyle w:val="Heading2"/>
        <w:numPr>
          <w:ilvl w:val="0"/>
          <w:numId w:val="0"/>
        </w:numPr>
        <w:spacing w:before="0" w:line="360" w:lineRule="auto"/>
        <w:rPr>
          <w:rFonts w:ascii="Calibri" w:hAnsi="Calibri" w:cs="Calibri"/>
        </w:rPr>
      </w:pPr>
      <w:r w:rsidRPr="009A09CA">
        <w:rPr>
          <w:rFonts w:ascii="Calibri" w:eastAsiaTheme="minorHAnsi" w:hAnsi="Calibri" w:cs="Calibri"/>
          <w:b w:val="0"/>
          <w:bCs w:val="0"/>
          <w:smallCaps w:val="0"/>
          <w:color w:val="auto"/>
          <w:sz w:val="24"/>
          <w:szCs w:val="24"/>
        </w:rPr>
        <w:t>Using the MLE</w:t>
      </w:r>
      <w:r w:rsidRPr="009A09CA">
        <w:rPr>
          <w:rFonts w:ascii="Calibri" w:eastAsiaTheme="minorHAnsi" w:hAnsi="Calibri" w:cs="Calibri"/>
          <w:b w:val="0"/>
          <w:bCs w:val="0"/>
          <w:smallCaps w:val="0"/>
          <w:color w:val="auto"/>
          <w:sz w:val="24"/>
          <w:szCs w:val="24"/>
        </w:rPr>
        <w:noBreakHyphen/>
        <w:t>derived parameters, 95% confidence intervals were constructed for both the mean and standard deviation of each energy category. These intervals quantify uncertainty and help assess the stability of each energy source over time</w:t>
      </w:r>
      <w:r w:rsidR="0091721C" w:rsidRPr="0091721C">
        <w:rPr>
          <w:rFonts w:ascii="Calibri" w:eastAsiaTheme="minorHAnsi" w:hAnsi="Calibri" w:cs="Calibri"/>
          <w:b w:val="0"/>
          <w:bCs w:val="0"/>
          <w:smallCaps w:val="0"/>
          <w:color w:val="auto"/>
          <w:sz w:val="24"/>
          <w:szCs w:val="24"/>
          <w:lang w:val="en-US"/>
        </w:rPr>
        <w:t>.</w:t>
      </w:r>
    </w:p>
    <w:p w14:paraId="2D79B50B" w14:textId="098D37A8" w:rsidR="00381CFA" w:rsidRPr="00544FF4" w:rsidRDefault="00406DB1" w:rsidP="00224068">
      <w:pPr>
        <w:pStyle w:val="Heading2"/>
        <w:spacing w:line="360" w:lineRule="auto"/>
        <w:rPr>
          <w:rFonts w:ascii="Calibri" w:hAnsi="Calibri" w:cs="Calibri"/>
        </w:rPr>
      </w:pPr>
      <w:r w:rsidRPr="00544FF4">
        <w:rPr>
          <w:rFonts w:ascii="Calibri" w:hAnsi="Calibri" w:cs="Calibri"/>
        </w:rPr>
        <w:t>Hypothesis Testing</w:t>
      </w:r>
    </w:p>
    <w:p w14:paraId="08055B61" w14:textId="77777777" w:rsidR="00065931" w:rsidRPr="00065931" w:rsidRDefault="00065931" w:rsidP="00065931">
      <w:pPr>
        <w:pStyle w:val="FirstParagraph"/>
        <w:spacing w:before="0" w:after="0" w:line="360" w:lineRule="auto"/>
        <w:rPr>
          <w:rFonts w:ascii="Calibri" w:hAnsi="Calibri" w:cs="Calibri"/>
          <w:lang w:val="en-CA"/>
        </w:rPr>
      </w:pPr>
      <w:r w:rsidRPr="00065931">
        <w:rPr>
          <w:rFonts w:ascii="Calibri" w:hAnsi="Calibri" w:cs="Calibri"/>
          <w:lang w:val="en-CA"/>
        </w:rPr>
        <w:t>Two sample t tests were used to compare:</w:t>
      </w:r>
    </w:p>
    <w:p w14:paraId="508F498A" w14:textId="77777777" w:rsidR="00065931" w:rsidRPr="00065931" w:rsidRDefault="00065931" w:rsidP="00065931">
      <w:pPr>
        <w:pStyle w:val="FirstParagraph"/>
        <w:numPr>
          <w:ilvl w:val="0"/>
          <w:numId w:val="7"/>
        </w:numPr>
        <w:spacing w:after="0" w:line="360" w:lineRule="auto"/>
        <w:rPr>
          <w:rFonts w:ascii="Calibri" w:hAnsi="Calibri" w:cs="Calibri"/>
          <w:lang w:val="en-CA"/>
        </w:rPr>
      </w:pPr>
      <w:r w:rsidRPr="00065931">
        <w:rPr>
          <w:rFonts w:ascii="Calibri" w:hAnsi="Calibri" w:cs="Calibri"/>
          <w:lang w:val="en-CA"/>
        </w:rPr>
        <w:t>renewable vs non renewable mean generation</w:t>
      </w:r>
    </w:p>
    <w:p w14:paraId="240520E8" w14:textId="77777777" w:rsidR="00065931" w:rsidRPr="00065931" w:rsidRDefault="00065931" w:rsidP="00065931">
      <w:pPr>
        <w:pStyle w:val="FirstParagraph"/>
        <w:numPr>
          <w:ilvl w:val="0"/>
          <w:numId w:val="7"/>
        </w:numPr>
        <w:spacing w:after="0" w:line="360" w:lineRule="auto"/>
        <w:rPr>
          <w:rFonts w:ascii="Calibri" w:hAnsi="Calibri" w:cs="Calibri"/>
          <w:lang w:val="en-CA"/>
        </w:rPr>
      </w:pPr>
      <w:r w:rsidRPr="00065931">
        <w:rPr>
          <w:rFonts w:ascii="Calibri" w:hAnsi="Calibri" w:cs="Calibri"/>
          <w:lang w:val="en-CA"/>
        </w:rPr>
        <w:t>early period (2005–2010) vs late period (2011–2016)</w:t>
      </w:r>
    </w:p>
    <w:p w14:paraId="31234170" w14:textId="5D5AFED0" w:rsidR="00381CFA" w:rsidRPr="00763B49" w:rsidRDefault="00065931" w:rsidP="00065931">
      <w:pPr>
        <w:pStyle w:val="FirstParagraph"/>
        <w:spacing w:after="0" w:line="360" w:lineRule="auto"/>
        <w:rPr>
          <w:rFonts w:ascii="Calibri" w:hAnsi="Calibri" w:cs="Calibri"/>
          <w:lang w:val="en-CA"/>
        </w:rPr>
      </w:pPr>
      <w:r w:rsidRPr="00065931">
        <w:rPr>
          <w:rFonts w:ascii="Calibri" w:hAnsi="Calibri" w:cs="Calibri"/>
          <w:lang w:val="en-CA"/>
        </w:rPr>
        <w:t>These tests determine whether observed differences are statistically significant.</w:t>
      </w:r>
    </w:p>
    <w:p w14:paraId="0D0AE760" w14:textId="1776C75B" w:rsidR="00406DB1" w:rsidRDefault="002A3196" w:rsidP="00224068">
      <w:pPr>
        <w:pStyle w:val="Heading2"/>
        <w:spacing w:line="360" w:lineRule="auto"/>
        <w:rPr>
          <w:rFonts w:ascii="Calibri" w:hAnsi="Calibri" w:cs="Calibri"/>
          <w:lang w:val="en-US"/>
        </w:rPr>
      </w:pPr>
      <w:r w:rsidRPr="00544FF4">
        <w:rPr>
          <w:rFonts w:ascii="Calibri" w:hAnsi="Calibri" w:cs="Calibri"/>
          <w:lang w:val="en-US"/>
        </w:rPr>
        <w:t>Visualization</w:t>
      </w:r>
    </w:p>
    <w:bookmarkEnd w:id="1"/>
    <w:bookmarkEnd w:id="2"/>
    <w:p w14:paraId="752B42C7" w14:textId="77777777" w:rsidR="00E846A6" w:rsidRPr="00E846A6" w:rsidRDefault="00E846A6" w:rsidP="00E846A6">
      <w:pPr>
        <w:spacing w:after="0" w:line="360" w:lineRule="auto"/>
        <w:rPr>
          <w:rFonts w:ascii="Calibri" w:hAnsi="Calibri" w:cs="Calibri"/>
          <w:sz w:val="24"/>
          <w:szCs w:val="24"/>
        </w:rPr>
      </w:pPr>
      <w:r w:rsidRPr="00E846A6">
        <w:rPr>
          <w:rFonts w:ascii="Calibri" w:hAnsi="Calibri" w:cs="Calibri"/>
          <w:sz w:val="24"/>
          <w:szCs w:val="24"/>
        </w:rPr>
        <w:t>Several charts were created to support interpretation, including:</w:t>
      </w:r>
    </w:p>
    <w:p w14:paraId="17ADB9D7" w14:textId="77777777" w:rsidR="00E846A6" w:rsidRPr="00E846A6" w:rsidRDefault="00E846A6" w:rsidP="00E846A6">
      <w:pPr>
        <w:pStyle w:val="ListParagraph"/>
        <w:numPr>
          <w:ilvl w:val="0"/>
          <w:numId w:val="21"/>
        </w:numPr>
        <w:spacing w:after="0" w:line="360" w:lineRule="auto"/>
        <w:rPr>
          <w:rFonts w:ascii="Calibri" w:hAnsi="Calibri" w:cs="Calibri"/>
          <w:sz w:val="24"/>
          <w:szCs w:val="24"/>
        </w:rPr>
      </w:pPr>
      <w:r w:rsidRPr="00E846A6">
        <w:rPr>
          <w:rFonts w:ascii="Calibri" w:hAnsi="Calibri" w:cs="Calibri"/>
          <w:sz w:val="24"/>
          <w:szCs w:val="24"/>
        </w:rPr>
        <w:t>a time series scatter plot with trendlines</w:t>
      </w:r>
    </w:p>
    <w:p w14:paraId="7EBF3628" w14:textId="77777777" w:rsidR="00E846A6" w:rsidRPr="00E846A6" w:rsidRDefault="00E846A6" w:rsidP="00E846A6">
      <w:pPr>
        <w:pStyle w:val="ListParagraph"/>
        <w:numPr>
          <w:ilvl w:val="0"/>
          <w:numId w:val="21"/>
        </w:numPr>
        <w:spacing w:after="0" w:line="360" w:lineRule="auto"/>
        <w:rPr>
          <w:rFonts w:ascii="Calibri" w:hAnsi="Calibri" w:cs="Calibri"/>
          <w:sz w:val="24"/>
          <w:szCs w:val="24"/>
        </w:rPr>
      </w:pPr>
      <w:r w:rsidRPr="00E846A6">
        <w:rPr>
          <w:rFonts w:ascii="Calibri" w:hAnsi="Calibri" w:cs="Calibri"/>
          <w:sz w:val="24"/>
          <w:szCs w:val="24"/>
        </w:rPr>
        <w:t>a bar plot of yearly totals</w:t>
      </w:r>
    </w:p>
    <w:p w14:paraId="088DA08F" w14:textId="77777777" w:rsidR="00E846A6" w:rsidRPr="00E846A6" w:rsidRDefault="00E846A6" w:rsidP="00E846A6">
      <w:pPr>
        <w:pStyle w:val="ListParagraph"/>
        <w:numPr>
          <w:ilvl w:val="0"/>
          <w:numId w:val="21"/>
        </w:numPr>
        <w:spacing w:after="0" w:line="360" w:lineRule="auto"/>
        <w:rPr>
          <w:rFonts w:ascii="Calibri" w:hAnsi="Calibri" w:cs="Calibri"/>
          <w:sz w:val="24"/>
          <w:szCs w:val="24"/>
        </w:rPr>
      </w:pPr>
      <w:r w:rsidRPr="00E846A6">
        <w:rPr>
          <w:rFonts w:ascii="Calibri" w:hAnsi="Calibri" w:cs="Calibri"/>
          <w:sz w:val="24"/>
          <w:szCs w:val="24"/>
        </w:rPr>
        <w:t>boxplots comparing distributions</w:t>
      </w:r>
    </w:p>
    <w:p w14:paraId="07D26EE4" w14:textId="058260A8" w:rsidR="00381CFA" w:rsidRPr="00224068" w:rsidRDefault="00E846A6" w:rsidP="00224068">
      <w:pPr>
        <w:spacing w:after="0" w:line="360" w:lineRule="auto"/>
        <w:rPr>
          <w:rFonts w:ascii="Calibri" w:hAnsi="Calibri" w:cs="Calibri"/>
          <w:sz w:val="24"/>
          <w:szCs w:val="24"/>
        </w:rPr>
      </w:pPr>
      <w:r>
        <w:rPr>
          <w:rFonts w:ascii="Calibri" w:hAnsi="Calibri" w:cs="Calibri"/>
          <w:sz w:val="24"/>
          <w:szCs w:val="24"/>
        </w:rPr>
        <w:t>T</w:t>
      </w:r>
      <w:r w:rsidRPr="00E846A6">
        <w:rPr>
          <w:rFonts w:ascii="Calibri" w:hAnsi="Calibri" w:cs="Calibri"/>
          <w:sz w:val="24"/>
          <w:szCs w:val="24"/>
        </w:rPr>
        <w:t>hese visualizations help illustrate the statistical findings and highlight meaningful trends.</w:t>
      </w:r>
    </w:p>
    <w:p w14:paraId="750AFAC3" w14:textId="79B26BE9" w:rsidR="002A3196" w:rsidRPr="00544FF4" w:rsidRDefault="00FF6BCB" w:rsidP="00224068">
      <w:pPr>
        <w:pStyle w:val="Heading1"/>
        <w:spacing w:line="360" w:lineRule="auto"/>
        <w:rPr>
          <w:rFonts w:ascii="Calibri" w:hAnsi="Calibri" w:cs="Calibri"/>
          <w:lang w:val="en-US"/>
        </w:rPr>
      </w:pPr>
      <w:r>
        <w:rPr>
          <w:rFonts w:ascii="Calibri" w:hAnsi="Calibri" w:cs="Calibri"/>
          <w:lang w:val="en-US"/>
        </w:rPr>
        <w:t>Key Findings</w:t>
      </w:r>
    </w:p>
    <w:p w14:paraId="5A95C75C" w14:textId="0570B52B" w:rsidR="00DC3C0A" w:rsidRPr="00544FF4" w:rsidRDefault="00DC3C0A" w:rsidP="00224068">
      <w:pPr>
        <w:pStyle w:val="Heading2"/>
        <w:spacing w:line="360" w:lineRule="auto"/>
        <w:rPr>
          <w:rFonts w:ascii="Calibri" w:hAnsi="Calibri" w:cs="Calibri"/>
          <w:lang w:val="en-US"/>
        </w:rPr>
      </w:pPr>
      <w:r w:rsidRPr="00544FF4">
        <w:rPr>
          <w:rFonts w:ascii="Calibri" w:hAnsi="Calibri" w:cs="Calibri"/>
          <w:lang w:val="en-US"/>
        </w:rPr>
        <w:t>Point Estimation</w:t>
      </w:r>
    </w:p>
    <w:p w14:paraId="4CFE71A3" w14:textId="4BB52D2E" w:rsidR="00DC3C0A" w:rsidRPr="00DD40C3" w:rsidRDefault="00963133" w:rsidP="00D04036">
      <w:pPr>
        <w:spacing w:after="0" w:line="360" w:lineRule="auto"/>
        <w:rPr>
          <w:rFonts w:ascii="Calibri" w:hAnsi="Calibri" w:cs="Calibri"/>
          <w:sz w:val="24"/>
          <w:szCs w:val="24"/>
          <w:lang w:val="en-US"/>
        </w:rPr>
      </w:pPr>
      <w:r w:rsidRPr="00963133">
        <w:rPr>
          <w:rFonts w:ascii="Calibri" w:hAnsi="Calibri" w:cs="Calibri"/>
          <w:sz w:val="24"/>
          <w:szCs w:val="24"/>
          <w:lang w:val="en-US"/>
        </w:rPr>
        <w:t xml:space="preserve">MLE </w:t>
      </w:r>
      <w:r w:rsidR="00D04036" w:rsidRPr="00D04036">
        <w:rPr>
          <w:rFonts w:ascii="Calibri" w:hAnsi="Calibri" w:cs="Calibri"/>
          <w:sz w:val="24"/>
          <w:szCs w:val="24"/>
        </w:rPr>
        <w:t>results show that renewable energy production is both higher on average and more variable than non</w:t>
      </w:r>
      <w:r w:rsidR="00D04036" w:rsidRPr="00D04036">
        <w:rPr>
          <w:rFonts w:ascii="Calibri" w:hAnsi="Calibri" w:cs="Calibri"/>
          <w:sz w:val="24"/>
          <w:szCs w:val="24"/>
        </w:rPr>
        <w:noBreakHyphen/>
        <w:t>renewable production. Renewable generation averaged 783,872.7 GWh with a standard deviation of 45,147.66 GWh, while non</w:t>
      </w:r>
      <w:r w:rsidR="00D04036" w:rsidRPr="00D04036">
        <w:rPr>
          <w:rFonts w:ascii="Calibri" w:hAnsi="Calibri" w:cs="Calibri"/>
          <w:sz w:val="24"/>
          <w:szCs w:val="24"/>
        </w:rPr>
        <w:noBreakHyphen/>
        <w:t>renewable generation averaged 456,391.4 GWh with a standard deviation of 14,517.84 GWh. These values indicate that renewable energy not only dominates in total production but also fluctuates more from year to yea</w:t>
      </w:r>
      <w:r w:rsidRPr="00963133">
        <w:rPr>
          <w:rFonts w:ascii="Calibri" w:hAnsi="Calibri" w:cs="Calibri"/>
          <w:sz w:val="24"/>
          <w:szCs w:val="24"/>
          <w:lang w:val="en-US"/>
        </w:rPr>
        <w:t>r.</w:t>
      </w:r>
    </w:p>
    <w:p w14:paraId="5DC4CBAE" w14:textId="5CBFB048" w:rsidR="00A552B3" w:rsidRPr="00544FF4" w:rsidRDefault="00A552B3" w:rsidP="00224068">
      <w:pPr>
        <w:pStyle w:val="Heading2"/>
        <w:spacing w:line="360" w:lineRule="auto"/>
        <w:rPr>
          <w:rFonts w:ascii="Calibri" w:hAnsi="Calibri" w:cs="Calibri"/>
          <w:lang w:val="en-US"/>
        </w:rPr>
      </w:pPr>
      <w:r w:rsidRPr="00544FF4">
        <w:rPr>
          <w:rFonts w:ascii="Calibri" w:hAnsi="Calibri" w:cs="Calibri"/>
          <w:lang w:val="en-US"/>
        </w:rPr>
        <w:lastRenderedPageBreak/>
        <w:t>Time Series Analysis</w:t>
      </w:r>
    </w:p>
    <w:p w14:paraId="4E1DF0DB" w14:textId="40633E7E" w:rsidR="001A3BA8" w:rsidRDefault="00A003CC" w:rsidP="00224068">
      <w:pPr>
        <w:spacing w:after="0" w:line="360" w:lineRule="auto"/>
        <w:rPr>
          <w:rFonts w:ascii="Calibri" w:hAnsi="Calibri" w:cs="Calibri"/>
          <w:sz w:val="24"/>
          <w:szCs w:val="24"/>
          <w:lang w:val="en-US"/>
        </w:rPr>
      </w:pPr>
      <w:r w:rsidRPr="00A003CC">
        <w:rPr>
          <w:rFonts w:ascii="Calibri" w:hAnsi="Calibri" w:cs="Calibri"/>
          <w:sz w:val="24"/>
          <w:szCs w:val="24"/>
        </w:rPr>
        <w:t xml:space="preserve">The </w:t>
      </w:r>
      <w:r w:rsidR="0049099C" w:rsidRPr="0049099C">
        <w:rPr>
          <w:rFonts w:ascii="Calibri" w:hAnsi="Calibri" w:cs="Calibri"/>
          <w:sz w:val="24"/>
          <w:szCs w:val="24"/>
        </w:rPr>
        <w:t>time</w:t>
      </w:r>
      <w:r w:rsidR="0049099C" w:rsidRPr="0049099C">
        <w:rPr>
          <w:rFonts w:ascii="Calibri" w:hAnsi="Calibri" w:cs="Calibri"/>
          <w:sz w:val="24"/>
          <w:szCs w:val="24"/>
        </w:rPr>
        <w:noBreakHyphen/>
        <w:t>series plot reveals a clear upward trend in renewable energy generation over the 12</w:t>
      </w:r>
      <w:r w:rsidR="0049099C" w:rsidRPr="0049099C">
        <w:rPr>
          <w:rFonts w:ascii="Calibri" w:hAnsi="Calibri" w:cs="Calibri"/>
          <w:sz w:val="24"/>
          <w:szCs w:val="24"/>
        </w:rPr>
        <w:noBreakHyphen/>
        <w:t>year period. In contrast, non</w:t>
      </w:r>
      <w:r w:rsidR="0049099C" w:rsidRPr="0049099C">
        <w:rPr>
          <w:rFonts w:ascii="Calibri" w:hAnsi="Calibri" w:cs="Calibri"/>
          <w:sz w:val="24"/>
          <w:szCs w:val="24"/>
        </w:rPr>
        <w:noBreakHyphen/>
        <w:t>renewable energy remains relatively stable, showing only minor fluctuations. Trendlines and horizontal MLE mean lines reinforce these patterns, highlighting the growing contribution of renewable sources to Canada’s energy mix</w:t>
      </w:r>
      <w:r w:rsidR="00C9361A" w:rsidRPr="00C9361A">
        <w:rPr>
          <w:rFonts w:ascii="Calibri" w:hAnsi="Calibri" w:cs="Calibri"/>
          <w:sz w:val="24"/>
          <w:szCs w:val="24"/>
          <w:lang w:val="en-US"/>
        </w:rPr>
        <w:t>.</w:t>
      </w:r>
    </w:p>
    <w:p w14:paraId="5EE864A9" w14:textId="77777777" w:rsidR="00D529DB" w:rsidRDefault="001A3BA8" w:rsidP="00D529DB">
      <w:pPr>
        <w:keepNext/>
        <w:spacing w:after="0" w:line="360" w:lineRule="auto"/>
        <w:jc w:val="center"/>
      </w:pPr>
      <w:r>
        <w:rPr>
          <w:rFonts w:ascii="Calibri" w:hAnsi="Calibri" w:cs="Calibri"/>
          <w:noProof/>
          <w:sz w:val="24"/>
          <w:szCs w:val="24"/>
          <w:lang w:val="en-US"/>
        </w:rPr>
        <w:drawing>
          <wp:inline distT="0" distB="0" distL="0" distR="0" wp14:anchorId="141C16CB" wp14:editId="347EB3DA">
            <wp:extent cx="4728911" cy="3769381"/>
            <wp:effectExtent l="0" t="0" r="0" b="2540"/>
            <wp:docPr id="1785152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9805" cy="3841832"/>
                    </a:xfrm>
                    <a:prstGeom prst="rect">
                      <a:avLst/>
                    </a:prstGeom>
                    <a:noFill/>
                  </pic:spPr>
                </pic:pic>
              </a:graphicData>
            </a:graphic>
          </wp:inline>
        </w:drawing>
      </w:r>
    </w:p>
    <w:p w14:paraId="47D32631" w14:textId="779F5166" w:rsidR="001A3BA8" w:rsidRPr="00D529DB" w:rsidRDefault="00D529DB" w:rsidP="00D529DB">
      <w:pPr>
        <w:pStyle w:val="Caption"/>
        <w:jc w:val="center"/>
        <w:rPr>
          <w:rFonts w:ascii="Calibri" w:hAnsi="Calibri" w:cs="Calibri"/>
          <w:sz w:val="20"/>
          <w:szCs w:val="20"/>
          <w:lang w:val="en-US"/>
        </w:rPr>
      </w:pPr>
      <w:r w:rsidRPr="00D529DB">
        <w:rPr>
          <w:rFonts w:ascii="Calibri" w:hAnsi="Calibri" w:cs="Calibri"/>
          <w:sz w:val="20"/>
          <w:szCs w:val="20"/>
        </w:rPr>
        <w:t xml:space="preserve">Figure </w:t>
      </w:r>
      <w:r w:rsidRPr="00D529DB">
        <w:rPr>
          <w:rFonts w:ascii="Calibri" w:hAnsi="Calibri" w:cs="Calibri"/>
          <w:sz w:val="20"/>
          <w:szCs w:val="20"/>
        </w:rPr>
        <w:fldChar w:fldCharType="begin"/>
      </w:r>
      <w:r w:rsidRPr="00D529DB">
        <w:rPr>
          <w:rFonts w:ascii="Calibri" w:hAnsi="Calibri" w:cs="Calibri"/>
          <w:sz w:val="20"/>
          <w:szCs w:val="20"/>
        </w:rPr>
        <w:instrText xml:space="preserve"> SEQ Figure \* ARABIC </w:instrText>
      </w:r>
      <w:r w:rsidRPr="00D529DB">
        <w:rPr>
          <w:rFonts w:ascii="Calibri" w:hAnsi="Calibri" w:cs="Calibri"/>
          <w:sz w:val="20"/>
          <w:szCs w:val="20"/>
        </w:rPr>
        <w:fldChar w:fldCharType="separate"/>
      </w:r>
      <w:r>
        <w:rPr>
          <w:rFonts w:ascii="Calibri" w:hAnsi="Calibri" w:cs="Calibri"/>
          <w:noProof/>
          <w:sz w:val="20"/>
          <w:szCs w:val="20"/>
        </w:rPr>
        <w:t>2</w:t>
      </w:r>
      <w:r w:rsidRPr="00D529DB">
        <w:rPr>
          <w:rFonts w:ascii="Calibri" w:hAnsi="Calibri" w:cs="Calibri"/>
          <w:sz w:val="20"/>
          <w:szCs w:val="20"/>
        </w:rPr>
        <w:fldChar w:fldCharType="end"/>
      </w:r>
      <w:r w:rsidRPr="00D529DB">
        <w:rPr>
          <w:rFonts w:ascii="Calibri" w:hAnsi="Calibri" w:cs="Calibri"/>
          <w:sz w:val="20"/>
          <w:szCs w:val="20"/>
        </w:rPr>
        <w:t>. Time series plot with trendlines.</w:t>
      </w:r>
    </w:p>
    <w:p w14:paraId="04AF7320" w14:textId="48EB783F" w:rsidR="00A552B3" w:rsidRDefault="00F20A30" w:rsidP="00224068">
      <w:pPr>
        <w:pStyle w:val="Heading2"/>
        <w:spacing w:line="360" w:lineRule="auto"/>
        <w:rPr>
          <w:rFonts w:ascii="Calibri" w:hAnsi="Calibri" w:cs="Calibri"/>
          <w:lang w:val="en-US"/>
        </w:rPr>
      </w:pPr>
      <w:r w:rsidRPr="00544FF4">
        <w:rPr>
          <w:rFonts w:ascii="Calibri" w:hAnsi="Calibri" w:cs="Calibri"/>
          <w:lang w:val="en-US"/>
        </w:rPr>
        <w:t>Confidence Intervals</w:t>
      </w:r>
    </w:p>
    <w:p w14:paraId="10FAF85C" w14:textId="77777777" w:rsidR="00414D34" w:rsidRPr="00854782" w:rsidRDefault="00414D34" w:rsidP="00224068">
      <w:pPr>
        <w:spacing w:after="0" w:line="360" w:lineRule="auto"/>
        <w:rPr>
          <w:rFonts w:ascii="Calibri" w:hAnsi="Calibri" w:cs="Calibri"/>
          <w:b/>
          <w:bCs/>
          <w:sz w:val="24"/>
          <w:szCs w:val="24"/>
          <w:lang w:val="en-US"/>
        </w:rPr>
      </w:pPr>
      <w:r w:rsidRPr="00854782">
        <w:rPr>
          <w:rFonts w:ascii="Calibri" w:hAnsi="Calibri" w:cs="Calibri"/>
          <w:b/>
          <w:bCs/>
          <w:sz w:val="24"/>
          <w:szCs w:val="24"/>
          <w:lang w:val="en-US"/>
        </w:rPr>
        <w:t>Renewable Energy</w:t>
      </w:r>
    </w:p>
    <w:p w14:paraId="07135BF9" w14:textId="51DE1676" w:rsidR="00414D34" w:rsidRPr="00854782" w:rsidRDefault="00414D34">
      <w:pPr>
        <w:pStyle w:val="ListParagraph"/>
        <w:numPr>
          <w:ilvl w:val="0"/>
          <w:numId w:val="14"/>
        </w:numPr>
        <w:spacing w:after="0" w:line="360" w:lineRule="auto"/>
        <w:rPr>
          <w:rFonts w:ascii="Calibri" w:hAnsi="Calibri" w:cs="Calibri"/>
          <w:sz w:val="24"/>
          <w:szCs w:val="24"/>
          <w:lang w:val="en-US"/>
        </w:rPr>
      </w:pPr>
      <w:r w:rsidRPr="00854782">
        <w:rPr>
          <w:rFonts w:ascii="Calibri" w:hAnsi="Calibri" w:cs="Calibri"/>
          <w:sz w:val="24"/>
          <w:szCs w:val="24"/>
          <w:lang w:val="en-US"/>
        </w:rPr>
        <w:t>Mean CI: [758,328.4, 809,416.9]</w:t>
      </w:r>
    </w:p>
    <w:p w14:paraId="27881CFB" w14:textId="44F36CA0" w:rsidR="00414D34" w:rsidRPr="00854782" w:rsidRDefault="00414D34">
      <w:pPr>
        <w:pStyle w:val="ListParagraph"/>
        <w:numPr>
          <w:ilvl w:val="0"/>
          <w:numId w:val="14"/>
        </w:numPr>
        <w:spacing w:after="0" w:line="360" w:lineRule="auto"/>
        <w:rPr>
          <w:rFonts w:ascii="Calibri" w:hAnsi="Calibri" w:cs="Calibri"/>
          <w:sz w:val="24"/>
          <w:szCs w:val="24"/>
          <w:lang w:val="en-US"/>
        </w:rPr>
      </w:pPr>
      <w:r w:rsidRPr="00854782">
        <w:rPr>
          <w:rFonts w:ascii="Calibri" w:hAnsi="Calibri" w:cs="Calibri"/>
          <w:sz w:val="24"/>
          <w:szCs w:val="24"/>
          <w:lang w:val="en-US"/>
        </w:rPr>
        <w:t>S</w:t>
      </w:r>
      <w:r w:rsidR="00F74401">
        <w:rPr>
          <w:rFonts w:ascii="Calibri" w:hAnsi="Calibri" w:cs="Calibri"/>
          <w:sz w:val="24"/>
          <w:szCs w:val="24"/>
          <w:lang w:val="en-US"/>
        </w:rPr>
        <w:t>tandard deviation</w:t>
      </w:r>
      <w:r w:rsidRPr="00854782">
        <w:rPr>
          <w:rFonts w:ascii="Calibri" w:hAnsi="Calibri" w:cs="Calibri"/>
          <w:sz w:val="24"/>
          <w:szCs w:val="24"/>
          <w:lang w:val="en-US"/>
        </w:rPr>
        <w:t xml:space="preserve"> CI: [31,982.38, 76,655.22]</w:t>
      </w:r>
    </w:p>
    <w:p w14:paraId="2BCC8068" w14:textId="77777777" w:rsidR="00414D34" w:rsidRPr="00854782" w:rsidRDefault="00414D34" w:rsidP="00224068">
      <w:pPr>
        <w:spacing w:after="0" w:line="360" w:lineRule="auto"/>
        <w:rPr>
          <w:rFonts w:ascii="Calibri" w:hAnsi="Calibri" w:cs="Calibri"/>
          <w:b/>
          <w:bCs/>
          <w:sz w:val="24"/>
          <w:szCs w:val="24"/>
          <w:lang w:val="en-US"/>
        </w:rPr>
      </w:pPr>
      <w:r w:rsidRPr="00854782">
        <w:rPr>
          <w:rFonts w:ascii="Calibri" w:hAnsi="Calibri" w:cs="Calibri"/>
          <w:b/>
          <w:bCs/>
          <w:sz w:val="24"/>
          <w:szCs w:val="24"/>
          <w:lang w:val="en-US"/>
        </w:rPr>
        <w:t>Non</w:t>
      </w:r>
      <w:r w:rsidRPr="00854782">
        <w:rPr>
          <w:rFonts w:ascii="Cambria Math" w:hAnsi="Cambria Math" w:cs="Cambria Math"/>
          <w:b/>
          <w:bCs/>
          <w:sz w:val="24"/>
          <w:szCs w:val="24"/>
          <w:lang w:val="en-US"/>
        </w:rPr>
        <w:t>‑</w:t>
      </w:r>
      <w:r w:rsidRPr="00854782">
        <w:rPr>
          <w:rFonts w:ascii="Calibri" w:hAnsi="Calibri" w:cs="Calibri"/>
          <w:b/>
          <w:bCs/>
          <w:sz w:val="24"/>
          <w:szCs w:val="24"/>
          <w:lang w:val="en-US"/>
        </w:rPr>
        <w:t>Renewable Energy</w:t>
      </w:r>
    </w:p>
    <w:p w14:paraId="0A42E11A" w14:textId="6676E8CD" w:rsidR="00414D34" w:rsidRPr="00854782" w:rsidRDefault="00414D34">
      <w:pPr>
        <w:pStyle w:val="ListParagraph"/>
        <w:numPr>
          <w:ilvl w:val="0"/>
          <w:numId w:val="13"/>
        </w:numPr>
        <w:spacing w:after="0" w:line="360" w:lineRule="auto"/>
        <w:rPr>
          <w:rFonts w:ascii="Calibri" w:hAnsi="Calibri" w:cs="Calibri"/>
          <w:sz w:val="24"/>
          <w:szCs w:val="24"/>
          <w:lang w:val="en-US"/>
        </w:rPr>
      </w:pPr>
      <w:r w:rsidRPr="00854782">
        <w:rPr>
          <w:rFonts w:ascii="Calibri" w:hAnsi="Calibri" w:cs="Calibri"/>
          <w:sz w:val="24"/>
          <w:szCs w:val="24"/>
          <w:lang w:val="en-US"/>
        </w:rPr>
        <w:t>Mean CI: [448,177.3, 464,605.4]</w:t>
      </w:r>
    </w:p>
    <w:p w14:paraId="3578241F" w14:textId="0A13AA19" w:rsidR="00414D34" w:rsidRPr="00854782" w:rsidRDefault="00414D34">
      <w:pPr>
        <w:pStyle w:val="ListParagraph"/>
        <w:numPr>
          <w:ilvl w:val="0"/>
          <w:numId w:val="13"/>
        </w:numPr>
        <w:spacing w:after="0" w:line="360" w:lineRule="auto"/>
        <w:rPr>
          <w:rFonts w:ascii="Calibri" w:hAnsi="Calibri" w:cs="Calibri"/>
          <w:sz w:val="24"/>
          <w:szCs w:val="24"/>
          <w:lang w:val="en-US"/>
        </w:rPr>
      </w:pPr>
      <w:r w:rsidRPr="00854782">
        <w:rPr>
          <w:rFonts w:ascii="Calibri" w:hAnsi="Calibri" w:cs="Calibri"/>
          <w:sz w:val="24"/>
          <w:szCs w:val="24"/>
          <w:lang w:val="en-US"/>
        </w:rPr>
        <w:t>S</w:t>
      </w:r>
      <w:r w:rsidR="00F74401">
        <w:rPr>
          <w:rFonts w:ascii="Calibri" w:hAnsi="Calibri" w:cs="Calibri"/>
          <w:sz w:val="24"/>
          <w:szCs w:val="24"/>
          <w:lang w:val="en-US"/>
        </w:rPr>
        <w:t>tandard deviation</w:t>
      </w:r>
      <w:r w:rsidRPr="00854782">
        <w:rPr>
          <w:rFonts w:ascii="Calibri" w:hAnsi="Calibri" w:cs="Calibri"/>
          <w:sz w:val="24"/>
          <w:szCs w:val="24"/>
          <w:lang w:val="en-US"/>
        </w:rPr>
        <w:t xml:space="preserve"> CI: [10,284.37, 24,649.53]</w:t>
      </w:r>
    </w:p>
    <w:p w14:paraId="11EF0C7A" w14:textId="484625A2" w:rsidR="00414D34" w:rsidRPr="00854782" w:rsidRDefault="003778A4" w:rsidP="00224068">
      <w:pPr>
        <w:spacing w:after="0" w:line="360" w:lineRule="auto"/>
        <w:rPr>
          <w:rFonts w:ascii="Calibri" w:hAnsi="Calibri" w:cs="Calibri"/>
          <w:sz w:val="24"/>
          <w:szCs w:val="24"/>
          <w:lang w:val="en-US"/>
        </w:rPr>
      </w:pPr>
      <w:r w:rsidRPr="003778A4">
        <w:rPr>
          <w:rFonts w:ascii="Calibri" w:hAnsi="Calibri" w:cs="Calibri"/>
          <w:sz w:val="24"/>
          <w:szCs w:val="24"/>
        </w:rPr>
        <w:lastRenderedPageBreak/>
        <w:t xml:space="preserve">These intervals confirm that </w:t>
      </w:r>
      <w:r w:rsidR="00602BEE">
        <w:rPr>
          <w:rFonts w:ascii="Calibri" w:hAnsi="Calibri" w:cs="Calibri"/>
          <w:sz w:val="24"/>
          <w:szCs w:val="24"/>
        </w:rPr>
        <w:t>r</w:t>
      </w:r>
      <w:r w:rsidR="00602BEE" w:rsidRPr="00602BEE">
        <w:rPr>
          <w:rFonts w:ascii="Calibri" w:hAnsi="Calibri" w:cs="Calibri"/>
          <w:sz w:val="24"/>
          <w:szCs w:val="24"/>
        </w:rPr>
        <w:t>enewable energy has a wider confidence interval for both the mean and standard deviation, reflecting greater variability and uncertainty. Non</w:t>
      </w:r>
      <w:r w:rsidR="00602BEE" w:rsidRPr="00602BEE">
        <w:rPr>
          <w:rFonts w:ascii="Calibri" w:hAnsi="Calibri" w:cs="Calibri"/>
          <w:sz w:val="24"/>
          <w:szCs w:val="24"/>
        </w:rPr>
        <w:noBreakHyphen/>
        <w:t>renewable energy shows narrower intervals, consistent with its more stable production levels</w:t>
      </w:r>
      <w:r w:rsidRPr="003778A4">
        <w:rPr>
          <w:rFonts w:ascii="Calibri" w:hAnsi="Calibri" w:cs="Calibri"/>
          <w:sz w:val="24"/>
          <w:szCs w:val="24"/>
        </w:rPr>
        <w:t>.</w:t>
      </w:r>
    </w:p>
    <w:p w14:paraId="11C13525" w14:textId="338F6E73" w:rsidR="00F20A30" w:rsidRPr="00544FF4" w:rsidRDefault="00F20A30" w:rsidP="00224068">
      <w:pPr>
        <w:pStyle w:val="Heading2"/>
        <w:spacing w:line="360" w:lineRule="auto"/>
        <w:rPr>
          <w:rFonts w:ascii="Calibri" w:hAnsi="Calibri" w:cs="Calibri"/>
          <w:lang w:val="en-US"/>
        </w:rPr>
      </w:pPr>
      <w:r w:rsidRPr="00544FF4">
        <w:rPr>
          <w:rFonts w:ascii="Calibri" w:hAnsi="Calibri" w:cs="Calibri"/>
          <w:lang w:val="en-US"/>
        </w:rPr>
        <w:t>Hypothesis Testing</w:t>
      </w:r>
    </w:p>
    <w:p w14:paraId="7A6DEEB1" w14:textId="77777777" w:rsidR="002B2486" w:rsidRPr="00577D82" w:rsidRDefault="002B2486" w:rsidP="00224068">
      <w:pPr>
        <w:pStyle w:val="Heading3"/>
        <w:spacing w:line="360" w:lineRule="auto"/>
        <w:rPr>
          <w:rFonts w:ascii="Calibri" w:hAnsi="Calibri" w:cs="Calibri"/>
          <w:sz w:val="24"/>
          <w:szCs w:val="24"/>
          <w:lang w:val="en-US"/>
        </w:rPr>
      </w:pPr>
      <w:r w:rsidRPr="00577D82">
        <w:rPr>
          <w:rFonts w:ascii="Calibri" w:hAnsi="Calibri" w:cs="Calibri"/>
          <w:sz w:val="24"/>
          <w:szCs w:val="24"/>
          <w:lang w:val="en-US"/>
        </w:rPr>
        <w:t>Renewable vs Non</w:t>
      </w:r>
      <w:r w:rsidRPr="00577D82">
        <w:rPr>
          <w:rFonts w:ascii="Cambria Math" w:hAnsi="Cambria Math" w:cs="Cambria Math"/>
          <w:sz w:val="24"/>
          <w:szCs w:val="24"/>
          <w:lang w:val="en-US"/>
        </w:rPr>
        <w:t>‑</w:t>
      </w:r>
      <w:r w:rsidRPr="00577D82">
        <w:rPr>
          <w:rFonts w:ascii="Calibri" w:hAnsi="Calibri" w:cs="Calibri"/>
          <w:sz w:val="24"/>
          <w:szCs w:val="24"/>
          <w:lang w:val="en-US"/>
        </w:rPr>
        <w:t>Renewable Means</w:t>
      </w:r>
    </w:p>
    <w:p w14:paraId="3B894B00" w14:textId="0C78F077" w:rsidR="00751F59" w:rsidRPr="008C1574" w:rsidRDefault="008C1574" w:rsidP="00224068">
      <w:pPr>
        <w:spacing w:line="360" w:lineRule="auto"/>
        <w:rPr>
          <w:rFonts w:ascii="Calibri" w:hAnsi="Calibri" w:cs="Calibri"/>
          <w:sz w:val="24"/>
          <w:szCs w:val="24"/>
          <w:lang w:val="en-US"/>
        </w:rPr>
      </w:pPr>
      <w:r w:rsidRPr="008C1574">
        <w:rPr>
          <w:rFonts w:ascii="Calibri" w:hAnsi="Calibri" w:cs="Calibri"/>
          <w:sz w:val="24"/>
          <w:szCs w:val="24"/>
        </w:rPr>
        <w:t>The t</w:t>
      </w:r>
      <w:r w:rsidRPr="008C1574">
        <w:rPr>
          <w:rFonts w:ascii="Calibri" w:hAnsi="Calibri" w:cs="Calibri"/>
          <w:sz w:val="24"/>
          <w:szCs w:val="24"/>
        </w:rPr>
        <w:noBreakHyphen/>
        <w:t>test comparing renewable and non</w:t>
      </w:r>
      <w:r w:rsidRPr="008C1574">
        <w:rPr>
          <w:rFonts w:ascii="Calibri" w:hAnsi="Calibri" w:cs="Calibri"/>
          <w:sz w:val="24"/>
          <w:szCs w:val="24"/>
        </w:rPr>
        <w:noBreakHyphen/>
        <w:t>renewable means produced a p</w:t>
      </w:r>
      <w:r w:rsidRPr="008C1574">
        <w:rPr>
          <w:rFonts w:ascii="Calibri" w:hAnsi="Calibri" w:cs="Calibri"/>
          <w:sz w:val="24"/>
          <w:szCs w:val="24"/>
        </w:rPr>
        <w:noBreakHyphen/>
        <w:t>value of 4.824e</w:t>
      </w:r>
      <w:r w:rsidRPr="008C1574">
        <w:rPr>
          <w:rFonts w:ascii="Calibri" w:hAnsi="Calibri" w:cs="Calibri"/>
          <w:sz w:val="24"/>
          <w:szCs w:val="24"/>
        </w:rPr>
        <w:noBreakHyphen/>
        <w:t>12, indicating a highly significant difference. Renewable energy is consistently higher and more variable across all years</w:t>
      </w:r>
      <w:r w:rsidR="002B2486" w:rsidRPr="008C1574">
        <w:rPr>
          <w:rFonts w:ascii="Calibri" w:hAnsi="Calibri" w:cs="Calibri"/>
          <w:sz w:val="24"/>
          <w:szCs w:val="24"/>
          <w:lang w:val="en-US"/>
        </w:rPr>
        <w:t>.</w:t>
      </w:r>
    </w:p>
    <w:p w14:paraId="69EC5263" w14:textId="77777777" w:rsidR="00D529DB" w:rsidRDefault="00751F59" w:rsidP="00D529DB">
      <w:pPr>
        <w:keepNext/>
        <w:jc w:val="center"/>
      </w:pPr>
      <w:r>
        <w:rPr>
          <w:rFonts w:ascii="Calibri" w:hAnsi="Calibri" w:cs="Calibri"/>
          <w:noProof/>
          <w:sz w:val="24"/>
          <w:szCs w:val="24"/>
          <w:lang w:val="en-US"/>
        </w:rPr>
        <w:drawing>
          <wp:inline distT="0" distB="0" distL="0" distR="0" wp14:anchorId="2294F938" wp14:editId="50237569">
            <wp:extent cx="4103849" cy="3075305"/>
            <wp:effectExtent l="0" t="0" r="0" b="0"/>
            <wp:docPr id="1296108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3614" r="1252" b="10832"/>
                    <a:stretch>
                      <a:fillRect/>
                    </a:stretch>
                  </pic:blipFill>
                  <pic:spPr bwMode="auto">
                    <a:xfrm>
                      <a:off x="0" y="0"/>
                      <a:ext cx="4114721" cy="3083452"/>
                    </a:xfrm>
                    <a:prstGeom prst="rect">
                      <a:avLst/>
                    </a:prstGeom>
                    <a:noFill/>
                    <a:ln>
                      <a:noFill/>
                    </a:ln>
                    <a:extLst>
                      <a:ext uri="{53640926-AAD7-44D8-BBD7-CCE9431645EC}">
                        <a14:shadowObscured xmlns:a14="http://schemas.microsoft.com/office/drawing/2010/main"/>
                      </a:ext>
                    </a:extLst>
                  </pic:spPr>
                </pic:pic>
              </a:graphicData>
            </a:graphic>
          </wp:inline>
        </w:drawing>
      </w:r>
    </w:p>
    <w:p w14:paraId="581672A7" w14:textId="0DECFF4C" w:rsidR="002B2486" w:rsidRPr="00D529DB" w:rsidRDefault="00D529DB" w:rsidP="00D529DB">
      <w:pPr>
        <w:pStyle w:val="Caption"/>
        <w:jc w:val="center"/>
        <w:rPr>
          <w:rFonts w:ascii="Calibri" w:hAnsi="Calibri" w:cs="Calibri"/>
          <w:sz w:val="20"/>
          <w:szCs w:val="20"/>
          <w:lang w:val="en-US"/>
        </w:rPr>
      </w:pPr>
      <w:r w:rsidRPr="00D529DB">
        <w:rPr>
          <w:rFonts w:ascii="Calibri" w:hAnsi="Calibri" w:cs="Calibri"/>
          <w:sz w:val="20"/>
          <w:szCs w:val="20"/>
        </w:rPr>
        <w:t xml:space="preserve">Figure </w:t>
      </w:r>
      <w:r w:rsidRPr="00D529DB">
        <w:rPr>
          <w:rFonts w:ascii="Calibri" w:hAnsi="Calibri" w:cs="Calibri"/>
          <w:sz w:val="20"/>
          <w:szCs w:val="20"/>
        </w:rPr>
        <w:fldChar w:fldCharType="begin"/>
      </w:r>
      <w:r w:rsidRPr="00D529DB">
        <w:rPr>
          <w:rFonts w:ascii="Calibri" w:hAnsi="Calibri" w:cs="Calibri"/>
          <w:sz w:val="20"/>
          <w:szCs w:val="20"/>
        </w:rPr>
        <w:instrText xml:space="preserve"> SEQ Figure \* ARABIC </w:instrText>
      </w:r>
      <w:r w:rsidRPr="00D529DB">
        <w:rPr>
          <w:rFonts w:ascii="Calibri" w:hAnsi="Calibri" w:cs="Calibri"/>
          <w:sz w:val="20"/>
          <w:szCs w:val="20"/>
        </w:rPr>
        <w:fldChar w:fldCharType="separate"/>
      </w:r>
      <w:r>
        <w:rPr>
          <w:rFonts w:ascii="Calibri" w:hAnsi="Calibri" w:cs="Calibri"/>
          <w:noProof/>
          <w:sz w:val="20"/>
          <w:szCs w:val="20"/>
        </w:rPr>
        <w:t>3</w:t>
      </w:r>
      <w:r w:rsidRPr="00D529DB">
        <w:rPr>
          <w:rFonts w:ascii="Calibri" w:hAnsi="Calibri" w:cs="Calibri"/>
          <w:sz w:val="20"/>
          <w:szCs w:val="20"/>
        </w:rPr>
        <w:fldChar w:fldCharType="end"/>
      </w:r>
      <w:r w:rsidRPr="00D529DB">
        <w:rPr>
          <w:rFonts w:ascii="Calibri" w:hAnsi="Calibri" w:cs="Calibri"/>
          <w:sz w:val="20"/>
          <w:szCs w:val="20"/>
        </w:rPr>
        <w:t>. Boxplot comparing renewable vs non-renewable distributions</w:t>
      </w:r>
    </w:p>
    <w:p w14:paraId="70395585" w14:textId="77777777" w:rsidR="002B2486" w:rsidRPr="00577D82" w:rsidRDefault="002B2486" w:rsidP="00E97336">
      <w:pPr>
        <w:pStyle w:val="Heading3"/>
        <w:spacing w:after="240"/>
        <w:rPr>
          <w:rFonts w:ascii="Calibri" w:hAnsi="Calibri" w:cs="Calibri"/>
          <w:sz w:val="24"/>
          <w:szCs w:val="24"/>
          <w:lang w:val="en-US"/>
        </w:rPr>
      </w:pPr>
      <w:r w:rsidRPr="00577D82">
        <w:rPr>
          <w:rFonts w:ascii="Calibri" w:hAnsi="Calibri" w:cs="Calibri"/>
          <w:sz w:val="24"/>
          <w:szCs w:val="24"/>
          <w:lang w:val="en-US"/>
        </w:rPr>
        <w:t>Period Comparison: 2005–2010 vs 2011–2016</w:t>
      </w:r>
    </w:p>
    <w:p w14:paraId="3207F6AC" w14:textId="729F8D31" w:rsidR="002B2486" w:rsidRPr="00E97336" w:rsidRDefault="00E97336" w:rsidP="00E97336">
      <w:pPr>
        <w:spacing w:after="0" w:line="360" w:lineRule="auto"/>
        <w:rPr>
          <w:rFonts w:ascii="Calibri" w:hAnsi="Calibri" w:cs="Calibri"/>
          <w:sz w:val="24"/>
          <w:szCs w:val="24"/>
          <w:lang w:val="en-US"/>
        </w:rPr>
      </w:pPr>
      <w:r w:rsidRPr="00E97336">
        <w:rPr>
          <w:rFonts w:ascii="Calibri" w:hAnsi="Calibri" w:cs="Calibri"/>
          <w:sz w:val="24"/>
          <w:szCs w:val="24"/>
        </w:rPr>
        <w:t>For renewable energy, the p</w:t>
      </w:r>
      <w:r w:rsidRPr="00E97336">
        <w:rPr>
          <w:rFonts w:ascii="Calibri" w:hAnsi="Calibri" w:cs="Calibri"/>
          <w:sz w:val="24"/>
          <w:szCs w:val="24"/>
        </w:rPr>
        <w:noBreakHyphen/>
        <w:t>value of 0.0001997 indicates a significant increase in the later period (2011–2016). Mean renewable generation rose from 743,948.6 GWh to 823,761.4 GWh, confirming substantial growth. For non</w:t>
      </w:r>
      <w:r w:rsidRPr="00E97336">
        <w:rPr>
          <w:rFonts w:ascii="Calibri" w:hAnsi="Calibri" w:cs="Calibri"/>
          <w:sz w:val="24"/>
          <w:szCs w:val="24"/>
        </w:rPr>
        <w:noBreakHyphen/>
        <w:t>renewable energy, the p</w:t>
      </w:r>
      <w:r w:rsidRPr="00E97336">
        <w:rPr>
          <w:rFonts w:ascii="Calibri" w:hAnsi="Calibri" w:cs="Calibri"/>
          <w:sz w:val="24"/>
          <w:szCs w:val="24"/>
        </w:rPr>
        <w:noBreakHyphen/>
        <w:t>value of 0.2465 indicates no significant change between periods, suggesting that production remained stable.</w:t>
      </w:r>
    </w:p>
    <w:p w14:paraId="54E2127F" w14:textId="77777777" w:rsidR="00D529DB" w:rsidRDefault="00224068" w:rsidP="00D529DB">
      <w:pPr>
        <w:keepNext/>
        <w:spacing w:after="0" w:line="360" w:lineRule="auto"/>
        <w:jc w:val="center"/>
      </w:pPr>
      <w:r>
        <w:rPr>
          <w:rFonts w:ascii="Calibri" w:hAnsi="Calibri" w:cs="Calibri"/>
          <w:noProof/>
          <w:sz w:val="24"/>
          <w:szCs w:val="24"/>
          <w:lang w:val="en-US"/>
        </w:rPr>
        <w:lastRenderedPageBreak/>
        <w:drawing>
          <wp:inline distT="0" distB="0" distL="0" distR="0" wp14:anchorId="4BD21EC1" wp14:editId="54A2B089">
            <wp:extent cx="4083050" cy="2826327"/>
            <wp:effectExtent l="0" t="0" r="0" b="0"/>
            <wp:docPr id="977534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b="11418"/>
                    <a:stretch>
                      <a:fillRect/>
                    </a:stretch>
                  </pic:blipFill>
                  <pic:spPr bwMode="auto">
                    <a:xfrm>
                      <a:off x="0" y="0"/>
                      <a:ext cx="4106276" cy="2842404"/>
                    </a:xfrm>
                    <a:prstGeom prst="rect">
                      <a:avLst/>
                    </a:prstGeom>
                    <a:noFill/>
                    <a:ln>
                      <a:noFill/>
                    </a:ln>
                    <a:extLst>
                      <a:ext uri="{53640926-AAD7-44D8-BBD7-CCE9431645EC}">
                        <a14:shadowObscured xmlns:a14="http://schemas.microsoft.com/office/drawing/2010/main"/>
                      </a:ext>
                    </a:extLst>
                  </pic:spPr>
                </pic:pic>
              </a:graphicData>
            </a:graphic>
          </wp:inline>
        </w:drawing>
      </w:r>
    </w:p>
    <w:p w14:paraId="0B5FDED3" w14:textId="473D445A" w:rsidR="00953686" w:rsidRPr="00D529DB" w:rsidRDefault="00D529DB" w:rsidP="00D529DB">
      <w:pPr>
        <w:pStyle w:val="Caption"/>
        <w:jc w:val="center"/>
        <w:rPr>
          <w:rFonts w:ascii="Calibri" w:hAnsi="Calibri" w:cs="Calibri"/>
          <w:sz w:val="20"/>
          <w:szCs w:val="20"/>
          <w:lang w:val="en-US"/>
        </w:rPr>
      </w:pPr>
      <w:r w:rsidRPr="00D529DB">
        <w:rPr>
          <w:rFonts w:ascii="Calibri" w:hAnsi="Calibri" w:cs="Calibri"/>
          <w:sz w:val="20"/>
          <w:szCs w:val="20"/>
        </w:rPr>
        <w:t xml:space="preserve">Figure </w:t>
      </w:r>
      <w:r w:rsidRPr="00D529DB">
        <w:rPr>
          <w:rFonts w:ascii="Calibri" w:hAnsi="Calibri" w:cs="Calibri"/>
          <w:sz w:val="20"/>
          <w:szCs w:val="20"/>
        </w:rPr>
        <w:fldChar w:fldCharType="begin"/>
      </w:r>
      <w:r w:rsidRPr="00D529DB">
        <w:rPr>
          <w:rFonts w:ascii="Calibri" w:hAnsi="Calibri" w:cs="Calibri"/>
          <w:sz w:val="20"/>
          <w:szCs w:val="20"/>
        </w:rPr>
        <w:instrText xml:space="preserve"> SEQ Figure \* ARABIC </w:instrText>
      </w:r>
      <w:r w:rsidRPr="00D529DB">
        <w:rPr>
          <w:rFonts w:ascii="Calibri" w:hAnsi="Calibri" w:cs="Calibri"/>
          <w:sz w:val="20"/>
          <w:szCs w:val="20"/>
        </w:rPr>
        <w:fldChar w:fldCharType="separate"/>
      </w:r>
      <w:r>
        <w:rPr>
          <w:rFonts w:ascii="Calibri" w:hAnsi="Calibri" w:cs="Calibri"/>
          <w:noProof/>
          <w:sz w:val="20"/>
          <w:szCs w:val="20"/>
        </w:rPr>
        <w:t>4</w:t>
      </w:r>
      <w:r w:rsidRPr="00D529DB">
        <w:rPr>
          <w:rFonts w:ascii="Calibri" w:hAnsi="Calibri" w:cs="Calibri"/>
          <w:sz w:val="20"/>
          <w:szCs w:val="20"/>
        </w:rPr>
        <w:fldChar w:fldCharType="end"/>
      </w:r>
      <w:r w:rsidRPr="00D529DB">
        <w:rPr>
          <w:rFonts w:ascii="Calibri" w:hAnsi="Calibri" w:cs="Calibri"/>
          <w:sz w:val="20"/>
          <w:szCs w:val="20"/>
        </w:rPr>
        <w:t>. Boxplot comparing renewable energy from 2005-2010 vs 2011-2016</w:t>
      </w:r>
    </w:p>
    <w:p w14:paraId="694A0CA5" w14:textId="77777777" w:rsidR="00D529DB" w:rsidRDefault="00224068" w:rsidP="00D529DB">
      <w:pPr>
        <w:keepNext/>
        <w:jc w:val="center"/>
      </w:pPr>
      <w:r>
        <w:rPr>
          <w:rFonts w:ascii="Calibri" w:hAnsi="Calibri" w:cs="Calibri"/>
          <w:noProof/>
          <w:sz w:val="24"/>
          <w:szCs w:val="24"/>
          <w:lang w:val="en-US"/>
        </w:rPr>
        <w:drawing>
          <wp:inline distT="0" distB="0" distL="0" distR="0" wp14:anchorId="35A771E0" wp14:editId="6C81D683">
            <wp:extent cx="4062845" cy="2851919"/>
            <wp:effectExtent l="0" t="0" r="0" b="5715"/>
            <wp:docPr id="1831854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b="11597"/>
                    <a:stretch>
                      <a:fillRect/>
                    </a:stretch>
                  </pic:blipFill>
                  <pic:spPr bwMode="auto">
                    <a:xfrm>
                      <a:off x="0" y="0"/>
                      <a:ext cx="4070104" cy="2857014"/>
                    </a:xfrm>
                    <a:prstGeom prst="rect">
                      <a:avLst/>
                    </a:prstGeom>
                    <a:noFill/>
                    <a:ln>
                      <a:noFill/>
                    </a:ln>
                    <a:extLst>
                      <a:ext uri="{53640926-AAD7-44D8-BBD7-CCE9431645EC}">
                        <a14:shadowObscured xmlns:a14="http://schemas.microsoft.com/office/drawing/2010/main"/>
                      </a:ext>
                    </a:extLst>
                  </pic:spPr>
                </pic:pic>
              </a:graphicData>
            </a:graphic>
          </wp:inline>
        </w:drawing>
      </w:r>
    </w:p>
    <w:p w14:paraId="2256F127" w14:textId="5DD0E5AD" w:rsidR="00224068" w:rsidRPr="00D529DB" w:rsidRDefault="00D529DB" w:rsidP="00D529DB">
      <w:pPr>
        <w:pStyle w:val="Caption"/>
        <w:jc w:val="center"/>
        <w:rPr>
          <w:rFonts w:ascii="Calibri" w:hAnsi="Calibri" w:cs="Calibri"/>
          <w:sz w:val="20"/>
          <w:szCs w:val="20"/>
          <w:lang w:val="en-US"/>
        </w:rPr>
      </w:pPr>
      <w:r w:rsidRPr="00D529DB">
        <w:rPr>
          <w:rFonts w:ascii="Calibri" w:hAnsi="Calibri" w:cs="Calibri"/>
          <w:sz w:val="20"/>
          <w:szCs w:val="20"/>
        </w:rPr>
        <w:t xml:space="preserve">Figure </w:t>
      </w:r>
      <w:r w:rsidRPr="00D529DB">
        <w:rPr>
          <w:rFonts w:ascii="Calibri" w:hAnsi="Calibri" w:cs="Calibri"/>
          <w:sz w:val="20"/>
          <w:szCs w:val="20"/>
        </w:rPr>
        <w:fldChar w:fldCharType="begin"/>
      </w:r>
      <w:r w:rsidRPr="00D529DB">
        <w:rPr>
          <w:rFonts w:ascii="Calibri" w:hAnsi="Calibri" w:cs="Calibri"/>
          <w:sz w:val="20"/>
          <w:szCs w:val="20"/>
        </w:rPr>
        <w:instrText xml:space="preserve"> SEQ Figure \* ARABIC </w:instrText>
      </w:r>
      <w:r w:rsidRPr="00D529DB">
        <w:rPr>
          <w:rFonts w:ascii="Calibri" w:hAnsi="Calibri" w:cs="Calibri"/>
          <w:sz w:val="20"/>
          <w:szCs w:val="20"/>
        </w:rPr>
        <w:fldChar w:fldCharType="separate"/>
      </w:r>
      <w:r w:rsidRPr="00D529DB">
        <w:rPr>
          <w:rFonts w:ascii="Calibri" w:hAnsi="Calibri" w:cs="Calibri"/>
          <w:noProof/>
          <w:sz w:val="20"/>
          <w:szCs w:val="20"/>
        </w:rPr>
        <w:t>5</w:t>
      </w:r>
      <w:r w:rsidRPr="00D529DB">
        <w:rPr>
          <w:rFonts w:ascii="Calibri" w:hAnsi="Calibri" w:cs="Calibri"/>
          <w:sz w:val="20"/>
          <w:szCs w:val="20"/>
        </w:rPr>
        <w:fldChar w:fldCharType="end"/>
      </w:r>
      <w:r w:rsidRPr="00D529DB">
        <w:rPr>
          <w:rFonts w:ascii="Calibri" w:hAnsi="Calibri" w:cs="Calibri"/>
          <w:sz w:val="20"/>
          <w:szCs w:val="20"/>
        </w:rPr>
        <w:t>. Boxplot comparing non-renewable energy from 2005-2010 vs 2011-2016</w:t>
      </w:r>
    </w:p>
    <w:p w14:paraId="6C8A5A54" w14:textId="3FE85813" w:rsidR="00F20A30" w:rsidRPr="00544FF4" w:rsidRDefault="005974F2" w:rsidP="00F20A30">
      <w:pPr>
        <w:pStyle w:val="Heading1"/>
        <w:rPr>
          <w:rFonts w:ascii="Calibri" w:hAnsi="Calibri" w:cs="Calibri"/>
          <w:lang w:val="en-US"/>
        </w:rPr>
      </w:pPr>
      <w:r>
        <w:rPr>
          <w:rFonts w:ascii="Calibri" w:hAnsi="Calibri" w:cs="Calibri"/>
          <w:lang w:val="en-US"/>
        </w:rPr>
        <w:t>Limitations</w:t>
      </w:r>
    </w:p>
    <w:p w14:paraId="1A8619B1" w14:textId="25E16EF3" w:rsidR="00685BF3" w:rsidRPr="00772B9D" w:rsidRDefault="005974F2" w:rsidP="00224068">
      <w:pPr>
        <w:spacing w:before="100" w:beforeAutospacing="1" w:after="100" w:afterAutospacing="1" w:line="360" w:lineRule="auto"/>
        <w:rPr>
          <w:rFonts w:ascii="Calibri" w:eastAsia="Times New Roman" w:hAnsi="Calibri" w:cs="Calibri"/>
          <w:sz w:val="24"/>
          <w:szCs w:val="24"/>
          <w:lang w:eastAsia="en-CA"/>
        </w:rPr>
      </w:pPr>
      <w:r w:rsidRPr="005974F2">
        <w:rPr>
          <w:rFonts w:ascii="Calibri" w:eastAsia="Times New Roman" w:hAnsi="Calibri" w:cs="Calibri"/>
          <w:sz w:val="24"/>
          <w:szCs w:val="24"/>
          <w:lang w:eastAsia="en-CA"/>
        </w:rPr>
        <w:t xml:space="preserve">Although the analysis provides meaningful insights, several limitations should be acknowledged. The dataset aggregates electricity generation at the national level, which obscures important provincial differences in energy production and policy. Renewable energy variability may also be influenced by weather patterns or hydrological conditions that are not </w:t>
      </w:r>
      <w:r w:rsidRPr="005974F2">
        <w:rPr>
          <w:rFonts w:ascii="Calibri" w:eastAsia="Times New Roman" w:hAnsi="Calibri" w:cs="Calibri"/>
          <w:sz w:val="24"/>
          <w:szCs w:val="24"/>
          <w:lang w:eastAsia="en-CA"/>
        </w:rPr>
        <w:lastRenderedPageBreak/>
        <w:t>captured in the dataset. The statistical methods used assume independence between yearly observations and normality in the distribution of annual totals, assumptions that may not fully reflect the complexities of real</w:t>
      </w:r>
      <w:r w:rsidRPr="005974F2">
        <w:rPr>
          <w:rFonts w:ascii="Calibri" w:eastAsia="Times New Roman" w:hAnsi="Calibri" w:cs="Calibri"/>
          <w:sz w:val="24"/>
          <w:szCs w:val="24"/>
          <w:lang w:eastAsia="en-CA"/>
        </w:rPr>
        <w:noBreakHyphen/>
        <w:t>world energy systems. Additionally, the dataset ends in 2016, meaning that more recent developments in renewable technology and policy are not represented.</w:t>
      </w:r>
    </w:p>
    <w:p w14:paraId="0EC55F81" w14:textId="1AFF02C1" w:rsidR="00AC4907" w:rsidRPr="00544FF4" w:rsidRDefault="000D36F6" w:rsidP="00C741B8">
      <w:pPr>
        <w:pStyle w:val="Heading1"/>
        <w:spacing w:before="0"/>
        <w:rPr>
          <w:rFonts w:ascii="Calibri" w:hAnsi="Calibri" w:cs="Calibri"/>
          <w:lang w:val="en-US"/>
        </w:rPr>
      </w:pPr>
      <w:r>
        <w:rPr>
          <w:rFonts w:ascii="Calibri" w:hAnsi="Calibri" w:cs="Calibri"/>
          <w:lang w:val="en-US"/>
        </w:rPr>
        <w:t>Next Steps</w:t>
      </w:r>
    </w:p>
    <w:p w14:paraId="50456B39" w14:textId="50CB0BB4" w:rsidR="00831342" w:rsidRPr="00831342" w:rsidRDefault="00831342" w:rsidP="00831342">
      <w:pPr>
        <w:spacing w:line="360" w:lineRule="auto"/>
        <w:rPr>
          <w:rFonts w:ascii="Calibri" w:hAnsi="Calibri" w:cs="Calibri"/>
          <w:sz w:val="24"/>
          <w:szCs w:val="24"/>
        </w:rPr>
      </w:pPr>
      <w:r w:rsidRPr="00831342">
        <w:rPr>
          <w:rFonts w:ascii="Calibri" w:hAnsi="Calibri" w:cs="Calibri"/>
          <w:sz w:val="24"/>
          <w:szCs w:val="24"/>
        </w:rPr>
        <w:t>Future work could expand this analysis in several ways:</w:t>
      </w:r>
    </w:p>
    <w:p w14:paraId="122F4174" w14:textId="77777777" w:rsidR="00831342" w:rsidRPr="00831342" w:rsidRDefault="00831342" w:rsidP="00831342">
      <w:pPr>
        <w:numPr>
          <w:ilvl w:val="0"/>
          <w:numId w:val="20"/>
        </w:numPr>
        <w:spacing w:line="360" w:lineRule="auto"/>
        <w:rPr>
          <w:rFonts w:ascii="Calibri" w:hAnsi="Calibri" w:cs="Calibri"/>
          <w:sz w:val="24"/>
          <w:szCs w:val="24"/>
        </w:rPr>
      </w:pPr>
      <w:r w:rsidRPr="00831342">
        <w:rPr>
          <w:rFonts w:ascii="Calibri" w:hAnsi="Calibri" w:cs="Calibri"/>
          <w:sz w:val="24"/>
          <w:szCs w:val="24"/>
        </w:rPr>
        <w:t>Incorporating data beyond 2016 to capture more recent renewable energy growth</w:t>
      </w:r>
    </w:p>
    <w:p w14:paraId="39EEA727" w14:textId="77777777" w:rsidR="00831342" w:rsidRPr="00831342" w:rsidRDefault="00831342" w:rsidP="00831342">
      <w:pPr>
        <w:numPr>
          <w:ilvl w:val="0"/>
          <w:numId w:val="20"/>
        </w:numPr>
        <w:spacing w:line="360" w:lineRule="auto"/>
        <w:rPr>
          <w:rFonts w:ascii="Calibri" w:hAnsi="Calibri" w:cs="Calibri"/>
          <w:sz w:val="24"/>
          <w:szCs w:val="24"/>
        </w:rPr>
      </w:pPr>
      <w:r w:rsidRPr="00831342">
        <w:rPr>
          <w:rFonts w:ascii="Calibri" w:hAnsi="Calibri" w:cs="Calibri"/>
          <w:sz w:val="24"/>
          <w:szCs w:val="24"/>
        </w:rPr>
        <w:t>Conducting a provincial</w:t>
      </w:r>
      <w:r w:rsidRPr="00831342">
        <w:rPr>
          <w:rFonts w:ascii="Calibri" w:hAnsi="Calibri" w:cs="Calibri"/>
          <w:sz w:val="24"/>
          <w:szCs w:val="24"/>
        </w:rPr>
        <w:noBreakHyphen/>
        <w:t>level analysis to identify regional drivers of change</w:t>
      </w:r>
    </w:p>
    <w:p w14:paraId="138F5CDC" w14:textId="77777777" w:rsidR="00831342" w:rsidRPr="00831342" w:rsidRDefault="00831342" w:rsidP="00831342">
      <w:pPr>
        <w:numPr>
          <w:ilvl w:val="0"/>
          <w:numId w:val="20"/>
        </w:numPr>
        <w:spacing w:line="360" w:lineRule="auto"/>
        <w:rPr>
          <w:rFonts w:ascii="Calibri" w:hAnsi="Calibri" w:cs="Calibri"/>
          <w:sz w:val="24"/>
          <w:szCs w:val="24"/>
        </w:rPr>
      </w:pPr>
      <w:r w:rsidRPr="00831342">
        <w:rPr>
          <w:rFonts w:ascii="Calibri" w:hAnsi="Calibri" w:cs="Calibri"/>
          <w:sz w:val="24"/>
          <w:szCs w:val="24"/>
        </w:rPr>
        <w:t>Integrating weather or climate variables to explain year</w:t>
      </w:r>
      <w:r w:rsidRPr="00831342">
        <w:rPr>
          <w:rFonts w:ascii="Calibri" w:hAnsi="Calibri" w:cs="Calibri"/>
          <w:sz w:val="24"/>
          <w:szCs w:val="24"/>
        </w:rPr>
        <w:noBreakHyphen/>
        <w:t>to</w:t>
      </w:r>
      <w:r w:rsidRPr="00831342">
        <w:rPr>
          <w:rFonts w:ascii="Calibri" w:hAnsi="Calibri" w:cs="Calibri"/>
          <w:sz w:val="24"/>
          <w:szCs w:val="24"/>
        </w:rPr>
        <w:noBreakHyphen/>
        <w:t>year variability in renewable generation</w:t>
      </w:r>
    </w:p>
    <w:p w14:paraId="7DEA27A7" w14:textId="77777777" w:rsidR="00831342" w:rsidRPr="00831342" w:rsidRDefault="00831342" w:rsidP="00831342">
      <w:pPr>
        <w:numPr>
          <w:ilvl w:val="0"/>
          <w:numId w:val="20"/>
        </w:numPr>
        <w:spacing w:line="360" w:lineRule="auto"/>
        <w:rPr>
          <w:rFonts w:ascii="Calibri" w:hAnsi="Calibri" w:cs="Calibri"/>
          <w:sz w:val="24"/>
          <w:szCs w:val="24"/>
        </w:rPr>
      </w:pPr>
      <w:r w:rsidRPr="00831342">
        <w:rPr>
          <w:rFonts w:ascii="Calibri" w:hAnsi="Calibri" w:cs="Calibri"/>
          <w:sz w:val="24"/>
          <w:szCs w:val="24"/>
        </w:rPr>
        <w:t>Applying time</w:t>
      </w:r>
      <w:r w:rsidRPr="00831342">
        <w:rPr>
          <w:rFonts w:ascii="Calibri" w:hAnsi="Calibri" w:cs="Calibri"/>
          <w:sz w:val="24"/>
          <w:szCs w:val="24"/>
        </w:rPr>
        <w:noBreakHyphen/>
        <w:t>series forecasting methods to project future production levels</w:t>
      </w:r>
    </w:p>
    <w:p w14:paraId="1B0039AA" w14:textId="77777777" w:rsidR="00831342" w:rsidRPr="00831342" w:rsidRDefault="00831342" w:rsidP="00831342">
      <w:pPr>
        <w:numPr>
          <w:ilvl w:val="0"/>
          <w:numId w:val="20"/>
        </w:numPr>
        <w:spacing w:line="360" w:lineRule="auto"/>
        <w:rPr>
          <w:rFonts w:ascii="Calibri" w:hAnsi="Calibri" w:cs="Calibri"/>
          <w:sz w:val="24"/>
          <w:szCs w:val="24"/>
        </w:rPr>
      </w:pPr>
      <w:r w:rsidRPr="00831342">
        <w:rPr>
          <w:rFonts w:ascii="Calibri" w:hAnsi="Calibri" w:cs="Calibri"/>
          <w:sz w:val="24"/>
          <w:szCs w:val="24"/>
        </w:rPr>
        <w:t>Evaluating the impact of major policy changes, such as carbon pricing or renewable incentives</w:t>
      </w:r>
    </w:p>
    <w:p w14:paraId="64DD6D22" w14:textId="56025CA3" w:rsidR="004400BD" w:rsidRPr="00831342" w:rsidRDefault="00831342" w:rsidP="00831342">
      <w:pPr>
        <w:numPr>
          <w:ilvl w:val="0"/>
          <w:numId w:val="20"/>
        </w:numPr>
        <w:spacing w:line="360" w:lineRule="auto"/>
        <w:rPr>
          <w:rFonts w:ascii="Calibri" w:hAnsi="Calibri" w:cs="Calibri"/>
          <w:sz w:val="24"/>
          <w:szCs w:val="24"/>
        </w:rPr>
      </w:pPr>
      <w:r w:rsidRPr="00831342">
        <w:rPr>
          <w:rFonts w:ascii="Calibri" w:hAnsi="Calibri" w:cs="Calibri"/>
          <w:sz w:val="24"/>
          <w:szCs w:val="24"/>
        </w:rPr>
        <w:t>Comparing Canada’s energy trends with those of other countries to contextualize national progress</w:t>
      </w:r>
    </w:p>
    <w:p w14:paraId="5DF714D2" w14:textId="26E548FD" w:rsidR="00AC4907" w:rsidRPr="00544FF4" w:rsidRDefault="00AC4907" w:rsidP="00AC4907">
      <w:pPr>
        <w:pStyle w:val="Heading1"/>
        <w:rPr>
          <w:rFonts w:ascii="Calibri" w:hAnsi="Calibri" w:cs="Calibri"/>
          <w:lang w:val="en-US"/>
        </w:rPr>
      </w:pPr>
      <w:r w:rsidRPr="00544FF4">
        <w:rPr>
          <w:rFonts w:ascii="Calibri" w:hAnsi="Calibri" w:cs="Calibri"/>
          <w:lang w:val="en-US"/>
        </w:rPr>
        <w:t>References</w:t>
      </w:r>
    </w:p>
    <w:p w14:paraId="79C804DD" w14:textId="0628AF6F" w:rsidR="00D03606" w:rsidRPr="00544FF4" w:rsidRDefault="00973307">
      <w:pPr>
        <w:pStyle w:val="ListParagraph"/>
        <w:numPr>
          <w:ilvl w:val="0"/>
          <w:numId w:val="6"/>
        </w:numPr>
        <w:spacing w:line="360" w:lineRule="auto"/>
        <w:rPr>
          <w:rFonts w:ascii="Calibri" w:hAnsi="Calibri" w:cs="Calibri"/>
          <w:color w:val="000000" w:themeColor="text1"/>
          <w:sz w:val="24"/>
          <w:szCs w:val="24"/>
          <w:lang w:val="en-US"/>
        </w:rPr>
      </w:pPr>
      <w:r w:rsidRPr="00544FF4">
        <w:rPr>
          <w:rFonts w:ascii="Calibri" w:hAnsi="Calibri" w:cs="Calibri"/>
          <w:color w:val="000000" w:themeColor="text1"/>
          <w:sz w:val="24"/>
          <w:szCs w:val="24"/>
        </w:rPr>
        <w:t>Secretariat, T. B. of C., &amp; Secretariat, T. B. of C. (n.d.). </w:t>
      </w:r>
      <w:r w:rsidRPr="00544FF4">
        <w:rPr>
          <w:rFonts w:ascii="Calibri" w:hAnsi="Calibri" w:cs="Calibri"/>
          <w:i/>
          <w:iCs/>
          <w:color w:val="000000" w:themeColor="text1"/>
          <w:sz w:val="24"/>
          <w:szCs w:val="24"/>
        </w:rPr>
        <w:t>Open Government Portal</w:t>
      </w:r>
      <w:r w:rsidRPr="00544FF4">
        <w:rPr>
          <w:rFonts w:ascii="Calibri" w:hAnsi="Calibri" w:cs="Calibri"/>
          <w:color w:val="000000" w:themeColor="text1"/>
          <w:sz w:val="24"/>
          <w:szCs w:val="24"/>
        </w:rPr>
        <w:t xml:space="preserve">. Open.canada.ca. </w:t>
      </w:r>
      <w:hyperlink r:id="rId14" w:history="1">
        <w:r w:rsidR="00D03606" w:rsidRPr="00544FF4">
          <w:rPr>
            <w:rStyle w:val="Hyperlink"/>
            <w:rFonts w:ascii="Calibri" w:hAnsi="Calibri" w:cs="Calibri"/>
            <w:color w:val="000000" w:themeColor="text1"/>
            <w:sz w:val="24"/>
            <w:szCs w:val="24"/>
            <w:u w:val="none"/>
          </w:rPr>
          <w:t>https://open.canada.ca/data/en/dataset/2cdf43fc-d4aa-4604-9f21-29777d955810/resource/b751e0dc-1a00-417a-9f04-b4777adb521f</w:t>
        </w:r>
      </w:hyperlink>
    </w:p>
    <w:sectPr w:rsidR="00D03606" w:rsidRPr="00544FF4" w:rsidSect="00114C5F">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B01E0" w14:textId="77777777" w:rsidR="00953B93" w:rsidRDefault="00953B93" w:rsidP="00603111">
      <w:pPr>
        <w:spacing w:after="0" w:line="240" w:lineRule="auto"/>
      </w:pPr>
      <w:r>
        <w:separator/>
      </w:r>
    </w:p>
  </w:endnote>
  <w:endnote w:type="continuationSeparator" w:id="0">
    <w:p w14:paraId="6EFCF5D7" w14:textId="77777777" w:rsidR="00953B93" w:rsidRDefault="00953B93" w:rsidP="00603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552AB" w14:textId="77777777" w:rsidR="00953B93" w:rsidRDefault="00953B93" w:rsidP="00603111">
      <w:pPr>
        <w:spacing w:after="0" w:line="240" w:lineRule="auto"/>
      </w:pPr>
      <w:r>
        <w:separator/>
      </w:r>
    </w:p>
  </w:footnote>
  <w:footnote w:type="continuationSeparator" w:id="0">
    <w:p w14:paraId="09F1B00F" w14:textId="77777777" w:rsidR="00953B93" w:rsidRDefault="00953B93" w:rsidP="006031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pacing w:val="60"/>
      </w:rPr>
      <w:id w:val="1695113588"/>
      <w:docPartObj>
        <w:docPartGallery w:val="Page Numbers (Top of Page)"/>
        <w:docPartUnique/>
      </w:docPartObj>
    </w:sdtPr>
    <w:sdtEndPr>
      <w:rPr>
        <w:b/>
        <w:bCs/>
        <w:noProof/>
        <w:spacing w:val="0"/>
      </w:rPr>
    </w:sdtEndPr>
    <w:sdtContent>
      <w:p w14:paraId="4B61039E" w14:textId="76EFDCE3" w:rsidR="00603111" w:rsidRPr="00544FF4" w:rsidRDefault="00000000" w:rsidP="000751F6">
        <w:pPr>
          <w:pStyle w:val="Header"/>
          <w:pBdr>
            <w:bottom w:val="single" w:sz="4" w:space="1" w:color="D9D9D9" w:themeColor="background1" w:themeShade="D9"/>
          </w:pBdr>
          <w:rPr>
            <w:rFonts w:ascii="Calibri" w:hAnsi="Calibri" w:cs="Calibri"/>
            <w:b/>
            <w:bCs/>
          </w:rPr>
        </w:pPr>
        <w:sdt>
          <w:sdtPr>
            <w:rPr>
              <w:rFonts w:ascii="Calibri" w:hAnsi="Calibri" w:cs="Calibri"/>
              <w:spacing w:val="60"/>
            </w:rPr>
            <w:alias w:val="Author"/>
            <w:tag w:val=""/>
            <w:id w:val="-1235312669"/>
            <w:placeholder>
              <w:docPart w:val="493257B652364C90AE351EB9940BBED6"/>
            </w:placeholder>
            <w:dataBinding w:prefixMappings="xmlns:ns0='http://purl.org/dc/elements/1.1/' xmlns:ns1='http://schemas.openxmlformats.org/package/2006/metadata/core-properties' " w:xpath="/ns1:coreProperties[1]/ns0:creator[1]" w:storeItemID="{6C3C8BC8-F283-45AE-878A-BAB7291924A1}"/>
            <w:text/>
          </w:sdtPr>
          <w:sdtContent>
            <w:r w:rsidR="000751F6" w:rsidRPr="00544FF4">
              <w:rPr>
                <w:rFonts w:ascii="Calibri" w:hAnsi="Calibri" w:cs="Calibri"/>
                <w:spacing w:val="60"/>
              </w:rPr>
              <w:t>Rianna Sundlie</w:t>
            </w:r>
          </w:sdtContent>
        </w:sdt>
        <w:r w:rsidR="000751F6" w:rsidRPr="00544FF4">
          <w:rPr>
            <w:rFonts w:ascii="Calibri" w:hAnsi="Calibri" w:cs="Calibri"/>
            <w:spacing w:val="60"/>
          </w:rPr>
          <w:tab/>
        </w:r>
        <w:r w:rsidR="000751F6" w:rsidRPr="00544FF4">
          <w:rPr>
            <w:rFonts w:ascii="Calibri" w:hAnsi="Calibri" w:cs="Calibri"/>
            <w:spacing w:val="60"/>
          </w:rPr>
          <w:tab/>
        </w:r>
        <w:r w:rsidR="00603111" w:rsidRPr="00544FF4">
          <w:rPr>
            <w:rFonts w:ascii="Calibri" w:hAnsi="Calibri" w:cs="Calibri"/>
            <w:spacing w:val="60"/>
          </w:rPr>
          <w:t>Page</w:t>
        </w:r>
        <w:r w:rsidR="00603111" w:rsidRPr="00544FF4">
          <w:rPr>
            <w:rFonts w:ascii="Calibri" w:hAnsi="Calibri" w:cs="Calibri"/>
          </w:rPr>
          <w:t xml:space="preserve"> | </w:t>
        </w:r>
        <w:r w:rsidR="00603111" w:rsidRPr="00544FF4">
          <w:rPr>
            <w:rFonts w:ascii="Calibri" w:hAnsi="Calibri" w:cs="Calibri"/>
          </w:rPr>
          <w:fldChar w:fldCharType="begin"/>
        </w:r>
        <w:r w:rsidR="00603111" w:rsidRPr="00544FF4">
          <w:rPr>
            <w:rFonts w:ascii="Calibri" w:hAnsi="Calibri" w:cs="Calibri"/>
          </w:rPr>
          <w:instrText xml:space="preserve"> PAGE   \* MERGEFORMAT </w:instrText>
        </w:r>
        <w:r w:rsidR="00603111" w:rsidRPr="00544FF4">
          <w:rPr>
            <w:rFonts w:ascii="Calibri" w:hAnsi="Calibri" w:cs="Calibri"/>
          </w:rPr>
          <w:fldChar w:fldCharType="separate"/>
        </w:r>
        <w:r w:rsidR="00603111" w:rsidRPr="00544FF4">
          <w:rPr>
            <w:rFonts w:ascii="Calibri" w:hAnsi="Calibri" w:cs="Calibri"/>
            <w:b/>
            <w:bCs/>
            <w:noProof/>
          </w:rPr>
          <w:t>2</w:t>
        </w:r>
        <w:r w:rsidR="00603111" w:rsidRPr="00544FF4">
          <w:rPr>
            <w:rFonts w:ascii="Calibri" w:hAnsi="Calibri" w:cs="Calibri"/>
            <w:b/>
            <w:bCs/>
            <w:noProof/>
          </w:rPr>
          <w:fldChar w:fldCharType="end"/>
        </w:r>
      </w:p>
    </w:sdtContent>
  </w:sdt>
  <w:p w14:paraId="5709BF17" w14:textId="77777777" w:rsidR="00603111" w:rsidRPr="00544FF4" w:rsidRDefault="00603111">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30C"/>
    <w:multiLevelType w:val="hybridMultilevel"/>
    <w:tmpl w:val="80D281BA"/>
    <w:lvl w:ilvl="0" w:tplc="10090001">
      <w:start w:val="1"/>
      <w:numFmt w:val="bullet"/>
      <w:lvlText w:val=""/>
      <w:lvlJc w:val="left"/>
      <w:pPr>
        <w:ind w:left="1152" w:hanging="360"/>
      </w:pPr>
      <w:rPr>
        <w:rFonts w:ascii="Symbol" w:hAnsi="Symbol" w:hint="default"/>
      </w:rPr>
    </w:lvl>
    <w:lvl w:ilvl="1" w:tplc="10090003" w:tentative="1">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abstractNum w:abstractNumId="1" w15:restartNumberingAfterBreak="0">
    <w:nsid w:val="06854F47"/>
    <w:multiLevelType w:val="hybridMultilevel"/>
    <w:tmpl w:val="D5B2AD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77B263D"/>
    <w:multiLevelType w:val="multilevel"/>
    <w:tmpl w:val="7806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A1E7B"/>
    <w:multiLevelType w:val="hybridMultilevel"/>
    <w:tmpl w:val="CFF80F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E673890"/>
    <w:multiLevelType w:val="hybridMultilevel"/>
    <w:tmpl w:val="5AD87D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326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7BE6525"/>
    <w:multiLevelType w:val="hybridMultilevel"/>
    <w:tmpl w:val="F822BF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7EF3852"/>
    <w:multiLevelType w:val="hybridMultilevel"/>
    <w:tmpl w:val="591047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8EB0485"/>
    <w:multiLevelType w:val="hybridMultilevel"/>
    <w:tmpl w:val="745C75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B0C2BC5"/>
    <w:multiLevelType w:val="hybridMultilevel"/>
    <w:tmpl w:val="BA2CC90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36784A5C"/>
    <w:multiLevelType w:val="hybridMultilevel"/>
    <w:tmpl w:val="DA2688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6A347FC"/>
    <w:multiLevelType w:val="hybridMultilevel"/>
    <w:tmpl w:val="98D0FD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38F7F26"/>
    <w:multiLevelType w:val="hybridMultilevel"/>
    <w:tmpl w:val="36A00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E39171B"/>
    <w:multiLevelType w:val="hybridMultilevel"/>
    <w:tmpl w:val="2ADE0C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FAC3008"/>
    <w:multiLevelType w:val="multilevel"/>
    <w:tmpl w:val="C812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C7492"/>
    <w:multiLevelType w:val="hybridMultilevel"/>
    <w:tmpl w:val="C060992A"/>
    <w:lvl w:ilvl="0" w:tplc="10090001">
      <w:start w:val="1"/>
      <w:numFmt w:val="bullet"/>
      <w:lvlText w:val=""/>
      <w:lvlJc w:val="left"/>
      <w:pPr>
        <w:ind w:left="1152" w:hanging="360"/>
      </w:pPr>
      <w:rPr>
        <w:rFonts w:ascii="Symbol" w:hAnsi="Symbol" w:hint="default"/>
      </w:rPr>
    </w:lvl>
    <w:lvl w:ilvl="1" w:tplc="10090003" w:tentative="1">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abstractNum w:abstractNumId="16" w15:restartNumberingAfterBreak="0">
    <w:nsid w:val="5C3F179D"/>
    <w:multiLevelType w:val="hybridMultilevel"/>
    <w:tmpl w:val="A46433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F626F4D"/>
    <w:multiLevelType w:val="hybridMultilevel"/>
    <w:tmpl w:val="537664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700301F"/>
    <w:multiLevelType w:val="hybridMultilevel"/>
    <w:tmpl w:val="DAE2BF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8EB425B"/>
    <w:multiLevelType w:val="hybridMultilevel"/>
    <w:tmpl w:val="DD8E51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D8F4676"/>
    <w:multiLevelType w:val="hybridMultilevel"/>
    <w:tmpl w:val="DD6ADB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7BA640F"/>
    <w:multiLevelType w:val="hybridMultilevel"/>
    <w:tmpl w:val="D53280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04390752">
    <w:abstractNumId w:val="5"/>
  </w:num>
  <w:num w:numId="2" w16cid:durableId="631667708">
    <w:abstractNumId w:val="15"/>
  </w:num>
  <w:num w:numId="3" w16cid:durableId="1484927283">
    <w:abstractNumId w:val="6"/>
  </w:num>
  <w:num w:numId="4" w16cid:durableId="714277251">
    <w:abstractNumId w:val="11"/>
  </w:num>
  <w:num w:numId="5" w16cid:durableId="1710641486">
    <w:abstractNumId w:val="19"/>
  </w:num>
  <w:num w:numId="6" w16cid:durableId="908539030">
    <w:abstractNumId w:val="9"/>
  </w:num>
  <w:num w:numId="7" w16cid:durableId="329843013">
    <w:abstractNumId w:val="18"/>
  </w:num>
  <w:num w:numId="8" w16cid:durableId="1217165015">
    <w:abstractNumId w:val="17"/>
  </w:num>
  <w:num w:numId="9" w16cid:durableId="1135759642">
    <w:abstractNumId w:val="1"/>
  </w:num>
  <w:num w:numId="10" w16cid:durableId="476845027">
    <w:abstractNumId w:val="8"/>
  </w:num>
  <w:num w:numId="11" w16cid:durableId="24067382">
    <w:abstractNumId w:val="3"/>
  </w:num>
  <w:num w:numId="12" w16cid:durableId="1896820309">
    <w:abstractNumId w:val="10"/>
  </w:num>
  <w:num w:numId="13" w16cid:durableId="630592174">
    <w:abstractNumId w:val="12"/>
  </w:num>
  <w:num w:numId="14" w16cid:durableId="1904826686">
    <w:abstractNumId w:val="21"/>
  </w:num>
  <w:num w:numId="15" w16cid:durableId="2030910667">
    <w:abstractNumId w:val="20"/>
  </w:num>
  <w:num w:numId="16" w16cid:durableId="301930540">
    <w:abstractNumId w:val="4"/>
  </w:num>
  <w:num w:numId="17" w16cid:durableId="1741562536">
    <w:abstractNumId w:val="13"/>
  </w:num>
  <w:num w:numId="18" w16cid:durableId="1736973357">
    <w:abstractNumId w:val="2"/>
  </w:num>
  <w:num w:numId="19" w16cid:durableId="544869896">
    <w:abstractNumId w:val="0"/>
  </w:num>
  <w:num w:numId="20" w16cid:durableId="1597862465">
    <w:abstractNumId w:val="14"/>
  </w:num>
  <w:num w:numId="21" w16cid:durableId="896209975">
    <w:abstractNumId w:val="7"/>
  </w:num>
  <w:num w:numId="22" w16cid:durableId="344017873">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B2"/>
    <w:rsid w:val="00003751"/>
    <w:rsid w:val="00004A3E"/>
    <w:rsid w:val="000164BB"/>
    <w:rsid w:val="0002347D"/>
    <w:rsid w:val="00026641"/>
    <w:rsid w:val="000322B9"/>
    <w:rsid w:val="00032FC5"/>
    <w:rsid w:val="000353D6"/>
    <w:rsid w:val="00036CCB"/>
    <w:rsid w:val="00041B1D"/>
    <w:rsid w:val="00045B9B"/>
    <w:rsid w:val="00055A5A"/>
    <w:rsid w:val="0005673C"/>
    <w:rsid w:val="00062B9D"/>
    <w:rsid w:val="00065931"/>
    <w:rsid w:val="000717C1"/>
    <w:rsid w:val="0007390A"/>
    <w:rsid w:val="000751F6"/>
    <w:rsid w:val="00076EB9"/>
    <w:rsid w:val="0008481C"/>
    <w:rsid w:val="00090F5A"/>
    <w:rsid w:val="000D0C3A"/>
    <w:rsid w:val="000D36F6"/>
    <w:rsid w:val="000D522E"/>
    <w:rsid w:val="000D79D4"/>
    <w:rsid w:val="000E7F2C"/>
    <w:rsid w:val="000F07E6"/>
    <w:rsid w:val="000F230C"/>
    <w:rsid w:val="000F672F"/>
    <w:rsid w:val="00102F4C"/>
    <w:rsid w:val="00114C5F"/>
    <w:rsid w:val="001153EC"/>
    <w:rsid w:val="00122F42"/>
    <w:rsid w:val="00125FBC"/>
    <w:rsid w:val="00127461"/>
    <w:rsid w:val="00152122"/>
    <w:rsid w:val="00156951"/>
    <w:rsid w:val="00161614"/>
    <w:rsid w:val="00184E5C"/>
    <w:rsid w:val="00185B5D"/>
    <w:rsid w:val="001970C3"/>
    <w:rsid w:val="001A3BA8"/>
    <w:rsid w:val="001A5D73"/>
    <w:rsid w:val="001B1EA1"/>
    <w:rsid w:val="001C6AD7"/>
    <w:rsid w:val="001D3DF2"/>
    <w:rsid w:val="001D4167"/>
    <w:rsid w:val="001D431A"/>
    <w:rsid w:val="001F5E5B"/>
    <w:rsid w:val="00200B3E"/>
    <w:rsid w:val="00201605"/>
    <w:rsid w:val="00206020"/>
    <w:rsid w:val="00206866"/>
    <w:rsid w:val="002072C5"/>
    <w:rsid w:val="00212617"/>
    <w:rsid w:val="00212C9C"/>
    <w:rsid w:val="00224068"/>
    <w:rsid w:val="00231EAB"/>
    <w:rsid w:val="00235088"/>
    <w:rsid w:val="002350A6"/>
    <w:rsid w:val="0024137E"/>
    <w:rsid w:val="00246336"/>
    <w:rsid w:val="00262FCE"/>
    <w:rsid w:val="00274478"/>
    <w:rsid w:val="00275511"/>
    <w:rsid w:val="002756C4"/>
    <w:rsid w:val="00281F24"/>
    <w:rsid w:val="0028290A"/>
    <w:rsid w:val="00290B36"/>
    <w:rsid w:val="00291B6D"/>
    <w:rsid w:val="002920C7"/>
    <w:rsid w:val="00297CB7"/>
    <w:rsid w:val="002A3196"/>
    <w:rsid w:val="002A7912"/>
    <w:rsid w:val="002A7C5C"/>
    <w:rsid w:val="002B0D2C"/>
    <w:rsid w:val="002B2411"/>
    <w:rsid w:val="002B2486"/>
    <w:rsid w:val="002B61E1"/>
    <w:rsid w:val="002B6213"/>
    <w:rsid w:val="002C1AC9"/>
    <w:rsid w:val="002C6CF3"/>
    <w:rsid w:val="002D70F3"/>
    <w:rsid w:val="002E30AA"/>
    <w:rsid w:val="002E3CE6"/>
    <w:rsid w:val="002E6BB1"/>
    <w:rsid w:val="002F5B3D"/>
    <w:rsid w:val="002F6461"/>
    <w:rsid w:val="002F6F1F"/>
    <w:rsid w:val="00303B74"/>
    <w:rsid w:val="00304292"/>
    <w:rsid w:val="003072AB"/>
    <w:rsid w:val="0030774B"/>
    <w:rsid w:val="003227DB"/>
    <w:rsid w:val="00322C3C"/>
    <w:rsid w:val="00326191"/>
    <w:rsid w:val="00330E84"/>
    <w:rsid w:val="0033328D"/>
    <w:rsid w:val="00336E13"/>
    <w:rsid w:val="00343013"/>
    <w:rsid w:val="003449F0"/>
    <w:rsid w:val="0037194F"/>
    <w:rsid w:val="00374435"/>
    <w:rsid w:val="00375E61"/>
    <w:rsid w:val="00377028"/>
    <w:rsid w:val="003778A4"/>
    <w:rsid w:val="00381CFA"/>
    <w:rsid w:val="00385709"/>
    <w:rsid w:val="0039195B"/>
    <w:rsid w:val="0039242C"/>
    <w:rsid w:val="003A1A26"/>
    <w:rsid w:val="003A725A"/>
    <w:rsid w:val="003C3C21"/>
    <w:rsid w:val="003C60B2"/>
    <w:rsid w:val="003C7CE4"/>
    <w:rsid w:val="003E38D2"/>
    <w:rsid w:val="003E42E8"/>
    <w:rsid w:val="003E6192"/>
    <w:rsid w:val="003F1C6A"/>
    <w:rsid w:val="003F46D3"/>
    <w:rsid w:val="003F5D02"/>
    <w:rsid w:val="003F64DC"/>
    <w:rsid w:val="004002DA"/>
    <w:rsid w:val="0040586B"/>
    <w:rsid w:val="00406DB1"/>
    <w:rsid w:val="00407B15"/>
    <w:rsid w:val="00407F71"/>
    <w:rsid w:val="00414D34"/>
    <w:rsid w:val="00430107"/>
    <w:rsid w:val="00433B15"/>
    <w:rsid w:val="00437D37"/>
    <w:rsid w:val="004400BD"/>
    <w:rsid w:val="00440640"/>
    <w:rsid w:val="004426D0"/>
    <w:rsid w:val="0045192F"/>
    <w:rsid w:val="004537E4"/>
    <w:rsid w:val="00481B99"/>
    <w:rsid w:val="00482D46"/>
    <w:rsid w:val="00487AED"/>
    <w:rsid w:val="0049000F"/>
    <w:rsid w:val="0049099C"/>
    <w:rsid w:val="00491965"/>
    <w:rsid w:val="00495272"/>
    <w:rsid w:val="00495D56"/>
    <w:rsid w:val="004A4FAC"/>
    <w:rsid w:val="004B3534"/>
    <w:rsid w:val="004C2410"/>
    <w:rsid w:val="004D0744"/>
    <w:rsid w:val="004D3509"/>
    <w:rsid w:val="004D45D6"/>
    <w:rsid w:val="004D5C6F"/>
    <w:rsid w:val="004D7A7C"/>
    <w:rsid w:val="004E770F"/>
    <w:rsid w:val="004F2C97"/>
    <w:rsid w:val="004F41D1"/>
    <w:rsid w:val="00500A9C"/>
    <w:rsid w:val="0050124D"/>
    <w:rsid w:val="00501EAC"/>
    <w:rsid w:val="00516379"/>
    <w:rsid w:val="00526164"/>
    <w:rsid w:val="00527E96"/>
    <w:rsid w:val="005335E6"/>
    <w:rsid w:val="00534552"/>
    <w:rsid w:val="00535174"/>
    <w:rsid w:val="0054307E"/>
    <w:rsid w:val="00543B17"/>
    <w:rsid w:val="00544FF4"/>
    <w:rsid w:val="00561600"/>
    <w:rsid w:val="00565B5E"/>
    <w:rsid w:val="005660DF"/>
    <w:rsid w:val="00576279"/>
    <w:rsid w:val="00577A9C"/>
    <w:rsid w:val="00577D82"/>
    <w:rsid w:val="00577E98"/>
    <w:rsid w:val="00577EBE"/>
    <w:rsid w:val="0058446F"/>
    <w:rsid w:val="00591094"/>
    <w:rsid w:val="00593269"/>
    <w:rsid w:val="005974F2"/>
    <w:rsid w:val="005A2FAF"/>
    <w:rsid w:val="005A384C"/>
    <w:rsid w:val="005A3E44"/>
    <w:rsid w:val="005B1ABA"/>
    <w:rsid w:val="005B6797"/>
    <w:rsid w:val="005D16B4"/>
    <w:rsid w:val="005D6FFE"/>
    <w:rsid w:val="005E183A"/>
    <w:rsid w:val="005E19CA"/>
    <w:rsid w:val="00601106"/>
    <w:rsid w:val="00601F9D"/>
    <w:rsid w:val="00602BEE"/>
    <w:rsid w:val="00603111"/>
    <w:rsid w:val="006066B3"/>
    <w:rsid w:val="00607178"/>
    <w:rsid w:val="00612C82"/>
    <w:rsid w:val="00613C67"/>
    <w:rsid w:val="0062344D"/>
    <w:rsid w:val="00640130"/>
    <w:rsid w:val="00644E4F"/>
    <w:rsid w:val="006468B1"/>
    <w:rsid w:val="00650BCB"/>
    <w:rsid w:val="00652829"/>
    <w:rsid w:val="00654C3A"/>
    <w:rsid w:val="006774B1"/>
    <w:rsid w:val="00685BF3"/>
    <w:rsid w:val="0069219F"/>
    <w:rsid w:val="006B4C4C"/>
    <w:rsid w:val="006B639F"/>
    <w:rsid w:val="006D52B7"/>
    <w:rsid w:val="006D595D"/>
    <w:rsid w:val="006E0828"/>
    <w:rsid w:val="006E2562"/>
    <w:rsid w:val="006F0B74"/>
    <w:rsid w:val="006F4B9D"/>
    <w:rsid w:val="006F5C06"/>
    <w:rsid w:val="006F60B8"/>
    <w:rsid w:val="00707610"/>
    <w:rsid w:val="00715492"/>
    <w:rsid w:val="00717E03"/>
    <w:rsid w:val="00723F02"/>
    <w:rsid w:val="007241CB"/>
    <w:rsid w:val="00725B7A"/>
    <w:rsid w:val="00726847"/>
    <w:rsid w:val="00727604"/>
    <w:rsid w:val="0073334D"/>
    <w:rsid w:val="00743EA1"/>
    <w:rsid w:val="00744C60"/>
    <w:rsid w:val="00750631"/>
    <w:rsid w:val="00750B21"/>
    <w:rsid w:val="00751F59"/>
    <w:rsid w:val="00754364"/>
    <w:rsid w:val="00763B49"/>
    <w:rsid w:val="00767B93"/>
    <w:rsid w:val="007706C8"/>
    <w:rsid w:val="00772B9D"/>
    <w:rsid w:val="00792ABB"/>
    <w:rsid w:val="00797FCA"/>
    <w:rsid w:val="007A3C65"/>
    <w:rsid w:val="007A3CED"/>
    <w:rsid w:val="007B4023"/>
    <w:rsid w:val="007B54A7"/>
    <w:rsid w:val="007B5794"/>
    <w:rsid w:val="007B65E2"/>
    <w:rsid w:val="007C5FBA"/>
    <w:rsid w:val="007C6E98"/>
    <w:rsid w:val="007D128C"/>
    <w:rsid w:val="007E7729"/>
    <w:rsid w:val="007F4C9A"/>
    <w:rsid w:val="007F78E1"/>
    <w:rsid w:val="0081683F"/>
    <w:rsid w:val="008247B8"/>
    <w:rsid w:val="00826DC6"/>
    <w:rsid w:val="00831342"/>
    <w:rsid w:val="00833068"/>
    <w:rsid w:val="0083612C"/>
    <w:rsid w:val="00854687"/>
    <w:rsid w:val="00854782"/>
    <w:rsid w:val="008630B2"/>
    <w:rsid w:val="0087313C"/>
    <w:rsid w:val="00874EF6"/>
    <w:rsid w:val="0088558D"/>
    <w:rsid w:val="008911FC"/>
    <w:rsid w:val="008A01EC"/>
    <w:rsid w:val="008A05AF"/>
    <w:rsid w:val="008A760F"/>
    <w:rsid w:val="008B5AFE"/>
    <w:rsid w:val="008B7695"/>
    <w:rsid w:val="008C0D14"/>
    <w:rsid w:val="008C1574"/>
    <w:rsid w:val="008D7D05"/>
    <w:rsid w:val="008E7789"/>
    <w:rsid w:val="0091721C"/>
    <w:rsid w:val="00923D2F"/>
    <w:rsid w:val="00941535"/>
    <w:rsid w:val="009453AF"/>
    <w:rsid w:val="00945CB2"/>
    <w:rsid w:val="00950651"/>
    <w:rsid w:val="00953686"/>
    <w:rsid w:val="00953B93"/>
    <w:rsid w:val="00963133"/>
    <w:rsid w:val="009631BF"/>
    <w:rsid w:val="00964F00"/>
    <w:rsid w:val="00966CE8"/>
    <w:rsid w:val="00973307"/>
    <w:rsid w:val="00990F58"/>
    <w:rsid w:val="009A09CA"/>
    <w:rsid w:val="009C0053"/>
    <w:rsid w:val="009C6976"/>
    <w:rsid w:val="009D0CEA"/>
    <w:rsid w:val="009E4001"/>
    <w:rsid w:val="009E7248"/>
    <w:rsid w:val="00A003CC"/>
    <w:rsid w:val="00A004F2"/>
    <w:rsid w:val="00A04F52"/>
    <w:rsid w:val="00A11FAE"/>
    <w:rsid w:val="00A15652"/>
    <w:rsid w:val="00A33A6C"/>
    <w:rsid w:val="00A35D9D"/>
    <w:rsid w:val="00A36197"/>
    <w:rsid w:val="00A4184F"/>
    <w:rsid w:val="00A4576A"/>
    <w:rsid w:val="00A51EC6"/>
    <w:rsid w:val="00A552B3"/>
    <w:rsid w:val="00A6304B"/>
    <w:rsid w:val="00A6657D"/>
    <w:rsid w:val="00A77AE2"/>
    <w:rsid w:val="00A85FAB"/>
    <w:rsid w:val="00AA4AF7"/>
    <w:rsid w:val="00AB1B09"/>
    <w:rsid w:val="00AB4C63"/>
    <w:rsid w:val="00AC253E"/>
    <w:rsid w:val="00AC4907"/>
    <w:rsid w:val="00AD181A"/>
    <w:rsid w:val="00AD6BC0"/>
    <w:rsid w:val="00AE6E2A"/>
    <w:rsid w:val="00AF7FB5"/>
    <w:rsid w:val="00B01CCA"/>
    <w:rsid w:val="00B0350F"/>
    <w:rsid w:val="00B12BC6"/>
    <w:rsid w:val="00B26804"/>
    <w:rsid w:val="00B36376"/>
    <w:rsid w:val="00B4655B"/>
    <w:rsid w:val="00B47975"/>
    <w:rsid w:val="00B51F71"/>
    <w:rsid w:val="00B56257"/>
    <w:rsid w:val="00B655AC"/>
    <w:rsid w:val="00B73066"/>
    <w:rsid w:val="00B7427F"/>
    <w:rsid w:val="00B83CCC"/>
    <w:rsid w:val="00B90E63"/>
    <w:rsid w:val="00B94C7E"/>
    <w:rsid w:val="00BB6E2D"/>
    <w:rsid w:val="00BC3932"/>
    <w:rsid w:val="00BD53F6"/>
    <w:rsid w:val="00BE25C5"/>
    <w:rsid w:val="00BE555F"/>
    <w:rsid w:val="00BE623D"/>
    <w:rsid w:val="00C042EA"/>
    <w:rsid w:val="00C231CD"/>
    <w:rsid w:val="00C4408D"/>
    <w:rsid w:val="00C61164"/>
    <w:rsid w:val="00C66666"/>
    <w:rsid w:val="00C668F2"/>
    <w:rsid w:val="00C741B8"/>
    <w:rsid w:val="00C771F0"/>
    <w:rsid w:val="00C92627"/>
    <w:rsid w:val="00C93488"/>
    <w:rsid w:val="00C9361A"/>
    <w:rsid w:val="00CA379B"/>
    <w:rsid w:val="00CB6AA5"/>
    <w:rsid w:val="00CC067D"/>
    <w:rsid w:val="00CD3D29"/>
    <w:rsid w:val="00CF5681"/>
    <w:rsid w:val="00CF5EF5"/>
    <w:rsid w:val="00D03606"/>
    <w:rsid w:val="00D04036"/>
    <w:rsid w:val="00D0624A"/>
    <w:rsid w:val="00D07B20"/>
    <w:rsid w:val="00D10FF4"/>
    <w:rsid w:val="00D11650"/>
    <w:rsid w:val="00D25DC3"/>
    <w:rsid w:val="00D30261"/>
    <w:rsid w:val="00D462E2"/>
    <w:rsid w:val="00D529DB"/>
    <w:rsid w:val="00D553FE"/>
    <w:rsid w:val="00D5722E"/>
    <w:rsid w:val="00D67628"/>
    <w:rsid w:val="00D71F9A"/>
    <w:rsid w:val="00D8145D"/>
    <w:rsid w:val="00D82419"/>
    <w:rsid w:val="00D948AE"/>
    <w:rsid w:val="00DB6FBC"/>
    <w:rsid w:val="00DC3C0A"/>
    <w:rsid w:val="00DC6FB4"/>
    <w:rsid w:val="00DD1439"/>
    <w:rsid w:val="00DD197C"/>
    <w:rsid w:val="00DD26BB"/>
    <w:rsid w:val="00DD40C3"/>
    <w:rsid w:val="00DD7682"/>
    <w:rsid w:val="00DE178A"/>
    <w:rsid w:val="00DE1EEE"/>
    <w:rsid w:val="00DF0F8B"/>
    <w:rsid w:val="00E0149C"/>
    <w:rsid w:val="00E03B0D"/>
    <w:rsid w:val="00E066DB"/>
    <w:rsid w:val="00E12656"/>
    <w:rsid w:val="00E12DAB"/>
    <w:rsid w:val="00E23421"/>
    <w:rsid w:val="00E26331"/>
    <w:rsid w:val="00E30803"/>
    <w:rsid w:val="00E32912"/>
    <w:rsid w:val="00E32D65"/>
    <w:rsid w:val="00E3709E"/>
    <w:rsid w:val="00E37B1C"/>
    <w:rsid w:val="00E50464"/>
    <w:rsid w:val="00E575C5"/>
    <w:rsid w:val="00E70B93"/>
    <w:rsid w:val="00E7625C"/>
    <w:rsid w:val="00E846A6"/>
    <w:rsid w:val="00E91F6C"/>
    <w:rsid w:val="00E97336"/>
    <w:rsid w:val="00EA36A9"/>
    <w:rsid w:val="00EC40B9"/>
    <w:rsid w:val="00ED0670"/>
    <w:rsid w:val="00ED3438"/>
    <w:rsid w:val="00F108B2"/>
    <w:rsid w:val="00F11F61"/>
    <w:rsid w:val="00F20A30"/>
    <w:rsid w:val="00F2435F"/>
    <w:rsid w:val="00F540D8"/>
    <w:rsid w:val="00F54122"/>
    <w:rsid w:val="00F5602B"/>
    <w:rsid w:val="00F610CD"/>
    <w:rsid w:val="00F61B2D"/>
    <w:rsid w:val="00F65DA8"/>
    <w:rsid w:val="00F67070"/>
    <w:rsid w:val="00F74401"/>
    <w:rsid w:val="00F80565"/>
    <w:rsid w:val="00F81DA8"/>
    <w:rsid w:val="00F83418"/>
    <w:rsid w:val="00F949C8"/>
    <w:rsid w:val="00F96229"/>
    <w:rsid w:val="00FA25C2"/>
    <w:rsid w:val="00FA5242"/>
    <w:rsid w:val="00FB3EBA"/>
    <w:rsid w:val="00FB5B13"/>
    <w:rsid w:val="00FB7056"/>
    <w:rsid w:val="00FC0D18"/>
    <w:rsid w:val="00FC1E27"/>
    <w:rsid w:val="00FC2465"/>
    <w:rsid w:val="00FC2B79"/>
    <w:rsid w:val="00FD5CF5"/>
    <w:rsid w:val="00FD6ACD"/>
    <w:rsid w:val="00FE0FAF"/>
    <w:rsid w:val="00FE69F2"/>
    <w:rsid w:val="00FF6B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7DD23"/>
  <w15:chartTrackingRefBased/>
  <w15:docId w15:val="{D070C260-3832-4ECF-B519-E22716487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FAC"/>
  </w:style>
  <w:style w:type="paragraph" w:styleId="Heading1">
    <w:name w:val="heading 1"/>
    <w:basedOn w:val="Normal"/>
    <w:next w:val="Normal"/>
    <w:link w:val="Heading1Char"/>
    <w:uiPriority w:val="9"/>
    <w:qFormat/>
    <w:rsid w:val="004A4FAC"/>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A4FAC"/>
    <w:pPr>
      <w:keepNext/>
      <w:keepLines/>
      <w:numPr>
        <w:ilvl w:val="1"/>
        <w:numId w:val="1"/>
      </w:numPr>
      <w:spacing w:before="360" w:after="0"/>
      <w:ind w:left="57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4A4FAC"/>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4A4FAC"/>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A4FAC"/>
    <w:pPr>
      <w:keepNext/>
      <w:keepLines/>
      <w:numPr>
        <w:ilvl w:val="4"/>
        <w:numId w:val="1"/>
      </w:numPr>
      <w:spacing w:before="200" w:after="0"/>
      <w:outlineLvl w:val="4"/>
    </w:pPr>
    <w:rPr>
      <w:rFonts w:asciiTheme="majorHAnsi" w:eastAsiaTheme="majorEastAsia" w:hAnsiTheme="majorHAnsi" w:cstheme="majorBidi"/>
      <w:color w:val="1B1D3D" w:themeColor="text2" w:themeShade="BF"/>
    </w:rPr>
  </w:style>
  <w:style w:type="paragraph" w:styleId="Heading6">
    <w:name w:val="heading 6"/>
    <w:basedOn w:val="Normal"/>
    <w:next w:val="Normal"/>
    <w:link w:val="Heading6Char"/>
    <w:uiPriority w:val="9"/>
    <w:semiHidden/>
    <w:unhideWhenUsed/>
    <w:qFormat/>
    <w:rsid w:val="004A4FAC"/>
    <w:pPr>
      <w:keepNext/>
      <w:keepLines/>
      <w:numPr>
        <w:ilvl w:val="5"/>
        <w:numId w:val="1"/>
      </w:numPr>
      <w:spacing w:before="200" w:after="0"/>
      <w:outlineLvl w:val="5"/>
    </w:pPr>
    <w:rPr>
      <w:rFonts w:asciiTheme="majorHAnsi" w:eastAsiaTheme="majorEastAsia" w:hAnsiTheme="majorHAnsi" w:cstheme="majorBidi"/>
      <w:i/>
      <w:iCs/>
      <w:color w:val="1B1D3D" w:themeColor="text2" w:themeShade="BF"/>
    </w:rPr>
  </w:style>
  <w:style w:type="paragraph" w:styleId="Heading7">
    <w:name w:val="heading 7"/>
    <w:basedOn w:val="Normal"/>
    <w:next w:val="Normal"/>
    <w:link w:val="Heading7Char"/>
    <w:uiPriority w:val="9"/>
    <w:semiHidden/>
    <w:unhideWhenUsed/>
    <w:qFormat/>
    <w:rsid w:val="004A4FA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A4FA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A4FA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FA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A4FAC"/>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4A4FAC"/>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4A4FAC"/>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A4FAC"/>
    <w:rPr>
      <w:rFonts w:asciiTheme="majorHAnsi" w:eastAsiaTheme="majorEastAsia" w:hAnsiTheme="majorHAnsi" w:cstheme="majorBidi"/>
      <w:color w:val="1B1D3D" w:themeColor="text2" w:themeShade="BF"/>
    </w:rPr>
  </w:style>
  <w:style w:type="character" w:customStyle="1" w:styleId="Heading6Char">
    <w:name w:val="Heading 6 Char"/>
    <w:basedOn w:val="DefaultParagraphFont"/>
    <w:link w:val="Heading6"/>
    <w:uiPriority w:val="9"/>
    <w:semiHidden/>
    <w:rsid w:val="004A4FAC"/>
    <w:rPr>
      <w:rFonts w:asciiTheme="majorHAnsi" w:eastAsiaTheme="majorEastAsia" w:hAnsiTheme="majorHAnsi" w:cstheme="majorBidi"/>
      <w:i/>
      <w:iCs/>
      <w:color w:val="1B1D3D" w:themeColor="text2" w:themeShade="BF"/>
    </w:rPr>
  </w:style>
  <w:style w:type="character" w:customStyle="1" w:styleId="Heading7Char">
    <w:name w:val="Heading 7 Char"/>
    <w:basedOn w:val="DefaultParagraphFont"/>
    <w:link w:val="Heading7"/>
    <w:uiPriority w:val="9"/>
    <w:semiHidden/>
    <w:rsid w:val="004A4FA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A4FA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A4FA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A4FAC"/>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A4FAC"/>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A4FAC"/>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A4FAC"/>
    <w:rPr>
      <w:color w:val="5A5A5A" w:themeColor="text1" w:themeTint="A5"/>
      <w:spacing w:val="10"/>
    </w:rPr>
  </w:style>
  <w:style w:type="paragraph" w:styleId="Quote">
    <w:name w:val="Quote"/>
    <w:basedOn w:val="Normal"/>
    <w:next w:val="Normal"/>
    <w:link w:val="QuoteChar"/>
    <w:uiPriority w:val="29"/>
    <w:qFormat/>
    <w:rsid w:val="004A4FAC"/>
    <w:pPr>
      <w:spacing w:before="160"/>
      <w:ind w:left="720" w:right="720"/>
    </w:pPr>
    <w:rPr>
      <w:i/>
      <w:iCs/>
      <w:color w:val="000000" w:themeColor="text1"/>
    </w:rPr>
  </w:style>
  <w:style w:type="character" w:customStyle="1" w:styleId="QuoteChar">
    <w:name w:val="Quote Char"/>
    <w:basedOn w:val="DefaultParagraphFont"/>
    <w:link w:val="Quote"/>
    <w:uiPriority w:val="29"/>
    <w:rsid w:val="004A4FAC"/>
    <w:rPr>
      <w:i/>
      <w:iCs/>
      <w:color w:val="000000" w:themeColor="text1"/>
    </w:rPr>
  </w:style>
  <w:style w:type="paragraph" w:styleId="ListParagraph">
    <w:name w:val="List Paragraph"/>
    <w:basedOn w:val="Normal"/>
    <w:uiPriority w:val="34"/>
    <w:qFormat/>
    <w:rsid w:val="003C60B2"/>
    <w:pPr>
      <w:ind w:left="720"/>
      <w:contextualSpacing/>
    </w:pPr>
  </w:style>
  <w:style w:type="character" w:styleId="IntenseEmphasis">
    <w:name w:val="Intense Emphasis"/>
    <w:basedOn w:val="DefaultParagraphFont"/>
    <w:uiPriority w:val="21"/>
    <w:qFormat/>
    <w:rsid w:val="004A4FAC"/>
    <w:rPr>
      <w:b/>
      <w:bCs/>
      <w:i/>
      <w:iCs/>
      <w:caps/>
    </w:rPr>
  </w:style>
  <w:style w:type="paragraph" w:styleId="IntenseQuote">
    <w:name w:val="Intense Quote"/>
    <w:basedOn w:val="Normal"/>
    <w:next w:val="Normal"/>
    <w:link w:val="IntenseQuoteChar"/>
    <w:uiPriority w:val="30"/>
    <w:qFormat/>
    <w:rsid w:val="004A4FA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A4FAC"/>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4A4FAC"/>
    <w:rPr>
      <w:b/>
      <w:bCs/>
      <w:smallCaps/>
      <w:u w:val="single"/>
    </w:rPr>
  </w:style>
  <w:style w:type="paragraph" w:styleId="TOCHeading">
    <w:name w:val="TOC Heading"/>
    <w:basedOn w:val="Heading1"/>
    <w:next w:val="Normal"/>
    <w:uiPriority w:val="39"/>
    <w:unhideWhenUsed/>
    <w:qFormat/>
    <w:rsid w:val="004A4FAC"/>
    <w:pPr>
      <w:outlineLvl w:val="9"/>
    </w:pPr>
  </w:style>
  <w:style w:type="paragraph" w:styleId="Caption">
    <w:name w:val="caption"/>
    <w:basedOn w:val="Normal"/>
    <w:next w:val="Normal"/>
    <w:uiPriority w:val="35"/>
    <w:unhideWhenUsed/>
    <w:qFormat/>
    <w:rsid w:val="004A4FAC"/>
    <w:pPr>
      <w:spacing w:after="200" w:line="240" w:lineRule="auto"/>
    </w:pPr>
    <w:rPr>
      <w:i/>
      <w:iCs/>
      <w:color w:val="242852" w:themeColor="text2"/>
      <w:sz w:val="18"/>
      <w:szCs w:val="18"/>
    </w:rPr>
  </w:style>
  <w:style w:type="character" w:styleId="Strong">
    <w:name w:val="Strong"/>
    <w:basedOn w:val="DefaultParagraphFont"/>
    <w:uiPriority w:val="22"/>
    <w:qFormat/>
    <w:rsid w:val="004A4FAC"/>
    <w:rPr>
      <w:b/>
      <w:bCs/>
      <w:color w:val="000000" w:themeColor="text1"/>
    </w:rPr>
  </w:style>
  <w:style w:type="character" w:styleId="Emphasis">
    <w:name w:val="Emphasis"/>
    <w:basedOn w:val="DefaultParagraphFont"/>
    <w:uiPriority w:val="20"/>
    <w:qFormat/>
    <w:rsid w:val="004A4FAC"/>
    <w:rPr>
      <w:i/>
      <w:iCs/>
      <w:color w:val="auto"/>
    </w:rPr>
  </w:style>
  <w:style w:type="paragraph" w:styleId="NoSpacing">
    <w:name w:val="No Spacing"/>
    <w:uiPriority w:val="1"/>
    <w:qFormat/>
    <w:rsid w:val="004A4FAC"/>
    <w:pPr>
      <w:spacing w:after="0" w:line="240" w:lineRule="auto"/>
    </w:pPr>
  </w:style>
  <w:style w:type="character" w:styleId="SubtleEmphasis">
    <w:name w:val="Subtle Emphasis"/>
    <w:basedOn w:val="DefaultParagraphFont"/>
    <w:uiPriority w:val="19"/>
    <w:qFormat/>
    <w:rsid w:val="004A4FAC"/>
    <w:rPr>
      <w:i/>
      <w:iCs/>
      <w:color w:val="404040" w:themeColor="text1" w:themeTint="BF"/>
    </w:rPr>
  </w:style>
  <w:style w:type="character" w:styleId="SubtleReference">
    <w:name w:val="Subtle Reference"/>
    <w:basedOn w:val="DefaultParagraphFont"/>
    <w:uiPriority w:val="31"/>
    <w:qFormat/>
    <w:rsid w:val="004A4FAC"/>
    <w:rPr>
      <w:smallCaps/>
      <w:color w:val="404040" w:themeColor="text1" w:themeTint="BF"/>
      <w:u w:val="single" w:color="7F7F7F" w:themeColor="text1" w:themeTint="80"/>
    </w:rPr>
  </w:style>
  <w:style w:type="character" w:styleId="BookTitle">
    <w:name w:val="Book Title"/>
    <w:basedOn w:val="DefaultParagraphFont"/>
    <w:uiPriority w:val="33"/>
    <w:qFormat/>
    <w:rsid w:val="004A4FAC"/>
    <w:rPr>
      <w:b w:val="0"/>
      <w:bCs w:val="0"/>
      <w:smallCaps/>
      <w:spacing w:val="5"/>
    </w:rPr>
  </w:style>
  <w:style w:type="character" w:styleId="Hyperlink">
    <w:name w:val="Hyperlink"/>
    <w:basedOn w:val="DefaultParagraphFont"/>
    <w:uiPriority w:val="99"/>
    <w:unhideWhenUsed/>
    <w:rsid w:val="000F230C"/>
    <w:rPr>
      <w:color w:val="9454C3" w:themeColor="hyperlink"/>
      <w:u w:val="single"/>
    </w:rPr>
  </w:style>
  <w:style w:type="character" w:styleId="UnresolvedMention">
    <w:name w:val="Unresolved Mention"/>
    <w:basedOn w:val="DefaultParagraphFont"/>
    <w:uiPriority w:val="99"/>
    <w:semiHidden/>
    <w:unhideWhenUsed/>
    <w:rsid w:val="000F230C"/>
    <w:rPr>
      <w:color w:val="605E5C"/>
      <w:shd w:val="clear" w:color="auto" w:fill="E1DFDD"/>
    </w:rPr>
  </w:style>
  <w:style w:type="paragraph" w:styleId="Header">
    <w:name w:val="header"/>
    <w:basedOn w:val="Normal"/>
    <w:link w:val="HeaderChar"/>
    <w:uiPriority w:val="99"/>
    <w:unhideWhenUsed/>
    <w:rsid w:val="006031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111"/>
  </w:style>
  <w:style w:type="paragraph" w:styleId="Footer">
    <w:name w:val="footer"/>
    <w:basedOn w:val="Normal"/>
    <w:link w:val="FooterChar"/>
    <w:uiPriority w:val="99"/>
    <w:unhideWhenUsed/>
    <w:rsid w:val="006031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111"/>
  </w:style>
  <w:style w:type="character" w:styleId="PlaceholderText">
    <w:name w:val="Placeholder Text"/>
    <w:basedOn w:val="DefaultParagraphFont"/>
    <w:uiPriority w:val="99"/>
    <w:semiHidden/>
    <w:rsid w:val="000751F6"/>
    <w:rPr>
      <w:color w:val="666666"/>
    </w:rPr>
  </w:style>
  <w:style w:type="character" w:styleId="FollowedHyperlink">
    <w:name w:val="FollowedHyperlink"/>
    <w:basedOn w:val="DefaultParagraphFont"/>
    <w:uiPriority w:val="99"/>
    <w:semiHidden/>
    <w:unhideWhenUsed/>
    <w:rsid w:val="00231EAB"/>
    <w:rPr>
      <w:color w:val="3EBBF0" w:themeColor="followedHyperlink"/>
      <w:u w:val="single"/>
    </w:rPr>
  </w:style>
  <w:style w:type="character" w:customStyle="1" w:styleId="VerbatimChar">
    <w:name w:val="Verbatim Char"/>
    <w:basedOn w:val="DefaultParagraphFont"/>
    <w:link w:val="SourceCode"/>
    <w:rsid w:val="00385709"/>
    <w:rPr>
      <w:rFonts w:ascii="Consolas" w:hAnsi="Consolas"/>
      <w:shd w:val="clear" w:color="auto" w:fill="F8F8F8"/>
    </w:rPr>
  </w:style>
  <w:style w:type="paragraph" w:customStyle="1" w:styleId="SourceCode">
    <w:name w:val="Source Code"/>
    <w:basedOn w:val="Normal"/>
    <w:link w:val="VerbatimChar"/>
    <w:rsid w:val="00385709"/>
    <w:pPr>
      <w:shd w:val="clear" w:color="auto" w:fill="F8F8F8"/>
      <w:wordWrap w:val="0"/>
      <w:spacing w:after="200" w:line="240" w:lineRule="auto"/>
    </w:pPr>
    <w:rPr>
      <w:rFonts w:ascii="Consolas" w:hAnsi="Consolas"/>
    </w:rPr>
  </w:style>
  <w:style w:type="character" w:customStyle="1" w:styleId="ConstantTok">
    <w:name w:val="ConstantTok"/>
    <w:basedOn w:val="VerbatimChar"/>
    <w:rsid w:val="00385709"/>
    <w:rPr>
      <w:rFonts w:ascii="Consolas" w:hAnsi="Consolas"/>
      <w:color w:val="8F5902"/>
      <w:shd w:val="clear" w:color="auto" w:fill="F8F8F8"/>
    </w:rPr>
  </w:style>
  <w:style w:type="character" w:customStyle="1" w:styleId="SpecialCharTok">
    <w:name w:val="SpecialCharTok"/>
    <w:basedOn w:val="VerbatimChar"/>
    <w:rsid w:val="00385709"/>
    <w:rPr>
      <w:rFonts w:ascii="Consolas" w:hAnsi="Consolas"/>
      <w:b/>
      <w:color w:val="CE5C00"/>
      <w:shd w:val="clear" w:color="auto" w:fill="F8F8F8"/>
    </w:rPr>
  </w:style>
  <w:style w:type="character" w:customStyle="1" w:styleId="StringTok">
    <w:name w:val="StringTok"/>
    <w:basedOn w:val="VerbatimChar"/>
    <w:rsid w:val="00385709"/>
    <w:rPr>
      <w:rFonts w:ascii="Consolas" w:hAnsi="Consolas"/>
      <w:color w:val="4E9A06"/>
      <w:shd w:val="clear" w:color="auto" w:fill="F8F8F8"/>
    </w:rPr>
  </w:style>
  <w:style w:type="character" w:customStyle="1" w:styleId="CommentTok">
    <w:name w:val="CommentTok"/>
    <w:basedOn w:val="VerbatimChar"/>
    <w:rsid w:val="00385709"/>
    <w:rPr>
      <w:rFonts w:ascii="Consolas" w:hAnsi="Consolas"/>
      <w:i/>
      <w:color w:val="8F5902"/>
      <w:shd w:val="clear" w:color="auto" w:fill="F8F8F8"/>
    </w:rPr>
  </w:style>
  <w:style w:type="character" w:customStyle="1" w:styleId="OtherTok">
    <w:name w:val="OtherTok"/>
    <w:basedOn w:val="VerbatimChar"/>
    <w:rsid w:val="00385709"/>
    <w:rPr>
      <w:rFonts w:ascii="Consolas" w:hAnsi="Consolas"/>
      <w:color w:val="8F5902"/>
      <w:shd w:val="clear" w:color="auto" w:fill="F8F8F8"/>
    </w:rPr>
  </w:style>
  <w:style w:type="character" w:customStyle="1" w:styleId="FunctionTok">
    <w:name w:val="FunctionTok"/>
    <w:basedOn w:val="VerbatimChar"/>
    <w:rsid w:val="00385709"/>
    <w:rPr>
      <w:rFonts w:ascii="Consolas" w:hAnsi="Consolas"/>
      <w:b/>
      <w:color w:val="204A87"/>
      <w:shd w:val="clear" w:color="auto" w:fill="F8F8F8"/>
    </w:rPr>
  </w:style>
  <w:style w:type="character" w:customStyle="1" w:styleId="AttributeTok">
    <w:name w:val="AttributeTok"/>
    <w:basedOn w:val="VerbatimChar"/>
    <w:rsid w:val="00385709"/>
    <w:rPr>
      <w:rFonts w:ascii="Consolas" w:hAnsi="Consolas"/>
      <w:color w:val="204A87"/>
      <w:shd w:val="clear" w:color="auto" w:fill="F8F8F8"/>
    </w:rPr>
  </w:style>
  <w:style w:type="character" w:customStyle="1" w:styleId="NormalTok">
    <w:name w:val="NormalTok"/>
    <w:basedOn w:val="VerbatimChar"/>
    <w:rsid w:val="00385709"/>
    <w:rPr>
      <w:rFonts w:ascii="Consolas" w:hAnsi="Consolas"/>
      <w:shd w:val="clear" w:color="auto" w:fill="F8F8F8"/>
    </w:rPr>
  </w:style>
  <w:style w:type="paragraph" w:customStyle="1" w:styleId="FirstParagraph">
    <w:name w:val="First Paragraph"/>
    <w:basedOn w:val="BodyText"/>
    <w:next w:val="BodyText"/>
    <w:qFormat/>
    <w:rsid w:val="007B65E2"/>
    <w:pPr>
      <w:spacing w:before="180" w:after="180" w:line="240" w:lineRule="auto"/>
    </w:pPr>
    <w:rPr>
      <w:rFonts w:eastAsiaTheme="minorHAnsi"/>
      <w:sz w:val="24"/>
      <w:szCs w:val="24"/>
      <w:lang w:val="en-US"/>
    </w:rPr>
  </w:style>
  <w:style w:type="character" w:customStyle="1" w:styleId="DecValTok">
    <w:name w:val="DecValTok"/>
    <w:basedOn w:val="VerbatimChar"/>
    <w:rsid w:val="007B65E2"/>
    <w:rPr>
      <w:rFonts w:ascii="Consolas" w:hAnsi="Consolas"/>
      <w:color w:val="0000CF"/>
      <w:sz w:val="22"/>
      <w:shd w:val="clear" w:color="auto" w:fill="F8F8F8"/>
    </w:rPr>
  </w:style>
  <w:style w:type="character" w:customStyle="1" w:styleId="FloatTok">
    <w:name w:val="FloatTok"/>
    <w:basedOn w:val="VerbatimChar"/>
    <w:rsid w:val="007B65E2"/>
    <w:rPr>
      <w:rFonts w:ascii="Consolas" w:hAnsi="Consolas"/>
      <w:color w:val="0000CF"/>
      <w:sz w:val="22"/>
      <w:shd w:val="clear" w:color="auto" w:fill="F8F8F8"/>
    </w:rPr>
  </w:style>
  <w:style w:type="character" w:customStyle="1" w:styleId="ControlFlowTok">
    <w:name w:val="ControlFlowTok"/>
    <w:basedOn w:val="VerbatimChar"/>
    <w:rsid w:val="007B65E2"/>
    <w:rPr>
      <w:rFonts w:ascii="Consolas" w:hAnsi="Consolas"/>
      <w:b/>
      <w:color w:val="204A87"/>
      <w:sz w:val="22"/>
      <w:shd w:val="clear" w:color="auto" w:fill="F8F8F8"/>
    </w:rPr>
  </w:style>
  <w:style w:type="paragraph" w:styleId="BodyText">
    <w:name w:val="Body Text"/>
    <w:basedOn w:val="Normal"/>
    <w:link w:val="BodyTextChar"/>
    <w:uiPriority w:val="99"/>
    <w:semiHidden/>
    <w:unhideWhenUsed/>
    <w:rsid w:val="007B65E2"/>
    <w:pPr>
      <w:spacing w:after="120"/>
    </w:pPr>
  </w:style>
  <w:style w:type="character" w:customStyle="1" w:styleId="BodyTextChar">
    <w:name w:val="Body Text Char"/>
    <w:basedOn w:val="DefaultParagraphFont"/>
    <w:link w:val="BodyText"/>
    <w:uiPriority w:val="99"/>
    <w:semiHidden/>
    <w:rsid w:val="007B65E2"/>
  </w:style>
  <w:style w:type="paragraph" w:styleId="NormalWeb">
    <w:name w:val="Normal (Web)"/>
    <w:basedOn w:val="Normal"/>
    <w:uiPriority w:val="99"/>
    <w:semiHidden/>
    <w:unhideWhenUsed/>
    <w:rsid w:val="00772B9D"/>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176316">
      <w:bodyDiv w:val="1"/>
      <w:marLeft w:val="0"/>
      <w:marRight w:val="0"/>
      <w:marTop w:val="0"/>
      <w:marBottom w:val="0"/>
      <w:divBdr>
        <w:top w:val="none" w:sz="0" w:space="0" w:color="auto"/>
        <w:left w:val="none" w:sz="0" w:space="0" w:color="auto"/>
        <w:bottom w:val="none" w:sz="0" w:space="0" w:color="auto"/>
        <w:right w:val="none" w:sz="0" w:space="0" w:color="auto"/>
      </w:divBdr>
      <w:divsChild>
        <w:div w:id="489760960">
          <w:marLeft w:val="-720"/>
          <w:marRight w:val="0"/>
          <w:marTop w:val="0"/>
          <w:marBottom w:val="0"/>
          <w:divBdr>
            <w:top w:val="none" w:sz="0" w:space="0" w:color="auto"/>
            <w:left w:val="none" w:sz="0" w:space="0" w:color="auto"/>
            <w:bottom w:val="none" w:sz="0" w:space="0" w:color="auto"/>
            <w:right w:val="none" w:sz="0" w:space="0" w:color="auto"/>
          </w:divBdr>
        </w:div>
      </w:divsChild>
    </w:div>
    <w:div w:id="201159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open.canada.ca/data/en/dataset/2cdf43fc-d4aa-4604-9f21-29777d955810/resource/b751e0dc-1a00-417a-9f04-b4777adb521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3257B652364C90AE351EB9940BBED6"/>
        <w:category>
          <w:name w:val="General"/>
          <w:gallery w:val="placeholder"/>
        </w:category>
        <w:types>
          <w:type w:val="bbPlcHdr"/>
        </w:types>
        <w:behaviors>
          <w:behavior w:val="content"/>
        </w:behaviors>
        <w:guid w:val="{B2C11DCD-C2F0-4106-9E4C-287953A5571C}"/>
      </w:docPartPr>
      <w:docPartBody>
        <w:p w:rsidR="00380085" w:rsidRDefault="005D179A">
          <w:r w:rsidRPr="00263A5B">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79A"/>
    <w:rsid w:val="00125FBC"/>
    <w:rsid w:val="00246336"/>
    <w:rsid w:val="00380085"/>
    <w:rsid w:val="005158C6"/>
    <w:rsid w:val="005D179A"/>
    <w:rsid w:val="00815204"/>
    <w:rsid w:val="00C042EA"/>
    <w:rsid w:val="00C453B9"/>
    <w:rsid w:val="00D07B20"/>
    <w:rsid w:val="00DD197C"/>
    <w:rsid w:val="00E54FE9"/>
    <w:rsid w:val="00EB3E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9A"/>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179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rganic">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E79BC0D-5FF3-460A-9B89-E09CFD04F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2000</TotalTime>
  <Pages>7</Pages>
  <Words>1114</Words>
  <Characters>6355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Rianna Sundlie</dc:creator>
  <cp:keywords/>
  <dc:description/>
  <cp:lastModifiedBy>Rianna Sundlie</cp:lastModifiedBy>
  <cp:revision>421</cp:revision>
  <cp:lastPrinted>2026-06-22T20:02:00Z</cp:lastPrinted>
  <dcterms:created xsi:type="dcterms:W3CDTF">2025-03-23T19:31:00Z</dcterms:created>
  <dcterms:modified xsi:type="dcterms:W3CDTF">2026-06-22T20:13:00Z</dcterms:modified>
</cp:coreProperties>
</file>