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F5D8A" w:sz="12" w:space="6"/>
        </w:pBdr>
        <w:spacing w:after="140" w:before="260"/>
      </w:pPr>
      <w:r>
        <w:rPr>
          <w:rFonts w:ascii="Calibri" w:cs="Calibri" w:eastAsia="Calibri" w:hAnsi="Calibri"/>
          <w:b/>
          <w:bCs/>
          <w:color w:val="1F2A44"/>
          <w:sz w:val="30"/>
          <w:szCs w:val="30"/>
        </w:rPr>
        <w:t xml:space="preserve">Cheat Sheet — Frontier Tech &amp; Regulatory Innovation</w:t>
      </w:r>
    </w:p>
    <w:p>
      <w:pPr>
        <w:spacing w:after="2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The thesis (open or close with this)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In the Intelligent Age, regulation is a strategic lever, not just a brake — its agility and quality shape a country’s competitiveness. My job is the connective tissue between where technology is going and how it gets governed: agile enough to keep pace, credible enough to adopt, practical enough to replicate across borders.</w:t>
            </w:r>
          </w:p>
        </w:tc>
      </w:tr>
    </w:tbl>
    <w:p>
      <w:pPr>
        <w:spacing w:after="8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Five must-knows about the role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GRIP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Global Regulatory Innovation Platform; WEF + UAE, launched July 2025; 2-yr roadmap. Three deliverables: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Global Regulatory Playbook · Regulatory Future Readiness Index · Global Regulatory Innovation Hub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(sandbox). Initial focus: AI, health, digital finance.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Your role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build a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new cross-cutting workstream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taking GRIP’s model upstream into frontier domains; report to Head of Digital Inclusion; partner CFTI, Cyber, AI Centres. Temp to May 2027, Geneva.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CFTI / C4IR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Centre for Frontier Technologies; global network of government-hosted centres (US, Germany, KSA, Japan, India, + Abu Dhabi frontier-tech centre 2026). Your delivery + pilot vehicle.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The Forum has no rule-making power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impact = convening, communities, knowledge products, initiatives. You build conditions for better rules, not the rules.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You are the translator, not the deepest scientist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expert in the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craft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(regulatory innovation), fast and honest across the science.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The craft — say these precisely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Pacing problem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(tech exponential, law incremental) ·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Collingridge dilemma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(easy to shape early / hard to predict; hard to change late) ·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precaution vs permissionless innovation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Five agile principles: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adaptive · outcome-based · risk-based · collaborative · sandboxes. Plus experimental, data-driven, self/co-regulation, international cooperation.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Anticipatory governance = foresight → experimentation → learning.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Mechanisms: sandboxes, sunset clauses, mandatory review, RIA, living guidance.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Soft law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(standards, codes, principles) = the on-ramp to hard law, not the absence of it.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RegTech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(comply) vs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SupTech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(supervise).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Sandbox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controlled, time-limited test with real users, relaxed rules + safeguards. UK FCA 2016; 50+ jurisdictions; EU AI Act mandates national sandboxes by 2026. Always pair with a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codification plan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Five domains — the one-line dilemma each</w:t>
      </w:r>
    </w:p>
    <w:tbl>
      <w:tblPr>
        <w:tblW w:type="dxa" w:w="10360"/>
        <w:tblBorders>
          <w:top w:val="single" w:color="C9D3E0" w:sz="2"/>
          <w:left w:val="none"/>
          <w:bottom w:val="single" w:color="C9D3E0" w:sz="2"/>
          <w:right w:val="none"/>
          <w:insideH w:val="single" w:color="C9D3E0" w:sz="2"/>
          <w:insideV w:val="single" w:color="C9D3E0" w:sz="2"/>
        </w:tblBorders>
      </w:tblPr>
      <w:tblGrid>
        <w:gridCol w:w="1900"/>
        <w:gridCol w:w="5300"/>
        <w:gridCol w:w="3160"/>
      </w:tblGrid>
      <w:tr>
        <w:trPr>
          <w:tblHeader/>
        </w:trPr>
        <w:tc>
          <w:tcPr>
            <w:tcW w:type="dxa" w:w="19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53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governance dilemma</w:t>
            </w:r>
          </w:p>
        </w:tc>
        <w:tc>
          <w:tcPr>
            <w:tcW w:type="dxa" w:w="316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Anchor fact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AI / GPAI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Regulate a general-purpose tech whose risks are emergent and unpredictable — model-level vs use-level.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EU AI Act (risk tiers); GPAI + systemic-risk duties; GPAI Code of Practice 2025.</w:t>
            </w:r>
          </w:p>
        </w:tc>
      </w:tr>
      <w:tr>
        <w:tc>
          <w:tcPr>
            <w:tcW w:type="dxa" w:w="19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Quantum</w:t>
            </w:r>
          </w:p>
        </w:tc>
        <w:tc>
          <w:tcPr>
            <w:tcW w:type="dxa" w:w="53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Govern a future, cryptographic risk now; dual-use, geopolitical supply chain.</w:t>
            </w:r>
          </w:p>
        </w:tc>
        <w:tc>
          <w:tcPr>
            <w:tcW w:type="dxa" w:w="31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‘Harvest now, decrypt later’; NIST PQC standards 2024 (ML-KEM/ML-DSA/SLH-DSA).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Biotech / synbio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Capture benefits while preventing catastrophic dual-use misuse; capability outside reach.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AI-bio convergence outpaces DNA-synthesis screening; BWC has no verification.</w:t>
            </w:r>
          </w:p>
        </w:tc>
      </w:tr>
      <w:tr>
        <w:tc>
          <w:tcPr>
            <w:tcW w:type="dxa" w:w="19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Robotics / AV</w:t>
            </w:r>
          </w:p>
        </w:tc>
        <w:tc>
          <w:tcPr>
            <w:tcW w:type="dxa" w:w="53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Who’s liable when an autonomous, learning system harms — and how to certify it.</w:t>
            </w:r>
          </w:p>
        </w:tc>
        <w:tc>
          <w:tcPr>
            <w:tcW w:type="dxa" w:w="31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UNECE ADS reg 2026 (safety case); EU Machinery + Product Liability; SAE 0–5.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Planetary systems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Govern global commons (space; climate SRM) where national rules don’t reach.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Outer Space Treaty 1967; SRM Non-Use Agreement / CBD moratorium.</w:t>
            </w:r>
          </w:p>
        </w:tc>
      </w:tr>
    </w:tbl>
    <w:p>
      <w:pPr>
        <w:spacing w:after="8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Three rulebooks + the Brussels effect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EU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rights + risk, precautionary, comprehensive (AI Act, GDPR).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US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market-led, sectoral, light-touch (EOs, NIST).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China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state-directed, vertical (algorithm/GenAI rules, CAC).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UK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principles-based, pro-innovation, sector regulators.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Brussels effect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(Bradford): EU rules go global via market access —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real but weakening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as US/China pursue rival models. The prize isn’t harmonised law but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interoperability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(compatible in effect).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Fragmentation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raises cost, entrenches incumbents, enables forum-shopping.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Small yard, high fence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targeted export controls.</w:t>
      </w:r>
    </w:p>
    <w:p>
      <w:r>
        <w:br w:type="page"/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Reusable case frameworks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Sandbox design — O-SEE-C: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Objective &amp; success measures · Scope/eligibility · Exemptions · safEguards · Codification plan.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Divergence — interoperability ladder: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shared terminology → standards/metrics → mutual recognition → minimum baselines → (rarely) harmonised law. Aim as high as politics allows.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Crisis — C-TAP: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Convene fast · Target the true failure point · Absorb the responsible majority into the fix · Persist into durable rules. (Neither paralysis nor overreaction.)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Build from zero — 100 days: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Listen &amp; map (1–30) → Focus &amp; frame on 2–3 beachheads (31–60) → Prove with one convening + one product (61–100). Evidence before scale.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Prioritise domains: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gap severity · right to convene · partner readiness · replicability.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Measuring impact (avoid vanity metrics)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Adoption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regulators take it up?) →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Outcome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a real decision change?) →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System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readiness/interoperability improve?). Define at design time; report honestly.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Power phrases — drop these verbatim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“When capability outruns evaluation science, you regulate the trajectory, not a snapshot.”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“A sandbox without a codification plan is a press release — the point is the learning loop.”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“Soft law isn’t the absence of regulation; it’s the on-ramp to it, and often the only thing fast enough.”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“We don’t make the rules — we build the conditions in which better rules get made and adopted.”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 a matrix you don’t win by owning turf; you win by making everyone else’s work more usable.”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“You don’t export rules — you export methods; the regulatory patterns rhyme even when the science doesn’t.”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“Some frontiers aren’t a speed problem — they’re a legitimacy problem, and you don’t innovate around legitimacy.”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“Inclusion is a design constraint, not a courtesy — rules built by the few fail on legitimacy and substance.”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 don’t bet on being right — I build instruments that let us be wrong safely and correct fast.”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Handling the two hardest challenges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“Multistakeholderism = corporations writing their own rules.”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Acknowledge it; it’s a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complement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to democracy/multilateralism, not a replacement; legitimacy earned via inclusion (Global South, civil society), transparency, and government adoption through accountable processes.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“The Forum can’t legislate, so what’s the point?”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Convening is the comparative advantage precisely where formal authority is fragmented; the missing ingredient isn’t law, it’s trusted alignment before positions harden + adoptable instruments.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Reports to name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Agile Governance: Reimagining Policy-making in the 4IR · Agile Regulation for the 4IR — Toolkit for Regulators (2020, the five principles) · Global Technology Governance Report (2021) · The Regulatory Frontier / GRIP (2025) · Global Risks Report · Future of Jobs Report.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Last-minute confidence check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Can I (1) state the thesis; (2) name GRIP’s three deliverables; (3) give each domain’s dilemma in a sentence; (4) define a sandbox and its limits; (5) name the five agile principles; (6) run O-SEE-C, the interoperability ladder and my 100-day plan; (7) handle the multistakeholder-legitimacy challenge without getting defensive? If yes to all seven, I’m ready.</w:t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76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6"/>
      </w:pBdr>
      <w:tabs>
        <w:tab w:val="right" w:pos="9360"/>
      </w:tabs>
    </w:pPr>
    <w:r>
      <w:rPr>
        <w:rFonts w:ascii="Calibri" w:cs="Calibri" w:eastAsia="Calibri" w:hAnsi="Calibri"/>
        <w:color w:val="55606E"/>
        <w:sz w:val="15"/>
        <w:szCs w:val="15"/>
      </w:rPr>
      <w:t xml:space="preserve">Cheat Sheet — Frontier Tech &amp; Regulatory Innovation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55606E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GRIP Interview — Cheat Sheet</dc:title>
  <dc:creator>Interview Preparation</dc:creator>
  <cp:lastModifiedBy>Un-named</cp:lastModifiedBy>
  <cp:revision>1</cp:revision>
  <dcterms:created xsi:type="dcterms:W3CDTF">2026-09-01T16:19:21.234Z</dcterms:created>
  <dcterms:modified xsi:type="dcterms:W3CDTF">2026-09-01T16:19:21.234Z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