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Calibri" w:cs="Calibri" w:eastAsia="Calibri" w:hAnsi="Calibri"/>
          <w:b/>
          <w:bCs/>
          <w:color w:val="2F5D8A"/>
          <w:spacing w:val="60"/>
          <w:sz w:val="24"/>
          <w:szCs w:val="24"/>
        </w:rPr>
        <w:t xml:space="preserve">INTERVIEW PREPARATION DOSSIER</w:t>
      </w:r>
    </w:p>
    <w:p>
      <w:pPr>
        <w:pBdr>
          <w:bottom w:val="single" w:color="2F5D8A" w:sz="14" w:space="10"/>
        </w:pBdr>
        <w:spacing w:after="0" w:before="40"/>
      </w:pPr>
    </w:p>
    <w:p>
      <w:pPr>
        <w:spacing w:after="0" w:before="300"/>
      </w:pPr>
      <w:r>
        <w:rPr>
          <w:rFonts w:ascii="Calibri" w:cs="Calibri" w:eastAsia="Calibri" w:hAnsi="Calibri"/>
          <w:b/>
          <w:bCs/>
          <w:color w:val="1F2A44"/>
          <w:sz w:val="60"/>
          <w:szCs w:val="60"/>
        </w:rPr>
        <w:t xml:space="preserve">Frontier Technology &amp;</w:t>
      </w:r>
    </w:p>
    <w:p>
      <w:pPr>
        <w:spacing w:after="240" w:before="0"/>
      </w:pPr>
      <w:r>
        <w:rPr>
          <w:rFonts w:ascii="Calibri" w:cs="Calibri" w:eastAsia="Calibri" w:hAnsi="Calibri"/>
          <w:b/>
          <w:bCs/>
          <w:color w:val="1F2A44"/>
          <w:sz w:val="60"/>
          <w:szCs w:val="60"/>
        </w:rPr>
        <w:t xml:space="preserve">Regulatory Innovation</w:t>
      </w:r>
    </w:p>
    <w:p>
      <w:pPr>
        <w:spacing w:after="120"/>
      </w:pPr>
      <w:r>
        <w:rPr>
          <w:rFonts w:ascii="Georgia" w:cs="Georgia" w:eastAsia="Georgia" w:hAnsi="Georgia"/>
          <w:i/>
          <w:iCs/>
          <w:color w:val="55606E"/>
          <w:sz w:val="24"/>
          <w:szCs w:val="24"/>
        </w:rPr>
        <w:t xml:space="preserve">A field-expert briefing for the role of</w:t>
      </w:r>
    </w:p>
    <w:p>
      <w:pPr>
        <w:spacing w:after="40"/>
      </w:pPr>
      <w:r>
        <w:rPr>
          <w:rFonts w:ascii="Calibri" w:cs="Calibri" w:eastAsia="Calibri" w:hAnsi="Calibri"/>
          <w:b/>
          <w:bCs/>
          <w:color w:val="1F2A44"/>
          <w:sz w:val="26"/>
          <w:szCs w:val="26"/>
        </w:rPr>
        <w:t xml:space="preserve">Policy Lead, Global Regulatory Innovation Platform (GRIP)</w:t>
      </w:r>
    </w:p>
    <w:p>
      <w:pPr>
        <w:spacing w:after="500"/>
      </w:pPr>
      <w:r>
        <w:rPr>
          <w:rFonts w:ascii="Georgia" w:cs="Georgia" w:eastAsia="Georgia" w:hAnsi="Georgia"/>
          <w:color w:val="55606E"/>
          <w:sz w:val="21"/>
          <w:szCs w:val="21"/>
        </w:rPr>
        <w:t xml:space="preserve">Centre for Frontier Technologies and Innovation · World Economic Forum · Geneva</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color w:val="1F2A44"/>
                <w:sz w:val="20"/>
                <w:szCs w:val="20"/>
              </w:rPr>
              <w:t xml:space="preserve">Purpose: to equip an adjacent-but-fast-learning candidate to hold a substantive conversation with a senior expert panel — including management-consulting-style case questions — across the regulatory-innovation craft, five frontier-technology domains, the Forum’s operating model, and the global governance landscape.</w:t>
            </w:r>
          </w:p>
        </w:tc>
      </w:tr>
    </w:tbl>
    <w:p>
      <w:pPr>
        <w:spacing w:before="700"/>
      </w:pPr>
      <w:r>
        <w:rPr>
          <w:rFonts w:ascii="Calibri" w:cs="Calibri" w:eastAsia="Calibri" w:hAnsi="Calibri"/>
          <w:color w:val="55606E"/>
          <w:sz w:val="18"/>
          <w:szCs w:val="18"/>
        </w:rPr>
        <w:t xml:space="preserve">Prepared September 2026 · Confidential study document</w:t>
      </w:r>
    </w:p>
    <w:p>
      <w:r>
        <w:br w:type="page"/>
      </w:r>
    </w:p>
    <w:p>
      <w:pPr>
        <w:spacing w:after="160"/>
      </w:pPr>
      <w:r>
        <w:rPr>
          <w:rFonts w:ascii="Calibri" w:cs="Calibri" w:eastAsia="Calibri" w:hAnsi="Calibri"/>
          <w:b/>
          <w:bCs/>
          <w:color w:val="1F2A44"/>
          <w:sz w:val="34"/>
          <w:szCs w:val="34"/>
        </w:rPr>
        <w:t xml:space="preserve">Contents</w:t>
      </w:r>
    </w:p>
    <w:sdt>
      <w:sdtPr>
        <w:alias w:val="Contents"/>
      </w:sdtPr>
      <w:sdtContent>
        <w:p>
          <w:r>
            <w:fldChar w:fldCharType="begin" w:dirty="true"/>
            <w:instrText xml:space="preserve">TOC \h \o "1-2"</w:instrText>
            <w:fldChar w:fldCharType="separate"/>
          </w:r>
        </w:p>
        <w:p>
          <w:r>
            <w:fldChar w:fldCharType="end"/>
          </w:r>
        </w:p>
      </w:sdtContent>
    </w:sdt>
    <w:p>
      <w:pPr>
        <w:spacing w:before="200"/>
      </w:pPr>
      <w:r>
        <w:rPr>
          <w:rFonts w:ascii="Georgia" w:cs="Georgia" w:eastAsia="Georgia" w:hAnsi="Georgia"/>
          <w:i/>
          <w:iCs/>
          <w:color w:val="55606E"/>
          <w:sz w:val="16"/>
          <w:szCs w:val="16"/>
        </w:rPr>
        <w:t xml:space="preserve">Note: in Word, right-click the contents and choose “Update Field” to populate page numbers.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0 · How to Use This Dossier</w:t>
      </w:r>
    </w:p>
    <w:p>
      <w:pPr>
        <w:spacing w:after="200" w:line="288"/>
      </w:pPr>
      <w:r>
        <w:rPr>
          <w:rFonts w:ascii="Georgia" w:cs="Georgia" w:eastAsia="Georgia" w:hAnsi="Georgia"/>
          <w:i/>
          <w:iCs/>
          <w:color w:val="55606E"/>
          <w:sz w:val="22"/>
          <w:szCs w:val="22"/>
        </w:rPr>
        <w:t xml:space="preserve">This is a cram-and-command document. It is built so you can go from “adjacent” to “sounds like one of us” in front of a senior World Economic Forum panel — including under management-consulting-style case pressure.</w:t>
      </w:r>
    </w:p>
    <w:p>
      <w:pPr>
        <w:spacing w:after="140" w:line="276"/>
        <w:jc w:val="both"/>
      </w:pPr>
      <w:r>
        <w:rPr>
          <w:rFonts w:ascii="Georgia" w:cs="Georgia" w:eastAsia="Georgia" w:hAnsi="Georgia"/>
          <w:color w:val="1A1A1A"/>
          <w:sz w:val="21"/>
          <w:szCs w:val="21"/>
        </w:rPr>
        <w:t xml:space="preserve">Read it in three passes, matched to how much time you have before the interview:</w:t>
      </w:r>
    </w:p>
    <w:p>
      <w:pPr>
        <w:pStyle w:val="ListParagraph"/>
        <w:numPr>
          <w:ilvl w:val="0"/>
          <w:numId w:val="1"/>
        </w:numPr>
        <w:spacing w:after="70" w:line="268"/>
      </w:pPr>
      <w:r>
        <w:rPr>
          <w:rFonts w:ascii="Georgia" w:cs="Georgia" w:eastAsia="Georgia" w:hAnsi="Georgia"/>
          <w:b/>
          <w:bCs/>
          <w:color w:val="1A1A1A"/>
          <w:sz w:val="21"/>
          <w:szCs w:val="21"/>
        </w:rPr>
        <w:t xml:space="preserve">Pass 1 — the Cheat Sheet (separate file).</w:t>
      </w:r>
      <w:r>
        <w:rPr>
          <w:rFonts w:ascii="Georgia" w:cs="Georgia" w:eastAsia="Georgia" w:hAnsi="Georgia"/>
          <w:color w:val="1A1A1A"/>
          <w:sz w:val="21"/>
          <w:szCs w:val="21"/>
        </w:rPr>
        <w:t xml:space="preserve"> Two pages: the vocabulary, the frameworks, the numbers, the power phrases, and the ten questions you must not fumble. Read it last, the morning of.</w:t>
      </w:r>
    </w:p>
    <w:p>
      <w:pPr>
        <w:pStyle w:val="ListParagraph"/>
        <w:numPr>
          <w:ilvl w:val="0"/>
          <w:numId w:val="1"/>
        </w:numPr>
        <w:spacing w:after="70" w:line="268"/>
      </w:pPr>
      <w:r>
        <w:rPr>
          <w:rFonts w:ascii="Georgia" w:cs="Georgia" w:eastAsia="Georgia" w:hAnsi="Georgia"/>
          <w:b/>
          <w:bCs/>
          <w:color w:val="1A1A1A"/>
          <w:sz w:val="21"/>
          <w:szCs w:val="21"/>
        </w:rPr>
        <w:t xml:space="preserve">Pass 2 — Sections 6 and 7 (Q&amp;A and cases).</w:t>
      </w:r>
      <w:r>
        <w:rPr>
          <w:rFonts w:ascii="Georgia" w:cs="Georgia" w:eastAsia="Georgia" w:hAnsi="Georgia"/>
          <w:color w:val="1A1A1A"/>
          <w:sz w:val="21"/>
          <w:szCs w:val="21"/>
        </w:rPr>
        <w:t xml:space="preserve"> This is where you rehearse </w:t>
      </w:r>
      <w:r>
        <w:rPr>
          <w:rFonts w:ascii="Georgia" w:cs="Georgia" w:eastAsia="Georgia" w:hAnsi="Georgia"/>
          <w:i/>
          <w:iCs/>
          <w:color w:val="1A1A1A"/>
          <w:sz w:val="21"/>
          <w:szCs w:val="21"/>
        </w:rPr>
        <w:t xml:space="preserve">out loud</w:t>
      </w:r>
      <w:r>
        <w:rPr>
          <w:rFonts w:ascii="Georgia" w:cs="Georgia" w:eastAsia="Georgia" w:hAnsi="Georgia"/>
          <w:color w:val="1A1A1A"/>
          <w:sz w:val="21"/>
          <w:szCs w:val="21"/>
        </w:rPr>
        <w:t xml:space="preserve">. Every answer models the structure, altitude and vocabulary a panelist expects. Practise delivering the “signal phrase” in each — the compressed line that tells an expert you actually understand the field.</w:t>
      </w:r>
    </w:p>
    <w:p>
      <w:pPr>
        <w:pStyle w:val="ListParagraph"/>
        <w:numPr>
          <w:ilvl w:val="0"/>
          <w:numId w:val="1"/>
        </w:numPr>
        <w:spacing w:after="70" w:line="268"/>
      </w:pPr>
      <w:r>
        <w:rPr>
          <w:rFonts w:ascii="Georgia" w:cs="Georgia" w:eastAsia="Georgia" w:hAnsi="Georgia"/>
          <w:b/>
          <w:bCs/>
          <w:color w:val="1A1A1A"/>
          <w:sz w:val="21"/>
          <w:szCs w:val="21"/>
        </w:rPr>
        <w:t xml:space="preserve">Pass 3 — Sections 1–5 (the knowledge base).</w:t>
      </w:r>
      <w:r>
        <w:rPr>
          <w:rFonts w:ascii="Georgia" w:cs="Georgia" w:eastAsia="Georgia" w:hAnsi="Georgia"/>
          <w:color w:val="1A1A1A"/>
          <w:sz w:val="21"/>
          <w:szCs w:val="21"/>
        </w:rPr>
        <w:t xml:space="preserve"> The regulatory-innovation craft (§2), the five frontier domains (§3), the WEF operating model (§4), and the global landscape (§5). This is the reservoir the Q&amp;A draws on. Read it once for understanding, not memorisation.</w:t>
      </w:r>
    </w:p>
    <w:p>
      <w:pPr>
        <w:pStyle w:val="Heading2"/>
        <w:spacing w:after="100" w:before="220"/>
      </w:pPr>
      <w:r>
        <w:rPr>
          <w:rFonts w:ascii="Calibri" w:cs="Calibri" w:eastAsia="Calibri" w:hAnsi="Calibri"/>
          <w:b/>
          <w:bCs/>
          <w:color w:val="2F5D8A"/>
          <w:sz w:val="25"/>
          <w:szCs w:val="25"/>
        </w:rPr>
        <w:t xml:space="preserve">The role in one breath</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color w:val="1F2A44"/>
                <w:sz w:val="20"/>
                <w:szCs w:val="20"/>
              </w:rPr>
              <w:t xml:space="preserve">You would build and lead a </w:t>
            </w:r>
            <w:r>
              <w:rPr>
                <w:rFonts w:ascii="Georgia" w:cs="Georgia" w:eastAsia="Georgia" w:hAnsi="Georgia"/>
                <w:b/>
                <w:bCs/>
                <w:color w:val="1F2A44"/>
                <w:sz w:val="20"/>
                <w:szCs w:val="20"/>
              </w:rPr>
              <w:t xml:space="preserve">new cross-cutting workstream</w:t>
            </w:r>
            <w:r>
              <w:rPr>
                <w:rFonts w:ascii="Georgia" w:cs="Georgia" w:eastAsia="Georgia" w:hAnsi="Georgia"/>
                <w:color w:val="1F2A44"/>
                <w:sz w:val="20"/>
                <w:szCs w:val="20"/>
              </w:rPr>
              <w:t xml:space="preserve"> inside the Forum’s </w:t>
            </w:r>
            <w:r>
              <w:rPr>
                <w:rFonts w:ascii="Georgia" w:cs="Georgia" w:eastAsia="Georgia" w:hAnsi="Georgia"/>
                <w:b/>
                <w:bCs/>
                <w:color w:val="1F2A44"/>
                <w:sz w:val="20"/>
                <w:szCs w:val="20"/>
              </w:rPr>
              <w:t xml:space="preserve">Global Regulatory Innovation Platform (GRIP)</w:t>
            </w:r>
            <w:r>
              <w:rPr>
                <w:rFonts w:ascii="Georgia" w:cs="Georgia" w:eastAsia="Georgia" w:hAnsi="Georgia"/>
                <w:color w:val="1F2A44"/>
                <w:sz w:val="20"/>
                <w:szCs w:val="20"/>
              </w:rPr>
              <w:t xml:space="preserve"> that invents better </w:t>
            </w:r>
            <w:r>
              <w:rPr>
                <w:rFonts w:ascii="Georgia" w:cs="Georgia" w:eastAsia="Georgia" w:hAnsi="Georgia"/>
                <w:i/>
                <w:iCs/>
                <w:color w:val="1F2A44"/>
                <w:sz w:val="20"/>
                <w:szCs w:val="20"/>
              </w:rPr>
              <w:t xml:space="preserve">ways to regulate</w:t>
            </w:r>
            <w:r>
              <w:rPr>
                <w:rFonts w:ascii="Georgia" w:cs="Georgia" w:eastAsia="Georgia" w:hAnsi="Georgia"/>
                <w:color w:val="1F2A44"/>
                <w:sz w:val="20"/>
                <w:szCs w:val="20"/>
              </w:rPr>
              <w:t xml:space="preserve"> frontier technologies — quantum, autonomous mobility and robotics, biotechnology, planetary systems, and whatever comes next — and turns multistakeholder dialogue into regulation and governance that actually ships. You are not a regulator. You are the person who designs the model, convenes the ecosystem, produces the knowledge products, and makes “responsible innovation” operational across jurisdictions.</w:t>
            </w:r>
          </w:p>
        </w:tc>
      </w:tr>
    </w:tbl>
    <w:p>
      <w:pPr>
        <w:spacing w:after="80"/>
      </w:pPr>
    </w:p>
    <w:p>
      <w:pPr>
        <w:pStyle w:val="Heading2"/>
        <w:spacing w:after="100" w:before="220"/>
      </w:pPr>
      <w:r>
        <w:rPr>
          <w:rFonts w:ascii="Calibri" w:cs="Calibri" w:eastAsia="Calibri" w:hAnsi="Calibri"/>
          <w:b/>
          <w:bCs/>
          <w:color w:val="2F5D8A"/>
          <w:sz w:val="25"/>
          <w:szCs w:val="25"/>
        </w:rPr>
        <w:t xml:space="preserve">If you remember nothing else — ten anchors</w:t>
      </w:r>
    </w:p>
    <w:p>
      <w:pPr>
        <w:pStyle w:val="ListParagraph"/>
        <w:numPr>
          <w:ilvl w:val="0"/>
          <w:numId w:val="2"/>
        </w:numPr>
        <w:spacing w:after="70" w:line="268"/>
      </w:pPr>
      <w:r>
        <w:rPr>
          <w:rFonts w:ascii="Georgia" w:cs="Georgia" w:eastAsia="Georgia" w:hAnsi="Georgia"/>
          <w:b/>
          <w:bCs/>
          <w:color w:val="1A1A1A"/>
          <w:sz w:val="21"/>
          <w:szCs w:val="21"/>
        </w:rPr>
        <w:t xml:space="preserve">Regulation is a strategic lever, not just a brake.</w:t>
      </w:r>
      <w:r>
        <w:rPr>
          <w:rFonts w:ascii="Georgia" w:cs="Georgia" w:eastAsia="Georgia" w:hAnsi="Georgia"/>
          <w:color w:val="1A1A1A"/>
          <w:sz w:val="21"/>
          <w:szCs w:val="21"/>
        </w:rPr>
        <w:t xml:space="preserve"> GRIP’s core thesis: in the Intelligent Age, the </w:t>
      </w:r>
      <w:r>
        <w:rPr>
          <w:rFonts w:ascii="Georgia" w:cs="Georgia" w:eastAsia="Georgia" w:hAnsi="Georgia"/>
          <w:i/>
          <w:iCs/>
          <w:color w:val="1A1A1A"/>
          <w:sz w:val="21"/>
          <w:szCs w:val="21"/>
        </w:rPr>
        <w:t xml:space="preserve">quality and agility</w:t>
      </w:r>
      <w:r>
        <w:rPr>
          <w:rFonts w:ascii="Georgia" w:cs="Georgia" w:eastAsia="Georgia" w:hAnsi="Georgia"/>
          <w:color w:val="1A1A1A"/>
          <w:sz w:val="21"/>
          <w:szCs w:val="21"/>
        </w:rPr>
        <w:t xml:space="preserve"> of a country’s regulatory model shapes its competitiveness — regulation creates conditions for ideas to scale safely, it doesn’t only contain risk.</w:t>
      </w:r>
    </w:p>
    <w:p>
      <w:pPr>
        <w:pStyle w:val="ListParagraph"/>
        <w:numPr>
          <w:ilvl w:val="0"/>
          <w:numId w:val="2"/>
        </w:numPr>
        <w:spacing w:after="70" w:line="268"/>
      </w:pPr>
      <w:r>
        <w:rPr>
          <w:rFonts w:ascii="Georgia" w:cs="Georgia" w:eastAsia="Georgia" w:hAnsi="Georgia"/>
          <w:b/>
          <w:bCs/>
          <w:color w:val="1A1A1A"/>
          <w:sz w:val="21"/>
          <w:szCs w:val="21"/>
        </w:rPr>
        <w:t xml:space="preserve">The problem you exist to solve is the pacing problem</w:t>
      </w:r>
      <w:r>
        <w:rPr>
          <w:rFonts w:ascii="Georgia" w:cs="Georgia" w:eastAsia="Georgia" w:hAnsi="Georgia"/>
          <w:color w:val="1A1A1A"/>
          <w:sz w:val="21"/>
          <w:szCs w:val="21"/>
        </w:rPr>
        <w:t xml:space="preserve"> — technology moves exponentially, law moves incrementally, and the gap is where both harm and lost opportunity live.</w:t>
      </w:r>
    </w:p>
    <w:p>
      <w:pPr>
        <w:pStyle w:val="ListParagraph"/>
        <w:numPr>
          <w:ilvl w:val="0"/>
          <w:numId w:val="2"/>
        </w:numPr>
        <w:spacing w:after="70" w:line="268"/>
      </w:pPr>
      <w:r>
        <w:rPr>
          <w:rFonts w:ascii="Georgia" w:cs="Georgia" w:eastAsia="Georgia" w:hAnsi="Georgia"/>
          <w:b/>
          <w:bCs/>
          <w:color w:val="1A1A1A"/>
          <w:sz w:val="21"/>
          <w:szCs w:val="21"/>
        </w:rPr>
        <w:t xml:space="preserve">The craft has a name and a toolkit:</w:t>
      </w:r>
      <w:r>
        <w:rPr>
          <w:rFonts w:ascii="Georgia" w:cs="Georgia" w:eastAsia="Georgia" w:hAnsi="Georgia"/>
          <w:color w:val="1A1A1A"/>
          <w:sz w:val="21"/>
          <w:szCs w:val="21"/>
        </w:rPr>
        <w:t xml:space="preserve"> agile / anticipatory / adaptive regulation — sandboxes, outcome-based rules, risk-based tiering, collaborative and experimental regulation, standards and soft law, RegTech/SupTech, and international regulatory cooperation.</w:t>
      </w:r>
    </w:p>
    <w:p>
      <w:pPr>
        <w:pStyle w:val="ListParagraph"/>
        <w:numPr>
          <w:ilvl w:val="0"/>
          <w:numId w:val="2"/>
        </w:numPr>
        <w:spacing w:after="70" w:line="268"/>
      </w:pPr>
      <w:r>
        <w:rPr>
          <w:rFonts w:ascii="Georgia" w:cs="Georgia" w:eastAsia="Georgia" w:hAnsi="Georgia"/>
          <w:b/>
          <w:bCs/>
          <w:color w:val="1A1A1A"/>
          <w:sz w:val="21"/>
          <w:szCs w:val="21"/>
        </w:rPr>
        <w:t xml:space="preserve">GRIP is real and recent:</w:t>
      </w:r>
      <w:r>
        <w:rPr>
          <w:rFonts w:ascii="Georgia" w:cs="Georgia" w:eastAsia="Georgia" w:hAnsi="Georgia"/>
          <w:color w:val="1A1A1A"/>
          <w:sz w:val="21"/>
          <w:szCs w:val="21"/>
        </w:rPr>
        <w:t xml:space="preserve"> launched July 2025 by the Forum with the United Arab Emirates; a two-year roadmap; three deliverables — a </w:t>
      </w:r>
      <w:r>
        <w:rPr>
          <w:rFonts w:ascii="Georgia" w:cs="Georgia" w:eastAsia="Georgia" w:hAnsi="Georgia"/>
          <w:b/>
          <w:bCs/>
          <w:color w:val="1A1A1A"/>
          <w:sz w:val="21"/>
          <w:szCs w:val="21"/>
        </w:rPr>
        <w:t xml:space="preserve">Global Regulatory Playbook</w:t>
      </w:r>
      <w:r>
        <w:rPr>
          <w:rFonts w:ascii="Georgia" w:cs="Georgia" w:eastAsia="Georgia" w:hAnsi="Georgia"/>
          <w:color w:val="1A1A1A"/>
          <w:sz w:val="21"/>
          <w:szCs w:val="21"/>
        </w:rPr>
        <w:t xml:space="preserve">, a </w:t>
      </w:r>
      <w:r>
        <w:rPr>
          <w:rFonts w:ascii="Georgia" w:cs="Georgia" w:eastAsia="Georgia" w:hAnsi="Georgia"/>
          <w:b/>
          <w:bCs/>
          <w:color w:val="1A1A1A"/>
          <w:sz w:val="21"/>
          <w:szCs w:val="21"/>
        </w:rPr>
        <w:t xml:space="preserve">Regulatory Future Readiness Index</w:t>
      </w:r>
      <w:r>
        <w:rPr>
          <w:rFonts w:ascii="Georgia" w:cs="Georgia" w:eastAsia="Georgia" w:hAnsi="Georgia"/>
          <w:color w:val="1A1A1A"/>
          <w:sz w:val="21"/>
          <w:szCs w:val="21"/>
        </w:rPr>
        <w:t xml:space="preserve">, and a </w:t>
      </w:r>
      <w:r>
        <w:rPr>
          <w:rFonts w:ascii="Georgia" w:cs="Georgia" w:eastAsia="Georgia" w:hAnsi="Georgia"/>
          <w:b/>
          <w:bCs/>
          <w:color w:val="1A1A1A"/>
          <w:sz w:val="21"/>
          <w:szCs w:val="21"/>
        </w:rPr>
        <w:t xml:space="preserve">Global Regulatory Innovation Hub</w:t>
      </w:r>
      <w:r>
        <w:rPr>
          <w:rFonts w:ascii="Georgia" w:cs="Georgia" w:eastAsia="Georgia" w:hAnsi="Georgia"/>
          <w:color w:val="1A1A1A"/>
          <w:sz w:val="21"/>
          <w:szCs w:val="21"/>
        </w:rPr>
        <w:t xml:space="preserve"> (a live pilot/sandbox environment).</w:t>
      </w:r>
    </w:p>
    <w:p>
      <w:pPr>
        <w:pStyle w:val="ListParagraph"/>
        <w:numPr>
          <w:ilvl w:val="0"/>
          <w:numId w:val="2"/>
        </w:numPr>
        <w:spacing w:after="70" w:line="268"/>
      </w:pPr>
      <w:r>
        <w:rPr>
          <w:rFonts w:ascii="Georgia" w:cs="Georgia" w:eastAsia="Georgia" w:hAnsi="Georgia"/>
          <w:b/>
          <w:bCs/>
          <w:color w:val="1A1A1A"/>
          <w:sz w:val="21"/>
          <w:szCs w:val="21"/>
        </w:rPr>
        <w:t xml:space="preserve">You sit across Centres.</w:t>
      </w:r>
      <w:r>
        <w:rPr>
          <w:rFonts w:ascii="Georgia" w:cs="Georgia" w:eastAsia="Georgia" w:hAnsi="Georgia"/>
          <w:color w:val="1A1A1A"/>
          <w:sz w:val="21"/>
          <w:szCs w:val="21"/>
        </w:rPr>
        <w:t xml:space="preserve"> GRIP is cross-cutting; your workstream bridges GRIP with the Centre for Frontier Technologies and Innovation, plus Cybersecurity and AI. Your value is </w:t>
      </w:r>
      <w:r>
        <w:rPr>
          <w:rFonts w:ascii="Georgia" w:cs="Georgia" w:eastAsia="Georgia" w:hAnsi="Georgia"/>
          <w:i/>
          <w:iCs/>
          <w:color w:val="1A1A1A"/>
          <w:sz w:val="21"/>
          <w:szCs w:val="21"/>
        </w:rPr>
        <w:t xml:space="preserve">connective</w:t>
      </w:r>
      <w:r>
        <w:rPr>
          <w:rFonts w:ascii="Georgia" w:cs="Georgia" w:eastAsia="Georgia" w:hAnsi="Georgia"/>
          <w:color w:val="1A1A1A"/>
          <w:sz w:val="21"/>
          <w:szCs w:val="21"/>
        </w:rPr>
        <w:t xml:space="preserve">, not siloed.</w:t>
      </w:r>
    </w:p>
    <w:p>
      <w:pPr>
        <w:pStyle w:val="ListParagraph"/>
        <w:numPr>
          <w:ilvl w:val="0"/>
          <w:numId w:val="2"/>
        </w:numPr>
        <w:spacing w:after="70" w:line="268"/>
      </w:pPr>
      <w:r>
        <w:rPr>
          <w:rFonts w:ascii="Georgia" w:cs="Georgia" w:eastAsia="Georgia" w:hAnsi="Georgia"/>
          <w:b/>
          <w:bCs/>
          <w:color w:val="1A1A1A"/>
          <w:sz w:val="21"/>
          <w:szCs w:val="21"/>
        </w:rPr>
        <w:t xml:space="preserve">Five domains, one lens.</w:t>
      </w:r>
      <w:r>
        <w:rPr>
          <w:rFonts w:ascii="Georgia" w:cs="Georgia" w:eastAsia="Georgia" w:hAnsi="Georgia"/>
          <w:color w:val="1A1A1A"/>
          <w:sz w:val="21"/>
          <w:szCs w:val="21"/>
        </w:rPr>
        <w:t xml:space="preserve"> For each frontier technology, know its </w:t>
      </w:r>
      <w:r>
        <w:rPr>
          <w:rFonts w:ascii="Georgia" w:cs="Georgia" w:eastAsia="Georgia" w:hAnsi="Georgia"/>
          <w:i/>
          <w:iCs/>
          <w:color w:val="1A1A1A"/>
          <w:sz w:val="21"/>
          <w:szCs w:val="21"/>
        </w:rPr>
        <w:t xml:space="preserve">core governance dilemma</w:t>
      </w:r>
      <w:r>
        <w:rPr>
          <w:rFonts w:ascii="Georgia" w:cs="Georgia" w:eastAsia="Georgia" w:hAnsi="Georgia"/>
          <w:color w:val="1A1A1A"/>
          <w:sz w:val="21"/>
          <w:szCs w:val="21"/>
        </w:rPr>
        <w:t xml:space="preserve"> — the single hardest trade-off — and you can hold your own with a subject expert without being one.</w:t>
      </w:r>
    </w:p>
    <w:p>
      <w:pPr>
        <w:pStyle w:val="ListParagraph"/>
        <w:numPr>
          <w:ilvl w:val="0"/>
          <w:numId w:val="2"/>
        </w:numPr>
        <w:spacing w:after="70" w:line="268"/>
      </w:pPr>
      <w:r>
        <w:rPr>
          <w:rFonts w:ascii="Georgia" w:cs="Georgia" w:eastAsia="Georgia" w:hAnsi="Georgia"/>
          <w:b/>
          <w:bCs/>
          <w:color w:val="1A1A1A"/>
          <w:sz w:val="21"/>
          <w:szCs w:val="21"/>
        </w:rPr>
        <w:t xml:space="preserve">The world has three rulebooks</w:t>
      </w:r>
      <w:r>
        <w:rPr>
          <w:rFonts w:ascii="Georgia" w:cs="Georgia" w:eastAsia="Georgia" w:hAnsi="Georgia"/>
          <w:color w:val="1A1A1A"/>
          <w:sz w:val="21"/>
          <w:szCs w:val="21"/>
        </w:rPr>
        <w:t xml:space="preserve"> — the EU’s rights-and-risk model, the US market-led model, and China’s state-directed model — plus the UK’s principles-based middle path. Fragmentation is the meta-problem; interoperability is the prize.</w:t>
      </w:r>
    </w:p>
    <w:p>
      <w:pPr>
        <w:pStyle w:val="ListParagraph"/>
        <w:numPr>
          <w:ilvl w:val="0"/>
          <w:numId w:val="2"/>
        </w:numPr>
        <w:spacing w:after="70" w:line="268"/>
      </w:pPr>
      <w:r>
        <w:rPr>
          <w:rFonts w:ascii="Georgia" w:cs="Georgia" w:eastAsia="Georgia" w:hAnsi="Georgia"/>
          <w:b/>
          <w:bCs/>
          <w:color w:val="1A1A1A"/>
          <w:sz w:val="21"/>
          <w:szCs w:val="21"/>
        </w:rPr>
        <w:t xml:space="preserve">The Forum’s method is convening, not legislating.</w:t>
      </w:r>
      <w:r>
        <w:rPr>
          <w:rFonts w:ascii="Georgia" w:cs="Georgia" w:eastAsia="Georgia" w:hAnsi="Georgia"/>
          <w:color w:val="1A1A1A"/>
          <w:sz w:val="21"/>
          <w:szCs w:val="21"/>
        </w:rPr>
        <w:t xml:space="preserve"> Impact comes through trusted multistakeholder communities, influential knowledge products, and initiatives that governments and companies choose to adopt.</w:t>
      </w:r>
    </w:p>
    <w:p>
      <w:pPr>
        <w:pStyle w:val="ListParagraph"/>
        <w:numPr>
          <w:ilvl w:val="0"/>
          <w:numId w:val="2"/>
        </w:numPr>
        <w:spacing w:after="70" w:line="268"/>
      </w:pPr>
      <w:r>
        <w:rPr>
          <w:rFonts w:ascii="Georgia" w:cs="Georgia" w:eastAsia="Georgia" w:hAnsi="Georgia"/>
          <w:b/>
          <w:bCs/>
          <w:color w:val="1A1A1A"/>
          <w:sz w:val="21"/>
          <w:szCs w:val="21"/>
        </w:rPr>
        <w:t xml:space="preserve">Soft law is not weak law.</w:t>
      </w:r>
      <w:r>
        <w:rPr>
          <w:rFonts w:ascii="Georgia" w:cs="Georgia" w:eastAsia="Georgia" w:hAnsi="Georgia"/>
          <w:color w:val="1A1A1A"/>
          <w:sz w:val="21"/>
          <w:szCs w:val="21"/>
        </w:rPr>
        <w:t xml:space="preserve"> Standards, codes of practice and principles are how you govern faster than statute — and they often harden into binding rules later.</w:t>
      </w:r>
    </w:p>
    <w:p>
      <w:pPr>
        <w:pStyle w:val="ListParagraph"/>
        <w:numPr>
          <w:ilvl w:val="0"/>
          <w:numId w:val="2"/>
        </w:numPr>
        <w:spacing w:after="70" w:line="268"/>
      </w:pPr>
      <w:r>
        <w:rPr>
          <w:rFonts w:ascii="Georgia" w:cs="Georgia" w:eastAsia="Georgia" w:hAnsi="Georgia"/>
          <w:b/>
          <w:bCs/>
          <w:color w:val="1A1A1A"/>
          <w:sz w:val="21"/>
          <w:szCs w:val="21"/>
        </w:rPr>
        <w:t xml:space="preserve">Your differentiator is translation</w:t>
      </w:r>
      <w:r>
        <w:rPr>
          <w:rFonts w:ascii="Georgia" w:cs="Georgia" w:eastAsia="Georgia" w:hAnsi="Georgia"/>
          <w:color w:val="1A1A1A"/>
          <w:sz w:val="21"/>
          <w:szCs w:val="21"/>
        </w:rPr>
        <w:t xml:space="preserve"> — turning emerging technology into practical, implementation-ready governance that a minister, a general counsel and a startup founder can all act on.</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1 · The Role and the Panel, Decoded</w:t>
      </w:r>
    </w:p>
    <w:p>
      <w:pPr>
        <w:pStyle w:val="Heading2"/>
        <w:spacing w:after="100" w:before="220"/>
      </w:pPr>
      <w:r>
        <w:rPr>
          <w:rFonts w:ascii="Calibri" w:cs="Calibri" w:eastAsia="Calibri" w:hAnsi="Calibri"/>
          <w:b/>
          <w:bCs/>
          <w:color w:val="2F5D8A"/>
          <w:sz w:val="25"/>
          <w:szCs w:val="25"/>
        </w:rPr>
        <w:t xml:space="preserve">1.1 What GRIP actually is (the facts you can cite)</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Global Regulatory Innovation Platform (GRIP)</w:t>
      </w:r>
      <w:r>
        <w:rPr>
          <w:rFonts w:ascii="Georgia" w:cs="Georgia" w:eastAsia="Georgia" w:hAnsi="Georgia"/>
          <w:color w:val="1A1A1A"/>
          <w:sz w:val="21"/>
          <w:szCs w:val="21"/>
        </w:rPr>
        <w:t xml:space="preserve"> was launched in July 2025 by the World Economic Forum together with the Government of the United Arab Emirates. Its premise is that a widening gap between fast-moving technology and slow-moving, legacy regulation is now a first-order economic and social risk — and that the answer is to help governments </w:t>
      </w:r>
      <w:r>
        <w:rPr>
          <w:rFonts w:ascii="Georgia" w:cs="Georgia" w:eastAsia="Georgia" w:hAnsi="Georgia"/>
          <w:i/>
          <w:iCs/>
          <w:color w:val="1A1A1A"/>
          <w:sz w:val="21"/>
          <w:szCs w:val="21"/>
        </w:rPr>
        <w:t xml:space="preserve">design and adapt</w:t>
      </w:r>
      <w:r>
        <w:rPr>
          <w:rFonts w:ascii="Georgia" w:cs="Georgia" w:eastAsia="Georgia" w:hAnsi="Georgia"/>
          <w:color w:val="1A1A1A"/>
          <w:sz w:val="21"/>
          <w:szCs w:val="21"/>
        </w:rPr>
        <w:t xml:space="preserve"> regulation in step with technological change, framed for what the Forum calls the “Intelligent Age.”</w:t>
      </w:r>
    </w:p>
    <w:p>
      <w:pPr>
        <w:spacing w:after="140" w:line="276"/>
        <w:jc w:val="both"/>
      </w:pPr>
      <w:r>
        <w:rPr>
          <w:rFonts w:ascii="Georgia" w:cs="Georgia" w:eastAsia="Georgia" w:hAnsi="Georgia"/>
          <w:color w:val="1A1A1A"/>
          <w:sz w:val="21"/>
          <w:szCs w:val="21"/>
        </w:rPr>
        <w:t xml:space="preserve">GRIP is deliberately positioned around a reframe you should adopt as your own: </w:t>
      </w:r>
      <w:r>
        <w:rPr>
          <w:rFonts w:ascii="Georgia" w:cs="Georgia" w:eastAsia="Georgia" w:hAnsi="Georgia"/>
          <w:b/>
          <w:bCs/>
          <w:color w:val="1A1A1A"/>
          <w:sz w:val="21"/>
          <w:szCs w:val="21"/>
        </w:rPr>
        <w:t xml:space="preserve">regulation as a strategic lever.</w:t>
      </w:r>
      <w:r>
        <w:rPr>
          <w:rFonts w:ascii="Georgia" w:cs="Georgia" w:eastAsia="Georgia" w:hAnsi="Georgia"/>
          <w:color w:val="1A1A1A"/>
          <w:sz w:val="21"/>
          <w:szCs w:val="21"/>
        </w:rPr>
        <w:t xml:space="preserve"> In fast-developing fields, the agility and quality of the regulatory model increasingly determine a country’s competitiveness and influence — so policymakers should treat regulation not merely as a way to contain risk, but as a way to create the conditions for new ideas to develop and scale safely.</w:t>
      </w:r>
    </w:p>
    <w:p>
      <w:pPr>
        <w:spacing w:after="140" w:line="276"/>
        <w:jc w:val="both"/>
      </w:pPr>
      <w:r>
        <w:rPr>
          <w:rFonts w:ascii="Georgia" w:cs="Georgia" w:eastAsia="Georgia" w:hAnsi="Georgia"/>
          <w:color w:val="1A1A1A"/>
          <w:sz w:val="21"/>
          <w:szCs w:val="21"/>
        </w:rPr>
        <w:t xml:space="preserve">Over a two-year roadmap, GRIP commits to three concrete knowledge products. Know these cold — they are the most likely single fact-set the panel will expect you to recognise:</w:t>
      </w:r>
    </w:p>
    <w:tbl>
      <w:tblPr>
        <w:tblW w:type="dxa" w:w="9360"/>
        <w:tblBorders>
          <w:top w:val="single" w:color="C9D3E0" w:sz="2"/>
          <w:left w:val="none"/>
          <w:bottom w:val="single" w:color="C9D3E0" w:sz="2"/>
          <w:right w:val="none"/>
          <w:insideH w:val="single" w:color="C9D3E0" w:sz="2"/>
          <w:insideV w:val="single" w:color="C9D3E0" w:sz="2"/>
        </w:tblBorders>
      </w:tblPr>
      <w:tblGrid>
        <w:gridCol w:w="2600"/>
        <w:gridCol w:w="3700"/>
        <w:gridCol w:w="3060"/>
      </w:tblGrid>
      <w:tr>
        <w:trPr>
          <w:tblHeader/>
        </w:trPr>
        <w:tc>
          <w:tcPr>
            <w:tcW w:type="dxa" w:w="26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GRIP deliverable</w:t>
            </w:r>
          </w:p>
        </w:tc>
        <w:tc>
          <w:tcPr>
            <w:tcW w:type="dxa" w:w="37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is</w:t>
            </w:r>
          </w:p>
        </w:tc>
        <w:tc>
          <w:tcPr>
            <w:tcW w:type="dxa" w:w="30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Why it matters to your workstream</w:t>
            </w:r>
          </w:p>
        </w:tc>
      </w:tr>
      <w:tr>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Regulatory Playbook</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Real-world case studies, frameworks and tools for regulators adopting agile approaches.</w:t>
            </w:r>
          </w:p>
        </w:tc>
        <w:tc>
          <w:tcPr>
            <w:tcW w:type="dxa" w:w="3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template for the “influential knowledge products” your role must produce for frontier tech.</w:t>
            </w:r>
          </w:p>
        </w:tc>
      </w:tr>
      <w:tr>
        <w:tc>
          <w:tcPr>
            <w:tcW w:type="dxa" w:w="26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Future Readiness Index</w:t>
            </w:r>
          </w:p>
        </w:tc>
        <w:tc>
          <w:tcPr>
            <w:tcW w:type="dxa" w:w="37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benchmark of how prepared countries are to govern emerging technologies.</w:t>
            </w:r>
          </w:p>
        </w:tc>
        <w:tc>
          <w:tcPr>
            <w:tcW w:type="dxa" w:w="30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diagnostic you can extend into frontier domains and use to convene and rank-motivate governments.</w:t>
            </w:r>
          </w:p>
        </w:tc>
      </w:tr>
      <w:tr>
        <w:tc>
          <w:tcPr>
            <w:tcW w:type="dxa" w:w="26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Regulatory Innovation Hub</w:t>
            </w:r>
          </w:p>
        </w:tc>
        <w:tc>
          <w:tcPr>
            <w:tcW w:type="dxa" w:w="37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pilot environment where governments, startups and enterprises can test and refine regulation before scaling.</w:t>
            </w:r>
          </w:p>
        </w:tc>
        <w:tc>
          <w:tcPr>
            <w:tcW w:type="dxa" w:w="30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ready-made sandbox mechanism you can point frontier-tech pilots into.</w:t>
            </w:r>
          </w:p>
        </w:tc>
      </w:tr>
    </w:tbl>
    <w:p>
      <w:pPr>
        <w:spacing w:after="80"/>
      </w:pPr>
    </w:p>
    <w:p>
      <w:pPr>
        <w:spacing w:after="140" w:line="276"/>
        <w:jc w:val="both"/>
      </w:pPr>
      <w:r>
        <w:rPr>
          <w:rFonts w:ascii="Georgia" w:cs="Georgia" w:eastAsia="Georgia" w:hAnsi="Georgia"/>
          <w:color w:val="1A1A1A"/>
          <w:sz w:val="21"/>
          <w:szCs w:val="21"/>
        </w:rPr>
        <w:t xml:space="preserve">GRIP’s initial sector focus is </w:t>
      </w:r>
      <w:r>
        <w:rPr>
          <w:rFonts w:ascii="Georgia" w:cs="Georgia" w:eastAsia="Georgia" w:hAnsi="Georgia"/>
          <w:b/>
          <w:bCs/>
          <w:color w:val="1A1A1A"/>
          <w:sz w:val="21"/>
          <w:szCs w:val="21"/>
        </w:rPr>
        <w:t xml:space="preserve">AI, healthcare and digital finance</w:t>
      </w:r>
      <w:r>
        <w:rPr>
          <w:rFonts w:ascii="Georgia" w:cs="Georgia" w:eastAsia="Georgia" w:hAnsi="Georgia"/>
          <w:color w:val="1A1A1A"/>
          <w:sz w:val="21"/>
          <w:szCs w:val="21"/>
        </w:rPr>
        <w:t xml:space="preserve"> — dynamic, high-stakes sectors where the pacing problem is already acute. Your workstream is the move </w:t>
      </w:r>
      <w:r>
        <w:rPr>
          <w:rFonts w:ascii="Georgia" w:cs="Georgia" w:eastAsia="Georgia" w:hAnsi="Georgia"/>
          <w:i/>
          <w:iCs/>
          <w:color w:val="1A1A1A"/>
          <w:sz w:val="21"/>
          <w:szCs w:val="21"/>
        </w:rPr>
        <w:t xml:space="preserve">upstream</w:t>
      </w:r>
      <w:r>
        <w:rPr>
          <w:rFonts w:ascii="Georgia" w:cs="Georgia" w:eastAsia="Georgia" w:hAnsi="Georgia"/>
          <w:color w:val="1A1A1A"/>
          <w:sz w:val="21"/>
          <w:szCs w:val="21"/>
        </w:rPr>
        <w:t xml:space="preserve"> into the earlier-stage frontier domains where the rules barely exist yet. The Forum’s companion 2025 publication, </w:t>
      </w:r>
      <w:r>
        <w:rPr>
          <w:rFonts w:ascii="Georgia" w:cs="Georgia" w:eastAsia="Georgia" w:hAnsi="Georgia"/>
          <w:b/>
          <w:bCs/>
          <w:color w:val="1A1A1A"/>
          <w:sz w:val="21"/>
          <w:szCs w:val="21"/>
        </w:rPr>
        <w:t xml:space="preserve">“The Regulatory Frontier: Designing the Rules that Shape Innovation,”</w:t>
      </w:r>
      <w:r>
        <w:rPr>
          <w:rFonts w:ascii="Georgia" w:cs="Georgia" w:eastAsia="Georgia" w:hAnsi="Georgia"/>
          <w:color w:val="1A1A1A"/>
          <w:sz w:val="21"/>
          <w:szCs w:val="21"/>
        </w:rPr>
        <w:t xml:space="preserve"> is the sister text to know by name.</w:t>
      </w:r>
    </w:p>
    <w:p>
      <w:pPr>
        <w:pStyle w:val="Heading2"/>
        <w:spacing w:after="100" w:before="220"/>
      </w:pPr>
      <w:r>
        <w:rPr>
          <w:rFonts w:ascii="Calibri" w:cs="Calibri" w:eastAsia="Calibri" w:hAnsi="Calibri"/>
          <w:b/>
          <w:bCs/>
          <w:color w:val="2F5D8A"/>
          <w:sz w:val="25"/>
          <w:szCs w:val="25"/>
        </w:rPr>
        <w:t xml:space="preserve">1.2 Where your role sits</w:t>
      </w:r>
    </w:p>
    <w:p>
      <w:pPr>
        <w:spacing w:after="140" w:line="276"/>
        <w:jc w:val="both"/>
      </w:pPr>
      <w:r>
        <w:rPr>
          <w:rFonts w:ascii="Georgia" w:cs="Georgia" w:eastAsia="Georgia" w:hAnsi="Georgia"/>
          <w:color w:val="1A1A1A"/>
          <w:sz w:val="21"/>
          <w:szCs w:val="21"/>
        </w:rPr>
        <w:t xml:space="preserve">The posting is </w:t>
      </w:r>
      <w:r>
        <w:rPr>
          <w:rFonts w:ascii="Georgia" w:cs="Georgia" w:eastAsia="Georgia" w:hAnsi="Georgia"/>
          <w:b/>
          <w:bCs/>
          <w:color w:val="1A1A1A"/>
          <w:sz w:val="21"/>
          <w:szCs w:val="21"/>
        </w:rPr>
        <w:t xml:space="preserve">Policy Lead, GRIP — Frontier Technology and Regulatory Innovation</w:t>
      </w:r>
      <w:r>
        <w:rPr>
          <w:rFonts w:ascii="Georgia" w:cs="Georgia" w:eastAsia="Georgia" w:hAnsi="Georgia"/>
          <w:color w:val="1A1A1A"/>
          <w:sz w:val="21"/>
          <w:szCs w:val="21"/>
        </w:rPr>
        <w:t xml:space="preserve">, a temporary role (end date May 2027) based in Geneva, reporting to the </w:t>
      </w:r>
      <w:r>
        <w:rPr>
          <w:rFonts w:ascii="Georgia" w:cs="Georgia" w:eastAsia="Georgia" w:hAnsi="Georgia"/>
          <w:b/>
          <w:bCs/>
          <w:color w:val="1A1A1A"/>
          <w:sz w:val="21"/>
          <w:szCs w:val="21"/>
        </w:rPr>
        <w:t xml:space="preserve">Head of Digital Inclusion</w:t>
      </w:r>
      <w:r>
        <w:rPr>
          <w:rFonts w:ascii="Georgia" w:cs="Georgia" w:eastAsia="Georgia" w:hAnsi="Georgia"/>
          <w:color w:val="1A1A1A"/>
          <w:sz w:val="21"/>
          <w:szCs w:val="21"/>
        </w:rPr>
        <w:t xml:space="preserve">. You would </w:t>
      </w:r>
      <w:r>
        <w:rPr>
          <w:rFonts w:ascii="Georgia" w:cs="Georgia" w:eastAsia="Georgia" w:hAnsi="Georgia"/>
          <w:i/>
          <w:iCs/>
          <w:color w:val="1A1A1A"/>
          <w:sz w:val="21"/>
          <w:szCs w:val="21"/>
        </w:rPr>
        <w:t xml:space="preserve">build and lead a new cross-cutting workstream</w:t>
      </w:r>
      <w:r>
        <w:rPr>
          <w:rFonts w:ascii="Georgia" w:cs="Georgia" w:eastAsia="Georgia" w:hAnsi="Georgia"/>
          <w:color w:val="1A1A1A"/>
          <w:sz w:val="21"/>
          <w:szCs w:val="21"/>
        </w:rPr>
        <w:t xml:space="preserve"> — meaning it does not exist yet and you are its founder-operator. The explicit brief:</w:t>
      </w:r>
    </w:p>
    <w:p>
      <w:pPr>
        <w:pStyle w:val="ListParagraph"/>
        <w:numPr>
          <w:ilvl w:val="0"/>
          <w:numId w:val="1"/>
        </w:numPr>
        <w:spacing w:after="70" w:line="268"/>
      </w:pPr>
      <w:r>
        <w:rPr>
          <w:rFonts w:ascii="Georgia" w:cs="Georgia" w:eastAsia="Georgia" w:hAnsi="Georgia"/>
          <w:color w:val="1A1A1A"/>
          <w:sz w:val="21"/>
          <w:szCs w:val="21"/>
        </w:rPr>
        <w:t xml:space="preserve">Partner closely with the </w:t>
      </w:r>
      <w:r>
        <w:rPr>
          <w:rFonts w:ascii="Georgia" w:cs="Georgia" w:eastAsia="Georgia" w:hAnsi="Georgia"/>
          <w:b/>
          <w:bCs/>
          <w:color w:val="1A1A1A"/>
          <w:sz w:val="21"/>
          <w:szCs w:val="21"/>
        </w:rPr>
        <w:t xml:space="preserve">Centre for Frontier Technologies and Innovation (CFTI)</w:t>
      </w:r>
      <w:r>
        <w:rPr>
          <w:rFonts w:ascii="Georgia" w:cs="Georgia" w:eastAsia="Georgia" w:hAnsi="Georgia"/>
          <w:color w:val="1A1A1A"/>
          <w:sz w:val="21"/>
          <w:szCs w:val="21"/>
        </w:rPr>
        <w:t xml:space="preserve"> and the Forum’s technology initiatives — </w:t>
      </w:r>
      <w:r>
        <w:rPr>
          <w:rFonts w:ascii="Georgia" w:cs="Georgia" w:eastAsia="Georgia" w:hAnsi="Georgia"/>
          <w:b/>
          <w:bCs/>
          <w:color w:val="1A1A1A"/>
          <w:sz w:val="21"/>
          <w:szCs w:val="21"/>
        </w:rPr>
        <w:t xml:space="preserve">quantum technologies, autonomous mobility and robotics, biotechnology, planetary systems</w:t>
      </w:r>
      <w:r>
        <w:rPr>
          <w:rFonts w:ascii="Georgia" w:cs="Georgia" w:eastAsia="Georgia" w:hAnsi="Georgia"/>
          <w:color w:val="1A1A1A"/>
          <w:sz w:val="21"/>
          <w:szCs w:val="21"/>
        </w:rPr>
        <w:t xml:space="preserve">, and future frontier domains.</w:t>
      </w:r>
    </w:p>
    <w:p>
      <w:pPr>
        <w:pStyle w:val="ListParagraph"/>
        <w:numPr>
          <w:ilvl w:val="0"/>
          <w:numId w:val="1"/>
        </w:numPr>
        <w:spacing w:after="70" w:line="268"/>
      </w:pPr>
      <w:r>
        <w:rPr>
          <w:rFonts w:ascii="Georgia" w:cs="Georgia" w:eastAsia="Georgia" w:hAnsi="Georgia"/>
          <w:color w:val="1A1A1A"/>
          <w:sz w:val="21"/>
          <w:szCs w:val="21"/>
        </w:rPr>
        <w:t xml:space="preserve">Develop </w:t>
      </w:r>
      <w:r>
        <w:rPr>
          <w:rFonts w:ascii="Georgia" w:cs="Georgia" w:eastAsia="Georgia" w:hAnsi="Georgia"/>
          <w:b/>
          <w:bCs/>
          <w:color w:val="1A1A1A"/>
          <w:sz w:val="21"/>
          <w:szCs w:val="21"/>
        </w:rPr>
        <w:t xml:space="preserve">innovative regulatory approaches</w:t>
      </w:r>
      <w:r>
        <w:rPr>
          <w:rFonts w:ascii="Georgia" w:cs="Georgia" w:eastAsia="Georgia" w:hAnsi="Georgia"/>
          <w:color w:val="1A1A1A"/>
          <w:sz w:val="21"/>
          <w:szCs w:val="21"/>
        </w:rPr>
        <w:t xml:space="preserve"> that enable responsible innovation and accelerate societal impact.</w:t>
      </w:r>
    </w:p>
    <w:p>
      <w:pPr>
        <w:pStyle w:val="ListParagraph"/>
        <w:numPr>
          <w:ilvl w:val="0"/>
          <w:numId w:val="1"/>
        </w:numPr>
        <w:spacing w:after="70" w:line="268"/>
      </w:pPr>
      <w:r>
        <w:rPr>
          <w:rFonts w:ascii="Georgia" w:cs="Georgia" w:eastAsia="Georgia" w:hAnsi="Georgia"/>
          <w:color w:val="1A1A1A"/>
          <w:sz w:val="21"/>
          <w:szCs w:val="21"/>
        </w:rPr>
        <w:t xml:space="preserve">Create a </w:t>
      </w:r>
      <w:r>
        <w:rPr>
          <w:rFonts w:ascii="Georgia" w:cs="Georgia" w:eastAsia="Georgia" w:hAnsi="Georgia"/>
          <w:b/>
          <w:bCs/>
          <w:color w:val="1A1A1A"/>
          <w:sz w:val="21"/>
          <w:szCs w:val="21"/>
        </w:rPr>
        <w:t xml:space="preserve">scalable, replicable model</w:t>
      </w:r>
      <w:r>
        <w:rPr>
          <w:rFonts w:ascii="Georgia" w:cs="Georgia" w:eastAsia="Georgia" w:hAnsi="Georgia"/>
          <w:color w:val="1A1A1A"/>
          <w:sz w:val="21"/>
          <w:szCs w:val="21"/>
        </w:rPr>
        <w:t xml:space="preserve"> for regulatory innovation that bridges technology development and public policy — replicable across industries and jurisdictions.</w:t>
      </w:r>
    </w:p>
    <w:p>
      <w:pPr>
        <w:pStyle w:val="ListParagraph"/>
        <w:numPr>
          <w:ilvl w:val="0"/>
          <w:numId w:val="1"/>
        </w:numPr>
        <w:spacing w:after="70" w:line="268"/>
      </w:pPr>
      <w:r>
        <w:rPr>
          <w:rFonts w:ascii="Georgia" w:cs="Georgia" w:eastAsia="Georgia" w:hAnsi="Georgia"/>
          <w:color w:val="1A1A1A"/>
          <w:sz w:val="21"/>
          <w:szCs w:val="21"/>
        </w:rPr>
        <w:t xml:space="preserve">Convene global leaders, produce knowledge products, and </w:t>
      </w:r>
      <w:r>
        <w:rPr>
          <w:rFonts w:ascii="Georgia" w:cs="Georgia" w:eastAsia="Georgia" w:hAnsi="Georgia"/>
          <w:b/>
          <w:bCs/>
          <w:color w:val="1A1A1A"/>
          <w:sz w:val="21"/>
          <w:szCs w:val="21"/>
        </w:rPr>
        <w:t xml:space="preserve">turn dialogue into implementation</w:t>
      </w:r>
      <w:r>
        <w:rPr>
          <w:rFonts w:ascii="Georgia" w:cs="Georgia" w:eastAsia="Georgia" w:hAnsi="Georgia"/>
          <w:color w:val="1A1A1A"/>
          <w:sz w:val="21"/>
          <w:szCs w:val="21"/>
        </w:rPr>
        <w:t xml:space="preserve"> through partnerships with governments, regulators, industry, academia and civil society.</w:t>
      </w:r>
    </w:p>
    <w:p>
      <w:pPr>
        <w:pStyle w:val="ListParagraph"/>
        <w:numPr>
          <w:ilvl w:val="0"/>
          <w:numId w:val="1"/>
        </w:numPr>
        <w:spacing w:after="70" w:line="268"/>
      </w:pPr>
      <w:r>
        <w:rPr>
          <w:rFonts w:ascii="Georgia" w:cs="Georgia" w:eastAsia="Georgia" w:hAnsi="Georgia"/>
          <w:color w:val="1A1A1A"/>
          <w:sz w:val="21"/>
          <w:szCs w:val="21"/>
        </w:rPr>
        <w:t xml:space="preserve">Work in a matrixed way with the </w:t>
      </w:r>
      <w:r>
        <w:rPr>
          <w:rFonts w:ascii="Georgia" w:cs="Georgia" w:eastAsia="Georgia" w:hAnsi="Georgia"/>
          <w:b/>
          <w:bCs/>
          <w:color w:val="1A1A1A"/>
          <w:sz w:val="21"/>
          <w:szCs w:val="21"/>
        </w:rPr>
        <w:t xml:space="preserve">Centre for Cybersecurity</w:t>
      </w:r>
      <w:r>
        <w:rPr>
          <w:rFonts w:ascii="Georgia" w:cs="Georgia" w:eastAsia="Georgia" w:hAnsi="Georgia"/>
          <w:color w:val="1A1A1A"/>
          <w:sz w:val="21"/>
          <w:szCs w:val="21"/>
        </w:rPr>
        <w:t xml:space="preserve"> and the </w:t>
      </w:r>
      <w:r>
        <w:rPr>
          <w:rFonts w:ascii="Georgia" w:cs="Georgia" w:eastAsia="Georgia" w:hAnsi="Georgia"/>
          <w:b/>
          <w:bCs/>
          <w:color w:val="1A1A1A"/>
          <w:sz w:val="21"/>
          <w:szCs w:val="21"/>
        </w:rPr>
        <w:t xml:space="preserve">Centre for AI Excellence</w:t>
      </w:r>
      <w:r>
        <w:rPr>
          <w:rFonts w:ascii="Georgia" w:cs="Georgia" w:eastAsia="Georgia" w:hAnsi="Georgia"/>
          <w:color w:val="1A1A1A"/>
          <w:sz w:val="21"/>
          <w:szCs w:val="21"/>
        </w:rPr>
        <w:t xml:space="preserve">, and with Forum communities such as Chief Legal Officers and Chief Compliance Officers.</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one-sentence self-thesis to rehearse:</w:t>
            </w:r>
            <w:r>
              <w:rPr>
                <w:rFonts w:ascii="Georgia" w:cs="Georgia" w:eastAsia="Georgia" w:hAnsi="Georgia"/>
                <w:color w:val="1F2A44"/>
                <w:sz w:val="20"/>
                <w:szCs w:val="20"/>
              </w:rPr>
              <w:t xml:space="preserve"> “I build the connective tissue between where technology is going and how it gets governed — designing regulatory approaches that are agile enough to keep pace, credible enough for regulators to adopt, and practical enough to be replicated across borders.”</w:t>
            </w:r>
          </w:p>
        </w:tc>
      </w:tr>
    </w:tbl>
    <w:p>
      <w:pPr>
        <w:spacing w:after="80"/>
      </w:pPr>
    </w:p>
    <w:p>
      <w:pPr>
        <w:pStyle w:val="Heading2"/>
        <w:spacing w:after="100" w:before="220"/>
      </w:pPr>
      <w:r>
        <w:rPr>
          <w:rFonts w:ascii="Calibri" w:cs="Calibri" w:eastAsia="Calibri" w:hAnsi="Calibri"/>
          <w:b/>
          <w:bCs/>
          <w:color w:val="2F5D8A"/>
          <w:sz w:val="25"/>
          <w:szCs w:val="25"/>
        </w:rPr>
        <w:t xml:space="preserve">1.3 CFTI and the C4IR network</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Centre for the Fourth Industrial Revolution (C4IR)</w:t>
      </w:r>
      <w:r>
        <w:rPr>
          <w:rFonts w:ascii="Georgia" w:cs="Georgia" w:eastAsia="Georgia" w:hAnsi="Georgia"/>
          <w:color w:val="1A1A1A"/>
          <w:sz w:val="21"/>
          <w:szCs w:val="21"/>
        </w:rPr>
        <w:t xml:space="preserve"> is the Forum’s platform for anticipating exponential technologies and fostering responsible innovation. It operates as a </w:t>
      </w:r>
      <w:r>
        <w:rPr>
          <w:rFonts w:ascii="Georgia" w:cs="Georgia" w:eastAsia="Georgia" w:hAnsi="Georgia"/>
          <w:b/>
          <w:bCs/>
          <w:color w:val="1A1A1A"/>
          <w:sz w:val="21"/>
          <w:szCs w:val="21"/>
        </w:rPr>
        <w:t xml:space="preserve">global network of government- and non-profit-hosted centres</w:t>
      </w:r>
      <w:r>
        <w:rPr>
          <w:rFonts w:ascii="Georgia" w:cs="Georgia" w:eastAsia="Georgia" w:hAnsi="Georgia"/>
          <w:color w:val="1A1A1A"/>
          <w:sz w:val="21"/>
          <w:szCs w:val="21"/>
        </w:rPr>
        <w:t xml:space="preserve"> that give national “trailblazers” a trusted space to share, learn and problem-solve. The network spans centres in the United States, Germany, Saudi Arabia, Japan and India, and in early 2026 the Forum signed agreements for five more — including an </w:t>
      </w:r>
      <w:r>
        <w:rPr>
          <w:rFonts w:ascii="Georgia" w:cs="Georgia" w:eastAsia="Georgia" w:hAnsi="Georgia"/>
          <w:b/>
          <w:bCs/>
          <w:color w:val="1A1A1A"/>
          <w:sz w:val="21"/>
          <w:szCs w:val="21"/>
        </w:rPr>
        <w:t xml:space="preserve">Abu Dhabi Centre for Frontier Technologies</w:t>
      </w:r>
      <w:r>
        <w:rPr>
          <w:rFonts w:ascii="Georgia" w:cs="Georgia" w:eastAsia="Georgia" w:hAnsi="Georgia"/>
          <w:color w:val="1A1A1A"/>
          <w:sz w:val="21"/>
          <w:szCs w:val="21"/>
        </w:rPr>
        <w:t xml:space="preserve"> focused on quantum computing, robotics, propulsion and space systems, and related AI applications. Knowing the network model matters because your workstream would plug </w:t>
      </w:r>
      <w:r>
        <w:rPr>
          <w:rFonts w:ascii="Georgia" w:cs="Georgia" w:eastAsia="Georgia" w:hAnsi="Georgia"/>
          <w:i/>
          <w:iCs/>
          <w:color w:val="1A1A1A"/>
          <w:sz w:val="21"/>
          <w:szCs w:val="21"/>
        </w:rPr>
        <w:t xml:space="preserve">into</w:t>
      </w:r>
      <w:r>
        <w:rPr>
          <w:rFonts w:ascii="Georgia" w:cs="Georgia" w:eastAsia="Georgia" w:hAnsi="Georgia"/>
          <w:color w:val="1A1A1A"/>
          <w:sz w:val="21"/>
          <w:szCs w:val="21"/>
        </w:rPr>
        <w:t xml:space="preserve"> it: the centres are your delivery vehicles and pilot sites.</w:t>
      </w:r>
    </w:p>
    <w:p>
      <w:pPr>
        <w:pStyle w:val="Heading2"/>
        <w:spacing w:after="100" w:before="220"/>
      </w:pPr>
      <w:r>
        <w:rPr>
          <w:rFonts w:ascii="Calibri" w:cs="Calibri" w:eastAsia="Calibri" w:hAnsi="Calibri"/>
          <w:b/>
          <w:bCs/>
          <w:color w:val="2F5D8A"/>
          <w:sz w:val="25"/>
          <w:szCs w:val="25"/>
        </w:rPr>
        <w:t xml:space="preserve">1.4 What “success” looks like in this seat</w:t>
      </w:r>
    </w:p>
    <w:p>
      <w:pPr>
        <w:spacing w:after="140" w:line="276"/>
        <w:jc w:val="both"/>
      </w:pPr>
      <w:r>
        <w:rPr>
          <w:rFonts w:ascii="Georgia" w:cs="Georgia" w:eastAsia="Georgia" w:hAnsi="Georgia"/>
          <w:color w:val="1A1A1A"/>
          <w:sz w:val="21"/>
          <w:szCs w:val="21"/>
        </w:rPr>
        <w:t xml:space="preserve">Read against the JD, success is four things, and your interview narrative should hit all four:</w:t>
      </w:r>
    </w:p>
    <w:tbl>
      <w:tblPr>
        <w:tblW w:type="dxa" w:w="9360"/>
        <w:tblBorders>
          <w:top w:val="single" w:color="C9D3E0" w:sz="2"/>
          <w:left w:val="none"/>
          <w:bottom w:val="single" w:color="C9D3E0" w:sz="2"/>
          <w:right w:val="none"/>
          <w:insideH w:val="single" w:color="C9D3E0" w:sz="2"/>
          <w:insideV w:val="single" w:color="C9D3E0" w:sz="2"/>
        </w:tblBorders>
      </w:tblPr>
      <w:tblGrid>
        <w:gridCol w:w="2200"/>
        <w:gridCol w:w="4000"/>
        <w:gridCol w:w="3160"/>
      </w:tblGrid>
      <w:tr>
        <w:trPr>
          <w:tblHeader/>
        </w:trPr>
        <w:tc>
          <w:tcPr>
            <w:tcW w:type="dxa" w:w="22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Success dimension</w:t>
            </w:r>
          </w:p>
        </w:tc>
        <w:tc>
          <w:tcPr>
            <w:tcW w:type="dxa" w:w="40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the JD is really asking</w:t>
            </w:r>
          </w:p>
        </w:tc>
        <w:tc>
          <w:tcPr>
            <w:tcW w:type="dxa" w:w="3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Your proof-point to prepare</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model</w:t>
            </w:r>
          </w:p>
        </w:tc>
        <w:tc>
          <w:tcPr>
            <w:tcW w:type="dxa" w:w="4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scalable, replicable method for regulatory innovation — not one-off projects.</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time you designed a repeatable framework/process others adopted.</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Content</w:t>
            </w:r>
          </w:p>
        </w:tc>
        <w:tc>
          <w:tcPr>
            <w:tcW w:type="dxa" w:w="4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High-quality, action-oriented thought leadership that governments and industry actually use.</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report/playbook/tool you authored that changed a decision.</w:t>
            </w:r>
          </w:p>
        </w:tc>
      </w:tr>
      <w:tr>
        <w:tc>
          <w:tcPr>
            <w:tcW w:type="dxa" w:w="22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Community</w:t>
            </w:r>
          </w:p>
        </w:tc>
        <w:tc>
          <w:tcPr>
            <w:tcW w:type="dxa" w:w="40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robust, engaged multistakeholder ecosystem across the regulatory value chain.</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coalition or working group you built and sustained.</w:t>
            </w:r>
          </w:p>
        </w:tc>
      </w:tr>
      <w:tr>
        <w:tc>
          <w:tcPr>
            <w:tcW w:type="dxa" w:w="22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Impact</w:t>
            </w:r>
          </w:p>
        </w:tc>
        <w:tc>
          <w:tcPr>
            <w:tcW w:type="dxa" w:w="40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Dialogue converted into concrete regulatory or governance outcomes.</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convening that led to an actual policy, pilot, standard or commitment.</w:t>
            </w:r>
          </w:p>
        </w:tc>
      </w:tr>
    </w:tbl>
    <w:p>
      <w:pPr>
        <w:spacing w:after="80"/>
      </w:pPr>
    </w:p>
    <w:p>
      <w:pPr>
        <w:pStyle w:val="Heading2"/>
        <w:spacing w:after="100" w:before="220"/>
      </w:pPr>
      <w:r>
        <w:rPr>
          <w:rFonts w:ascii="Calibri" w:cs="Calibri" w:eastAsia="Calibri" w:hAnsi="Calibri"/>
          <w:b/>
          <w:bCs/>
          <w:color w:val="2F5D8A"/>
          <w:sz w:val="25"/>
          <w:szCs w:val="25"/>
        </w:rPr>
        <w:t xml:space="preserve">1.5 The panel — and what each seat is testing</w:t>
      </w:r>
    </w:p>
    <w:p>
      <w:pPr>
        <w:spacing w:after="140" w:line="276"/>
        <w:jc w:val="both"/>
      </w:pPr>
      <w:r>
        <w:rPr>
          <w:rFonts w:ascii="Georgia" w:cs="Georgia" w:eastAsia="Georgia" w:hAnsi="Georgia"/>
          <w:color w:val="1A1A1A"/>
          <w:sz w:val="21"/>
          <w:szCs w:val="21"/>
        </w:rPr>
        <w:t xml:space="preserve">You will likely face some combination of your prospective manager (Head of Digital Inclusion) and leaders from CFTI/C4IR, Cybersecurity and AI, possibly with an external regulator or partner. Map your preparation to what each is probing:</w:t>
      </w:r>
    </w:p>
    <w:tbl>
      <w:tblPr>
        <w:tblW w:type="dxa" w:w="9360"/>
        <w:tblBorders>
          <w:top w:val="single" w:color="C9D3E0" w:sz="2"/>
          <w:left w:val="none"/>
          <w:bottom w:val="single" w:color="C9D3E0" w:sz="2"/>
          <w:right w:val="none"/>
          <w:insideH w:val="single" w:color="C9D3E0" w:sz="2"/>
          <w:insideV w:val="single" w:color="C9D3E0" w:sz="2"/>
        </w:tblBorders>
      </w:tblPr>
      <w:tblGrid>
        <w:gridCol w:w="2500"/>
        <w:gridCol w:w="3400"/>
        <w:gridCol w:w="3460"/>
      </w:tblGrid>
      <w:tr>
        <w:trPr>
          <w:tblHeader/>
        </w:trPr>
        <w:tc>
          <w:tcPr>
            <w:tcW w:type="dxa" w:w="25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Panelist archetype</w:t>
            </w:r>
          </w:p>
        </w:tc>
        <w:tc>
          <w:tcPr>
            <w:tcW w:type="dxa" w:w="34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they test</w:t>
            </w:r>
          </w:p>
        </w:tc>
        <w:tc>
          <w:tcPr>
            <w:tcW w:type="dxa" w:w="34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How to win them</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Your manager (Digital Inclusion / GRIP)</w:t>
            </w:r>
          </w:p>
        </w:tc>
        <w:tc>
          <w:tcPr>
            <w:tcW w:type="dxa" w:w="3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Can you build a workstream from zero, operate in a matrix, and make GRIP’s model tangible for frontier tech?</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Show a 100-day plan, name GRIP’s three deliverables, and speak the “regulation-as-lever” thesis.</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CFTI / C4IR leader</w:t>
            </w:r>
          </w:p>
        </w:tc>
        <w:tc>
          <w:tcPr>
            <w:tcW w:type="dxa" w:w="3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Frontier-tech fluency and respect for the technologists you’d partner with.</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Nail each domain’s core governance dilemma; position yourself as translator, not rival expert.</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Regulatory-innovation expert</w:t>
            </w:r>
          </w:p>
        </w:tc>
        <w:tc>
          <w:tcPr>
            <w:tcW w:type="dxa" w:w="3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Command of the actual toolkit — sandboxes, adaptive/outcome-based/risk-based, soft law.</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Use the toolkit precisely and name real examples (UK FCA sandbox, EU AI Act sandboxes).</w:t>
            </w:r>
          </w:p>
        </w:tc>
      </w:tr>
      <w:tr>
        <w:tc>
          <w:tcPr>
            <w:tcW w:type="dxa" w:w="25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Cyber / AI Centre partner</w:t>
            </w:r>
          </w:p>
        </w:tc>
        <w:tc>
          <w:tcPr>
            <w:tcW w:type="dxa" w:w="34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Whether you’ll collaborate or empire-build; cross-cutting instincts.</w:t>
            </w:r>
          </w:p>
        </w:tc>
        <w:tc>
          <w:tcPr>
            <w:tcW w:type="dxa" w:w="34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Frame your workstream as connective and credit adjacent Centres explicitly.</w:t>
            </w:r>
          </w:p>
        </w:tc>
      </w:tr>
      <w:tr>
        <w:tc>
          <w:tcPr>
            <w:tcW w:type="dxa" w:w="25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External regulator / partner</w:t>
            </w:r>
          </w:p>
        </w:tc>
        <w:tc>
          <w:tcPr>
            <w:tcW w:type="dxa" w:w="34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Diplomatic credibility with senior public-sector leaders; can you be trusted in the room.</w:t>
            </w:r>
          </w:p>
        </w:tc>
        <w:tc>
          <w:tcPr>
            <w:tcW w:type="dxa" w:w="34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Demonstrate multistakeholder facilitation and cultural range; be humble about limits.</w:t>
            </w:r>
          </w:p>
        </w:tc>
      </w:tr>
    </w:tbl>
    <w:p>
      <w:pPr>
        <w:spacing w:after="80"/>
      </w:pPr>
    </w:p>
    <w:p>
      <w:pPr>
        <w:pStyle w:val="Heading2"/>
        <w:spacing w:after="100" w:before="220"/>
      </w:pPr>
      <w:r>
        <w:rPr>
          <w:rFonts w:ascii="Calibri" w:cs="Calibri" w:eastAsia="Calibri" w:hAnsi="Calibri"/>
          <w:b/>
          <w:bCs/>
          <w:color w:val="2F5D8A"/>
          <w:sz w:val="25"/>
          <w:szCs w:val="25"/>
        </w:rPr>
        <w:t xml:space="preserve">1.6 Turning “adjacent” into an advantage</w:t>
      </w:r>
    </w:p>
    <w:p>
      <w:pPr>
        <w:spacing w:after="140" w:line="276"/>
        <w:jc w:val="both"/>
      </w:pPr>
      <w:r>
        <w:rPr>
          <w:rFonts w:ascii="Georgia" w:cs="Georgia" w:eastAsia="Georgia" w:hAnsi="Georgia"/>
          <w:color w:val="1A1A1A"/>
          <w:sz w:val="21"/>
          <w:szCs w:val="21"/>
        </w:rPr>
        <w:t xml:space="preserve">You are coming in adjacent to deep frontier-tech expertise, and the panel will sense it. Do not fake depth — convert the gap into a strength with three moves. </w:t>
      </w:r>
      <w:r>
        <w:rPr>
          <w:rFonts w:ascii="Georgia" w:cs="Georgia" w:eastAsia="Georgia" w:hAnsi="Georgia"/>
          <w:b/>
          <w:bCs/>
          <w:color w:val="1A1A1A"/>
          <w:sz w:val="21"/>
          <w:szCs w:val="21"/>
        </w:rPr>
        <w:t xml:space="preserve">First, own the translator role:</w:t>
      </w:r>
      <w:r>
        <w:rPr>
          <w:rFonts w:ascii="Georgia" w:cs="Georgia" w:eastAsia="Georgia" w:hAnsi="Georgia"/>
          <w:color w:val="1A1A1A"/>
          <w:sz w:val="21"/>
          <w:szCs w:val="21"/>
        </w:rPr>
        <w:t xml:space="preserve"> the Forum does not need another quantum physicist; it needs someone who can move between the lab, the ministry and the boardroom. </w:t>
      </w:r>
      <w:r>
        <w:rPr>
          <w:rFonts w:ascii="Georgia" w:cs="Georgia" w:eastAsia="Georgia" w:hAnsi="Georgia"/>
          <w:b/>
          <w:bCs/>
          <w:color w:val="1A1A1A"/>
          <w:sz w:val="21"/>
          <w:szCs w:val="21"/>
        </w:rPr>
        <w:t xml:space="preserve">Second, go deep on the craft, not the science:</w:t>
      </w:r>
      <w:r>
        <w:rPr>
          <w:rFonts w:ascii="Georgia" w:cs="Georgia" w:eastAsia="Georgia" w:hAnsi="Georgia"/>
          <w:color w:val="1A1A1A"/>
          <w:sz w:val="21"/>
          <w:szCs w:val="21"/>
        </w:rPr>
        <w:t xml:space="preserve"> be genuinely expert in regulatory innovation (§2) — that is the actual job, and it is where an adjacent candidate can legitimately out-prepare a domain specialist. </w:t>
      </w:r>
      <w:r>
        <w:rPr>
          <w:rFonts w:ascii="Georgia" w:cs="Georgia" w:eastAsia="Georgia" w:hAnsi="Georgia"/>
          <w:b/>
          <w:bCs/>
          <w:color w:val="1A1A1A"/>
          <w:sz w:val="21"/>
          <w:szCs w:val="21"/>
        </w:rPr>
        <w:t xml:space="preserve">Third, show pattern-transfer:</w:t>
      </w:r>
      <w:r>
        <w:rPr>
          <w:rFonts w:ascii="Georgia" w:cs="Georgia" w:eastAsia="Georgia" w:hAnsi="Georgia"/>
          <w:color w:val="1A1A1A"/>
          <w:sz w:val="21"/>
          <w:szCs w:val="21"/>
        </w:rPr>
        <w:t xml:space="preserve"> the reason one governance model can travel from fintech to AI to biotech is that the </w:t>
      </w:r>
      <w:r>
        <w:rPr>
          <w:rFonts w:ascii="Georgia" w:cs="Georgia" w:eastAsia="Georgia" w:hAnsi="Georgia"/>
          <w:i/>
          <w:iCs/>
          <w:color w:val="1A1A1A"/>
          <w:sz w:val="21"/>
          <w:szCs w:val="21"/>
        </w:rPr>
        <w:t xml:space="preserve">regulatory</w:t>
      </w:r>
      <w:r>
        <w:rPr>
          <w:rFonts w:ascii="Georgia" w:cs="Georgia" w:eastAsia="Georgia" w:hAnsi="Georgia"/>
          <w:color w:val="1A1A1A"/>
          <w:sz w:val="21"/>
          <w:szCs w:val="21"/>
        </w:rPr>
        <w:t xml:space="preserve"> patterns rhyme even when the science doesn’t — demonstrating that you see those patterns is exactly the “scalable, replicable model” the role wants.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2 · The Regulatory-Innovation Toolkit — the Core Craft</w:t>
      </w:r>
    </w:p>
    <w:p>
      <w:pPr>
        <w:spacing w:after="200" w:line="288"/>
      </w:pPr>
      <w:r>
        <w:rPr>
          <w:rFonts w:ascii="Georgia" w:cs="Georgia" w:eastAsia="Georgia" w:hAnsi="Georgia"/>
          <w:i/>
          <w:iCs/>
          <w:color w:val="55606E"/>
          <w:sz w:val="22"/>
          <w:szCs w:val="22"/>
        </w:rPr>
        <w:t xml:space="preserve">This is the deepest technical layer of the job and the one an adjacent candidate can most convincingly master. If you are fluent here, you are credible everywhere else.</w:t>
      </w:r>
    </w:p>
    <w:p>
      <w:pPr>
        <w:pStyle w:val="Heading2"/>
        <w:spacing w:after="100" w:before="220"/>
      </w:pPr>
      <w:r>
        <w:rPr>
          <w:rFonts w:ascii="Calibri" w:cs="Calibri" w:eastAsia="Calibri" w:hAnsi="Calibri"/>
          <w:b/>
          <w:bCs/>
          <w:color w:val="2F5D8A"/>
          <w:sz w:val="25"/>
          <w:szCs w:val="25"/>
        </w:rPr>
        <w:t xml:space="preserve">2.1 The problem the whole field exists to solve</w:t>
      </w:r>
    </w:p>
    <w:p>
      <w:pPr>
        <w:spacing w:after="140" w:line="276"/>
        <w:jc w:val="both"/>
      </w:pPr>
      <w:r>
        <w:rPr>
          <w:rFonts w:ascii="Georgia" w:cs="Georgia" w:eastAsia="Georgia" w:hAnsi="Georgia"/>
          <w:color w:val="1A1A1A"/>
          <w:sz w:val="21"/>
          <w:szCs w:val="21"/>
        </w:rPr>
        <w:t xml:space="preserve">Three linked ideas define the intellectual terrain. Name them and you signal that you know the literature, not just the buzzwords.</w:t>
      </w:r>
    </w:p>
    <w:p>
      <w:pPr>
        <w:pStyle w:val="ListParagraph"/>
        <w:numPr>
          <w:ilvl w:val="0"/>
          <w:numId w:val="1"/>
        </w:numPr>
        <w:spacing w:after="70" w:line="268"/>
      </w:pPr>
      <w:r>
        <w:rPr>
          <w:rFonts w:ascii="Georgia" w:cs="Georgia" w:eastAsia="Georgia" w:hAnsi="Georgia"/>
          <w:b/>
          <w:bCs/>
          <w:color w:val="1A1A1A"/>
          <w:sz w:val="21"/>
          <w:szCs w:val="21"/>
        </w:rPr>
        <w:t xml:space="preserve">The pacing problem.</w:t>
      </w:r>
      <w:r>
        <w:rPr>
          <w:rFonts w:ascii="Georgia" w:cs="Georgia" w:eastAsia="Georgia" w:hAnsi="Georgia"/>
          <w:color w:val="1A1A1A"/>
          <w:sz w:val="21"/>
          <w:szCs w:val="21"/>
        </w:rPr>
        <w:t xml:space="preserve"> Technology develops exponentially; law and regulation develop incrementally. The widening gap between them leaves citizens with outdated protections </w:t>
      </w:r>
      <w:r>
        <w:rPr>
          <w:rFonts w:ascii="Georgia" w:cs="Georgia" w:eastAsia="Georgia" w:hAnsi="Georgia"/>
          <w:i/>
          <w:iCs/>
          <w:color w:val="1A1A1A"/>
          <w:sz w:val="21"/>
          <w:szCs w:val="21"/>
        </w:rPr>
        <w:t xml:space="preserve">and</w:t>
      </w:r>
      <w:r>
        <w:rPr>
          <w:rFonts w:ascii="Georgia" w:cs="Georgia" w:eastAsia="Georgia" w:hAnsi="Georgia"/>
          <w:color w:val="1A1A1A"/>
          <w:sz w:val="21"/>
          <w:szCs w:val="21"/>
        </w:rPr>
        <w:t xml:space="preserve"> leaves innovators with rules that don’t fit — harm and lost opportunity at the same time.</w:t>
      </w:r>
    </w:p>
    <w:p>
      <w:pPr>
        <w:pStyle w:val="ListParagraph"/>
        <w:numPr>
          <w:ilvl w:val="0"/>
          <w:numId w:val="1"/>
        </w:numPr>
        <w:spacing w:after="70" w:line="268"/>
      </w:pPr>
      <w:r>
        <w:rPr>
          <w:rFonts w:ascii="Georgia" w:cs="Georgia" w:eastAsia="Georgia" w:hAnsi="Georgia"/>
          <w:b/>
          <w:bCs/>
          <w:color w:val="1A1A1A"/>
          <w:sz w:val="21"/>
          <w:szCs w:val="21"/>
        </w:rPr>
        <w:t xml:space="preserve">The Collingridge dilemma (the dilemma of control).</w:t>
      </w:r>
      <w:r>
        <w:rPr>
          <w:rFonts w:ascii="Georgia" w:cs="Georgia" w:eastAsia="Georgia" w:hAnsi="Georgia"/>
          <w:color w:val="1A1A1A"/>
          <w:sz w:val="21"/>
          <w:szCs w:val="21"/>
        </w:rPr>
        <w:t xml:space="preserve"> Early in a technology’s life it is easy to shape but hard to predict; by the time its impacts are clear, it is entrenched and hard to change. Anticipatory governance is the attempt to act in that early, uncertain window anyway.</w:t>
      </w:r>
    </w:p>
    <w:p>
      <w:pPr>
        <w:pStyle w:val="ListParagraph"/>
        <w:numPr>
          <w:ilvl w:val="0"/>
          <w:numId w:val="1"/>
        </w:numPr>
        <w:spacing w:after="70" w:line="268"/>
      </w:pPr>
      <w:r>
        <w:rPr>
          <w:rFonts w:ascii="Georgia" w:cs="Georgia" w:eastAsia="Georgia" w:hAnsi="Georgia"/>
          <w:b/>
          <w:bCs/>
          <w:color w:val="1A1A1A"/>
          <w:sz w:val="21"/>
          <w:szCs w:val="21"/>
        </w:rPr>
        <w:t xml:space="preserve">Precaution versus permissionless innovation.</w:t>
      </w:r>
      <w:r>
        <w:rPr>
          <w:rFonts w:ascii="Georgia" w:cs="Georgia" w:eastAsia="Georgia" w:hAnsi="Georgia"/>
          <w:color w:val="1A1A1A"/>
          <w:sz w:val="21"/>
          <w:szCs w:val="21"/>
        </w:rPr>
        <w:t xml:space="preserve"> The precautionary principle (dominant in the EU) says: prove it safe before deployment. Permissionless innovation (historically dominant in the US) says: allow it, then intervene on evidence of harm. Most modern regulatory innovation is an attempt to get the </w:t>
      </w:r>
      <w:r>
        <w:rPr>
          <w:rFonts w:ascii="Georgia" w:cs="Georgia" w:eastAsia="Georgia" w:hAnsi="Georgia"/>
          <w:i/>
          <w:iCs/>
          <w:color w:val="1A1A1A"/>
          <w:sz w:val="21"/>
          <w:szCs w:val="21"/>
        </w:rPr>
        <w:t xml:space="preserve">learning</w:t>
      </w:r>
      <w:r>
        <w:rPr>
          <w:rFonts w:ascii="Georgia" w:cs="Georgia" w:eastAsia="Georgia" w:hAnsi="Georgia"/>
          <w:color w:val="1A1A1A"/>
          <w:sz w:val="21"/>
          <w:szCs w:val="21"/>
        </w:rPr>
        <w:t xml:space="preserve"> of permissionless with the </w:t>
      </w:r>
      <w:r>
        <w:rPr>
          <w:rFonts w:ascii="Georgia" w:cs="Georgia" w:eastAsia="Georgia" w:hAnsi="Georgia"/>
          <w:i/>
          <w:iCs/>
          <w:color w:val="1A1A1A"/>
          <w:sz w:val="21"/>
          <w:szCs w:val="21"/>
        </w:rPr>
        <w:t xml:space="preserve">safety</w:t>
      </w:r>
      <w:r>
        <w:rPr>
          <w:rFonts w:ascii="Georgia" w:cs="Georgia" w:eastAsia="Georgia" w:hAnsi="Georgia"/>
          <w:color w:val="1A1A1A"/>
          <w:sz w:val="21"/>
          <w:szCs w:val="21"/>
        </w:rPr>
        <w:t xml:space="preserve"> of precaution — which is exactly what a sandbox is.</w:t>
      </w:r>
    </w:p>
    <w:p>
      <w:pPr>
        <w:pStyle w:val="Heading2"/>
        <w:spacing w:after="100" w:before="220"/>
      </w:pPr>
      <w:r>
        <w:rPr>
          <w:rFonts w:ascii="Calibri" w:cs="Calibri" w:eastAsia="Calibri" w:hAnsi="Calibri"/>
          <w:b/>
          <w:bCs/>
          <w:color w:val="2F5D8A"/>
          <w:sz w:val="25"/>
          <w:szCs w:val="25"/>
        </w:rPr>
        <w:t xml:space="preserve">2.2 The five principles of agile regulation</w:t>
      </w:r>
    </w:p>
    <w:p>
      <w:pPr>
        <w:spacing w:after="140" w:line="276"/>
        <w:jc w:val="both"/>
      </w:pPr>
      <w:r>
        <w:rPr>
          <w:rFonts w:ascii="Georgia" w:cs="Georgia" w:eastAsia="Georgia" w:hAnsi="Georgia"/>
          <w:color w:val="1A1A1A"/>
          <w:sz w:val="21"/>
          <w:szCs w:val="21"/>
        </w:rPr>
        <w:t xml:space="preserve">The Forum’s own </w:t>
      </w:r>
      <w:r>
        <w:rPr>
          <w:rFonts w:ascii="Georgia" w:cs="Georgia" w:eastAsia="Georgia" w:hAnsi="Georgia"/>
          <w:b/>
          <w:bCs/>
          <w:color w:val="1A1A1A"/>
          <w:sz w:val="21"/>
          <w:szCs w:val="21"/>
        </w:rPr>
        <w:t xml:space="preserve">“Agile Regulation for the Fourth Industrial Revolution: A Toolkit for Regulators” (2020)</w:t>
      </w:r>
      <w:r>
        <w:rPr>
          <w:rFonts w:ascii="Georgia" w:cs="Georgia" w:eastAsia="Georgia" w:hAnsi="Georgia"/>
          <w:color w:val="1A1A1A"/>
          <w:sz w:val="21"/>
          <w:szCs w:val="21"/>
        </w:rPr>
        <w:t xml:space="preserve"> crystallised five principles that are now the shared vocabulary of the field. Memorise all five and you can speak the Forum’s house language:</w:t>
      </w:r>
    </w:p>
    <w:tbl>
      <w:tblPr>
        <w:tblW w:type="dxa" w:w="9360"/>
        <w:tblBorders>
          <w:top w:val="single" w:color="C9D3E0" w:sz="2"/>
          <w:left w:val="none"/>
          <w:bottom w:val="single" w:color="C9D3E0" w:sz="2"/>
          <w:right w:val="none"/>
          <w:insideH w:val="single" w:color="C9D3E0" w:sz="2"/>
          <w:insideV w:val="single" w:color="C9D3E0" w:sz="2"/>
        </w:tblBorders>
      </w:tblPr>
      <w:tblGrid>
        <w:gridCol w:w="2050"/>
        <w:gridCol w:w="4050"/>
        <w:gridCol w:w="3260"/>
      </w:tblGrid>
      <w:tr>
        <w:trPr>
          <w:tblHeader/>
        </w:trPr>
        <w:tc>
          <w:tcPr>
            <w:tcW w:type="dxa" w:w="2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Principle</w:t>
            </w:r>
          </w:p>
        </w:tc>
        <w:tc>
          <w:tcPr>
            <w:tcW w:type="dxa" w:w="4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means</w:t>
            </w:r>
          </w:p>
        </w:tc>
        <w:tc>
          <w:tcPr>
            <w:tcW w:type="dxa" w:w="32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Concrete example</w:t>
            </w:r>
          </w:p>
        </w:tc>
      </w:tr>
      <w:tr>
        <w:tc>
          <w:tcPr>
            <w:tcW w:type="dxa" w:w="2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Adaptive regulation</w:t>
            </w:r>
          </w:p>
        </w:tc>
        <w:tc>
          <w:tcPr>
            <w:tcW w:type="dxa" w:w="4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“Regulate, monitor, iterate.” Rules are living instruments, revised as evidence accumulates — with review clauses and feedback loops built in.</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Sunset clauses; scheduled statutory reviews; iterative rulemaking.</w:t>
            </w:r>
          </w:p>
        </w:tc>
      </w:tr>
      <w:tr>
        <w:tc>
          <w:tcPr>
            <w:tcW w:type="dxa" w:w="2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Outcome-based regulation</w:t>
            </w:r>
          </w:p>
        </w:tc>
        <w:tc>
          <w:tcPr>
            <w:tcW w:type="dxa" w:w="4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Specify the outcome to achieve, not the technology or method to use — letting innovators find the means.</w:t>
            </w:r>
          </w:p>
        </w:tc>
        <w:tc>
          <w:tcPr>
            <w:tcW w:type="dxa" w:w="3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“Systems must be safe/explainable” rather than “use algorithm X.”</w:t>
            </w:r>
          </w:p>
        </w:tc>
      </w:tr>
      <w:tr>
        <w:tc>
          <w:tcPr>
            <w:tcW w:type="dxa" w:w="2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Risk-based (risk-weighted) regulation</w:t>
            </w:r>
          </w:p>
        </w:tc>
        <w:tc>
          <w:tcPr>
            <w:tcW w:type="dxa" w:w="4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Concentrate regulatory effort where potential harm is greatest; light-touch where it is low.</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EU AI Act’s tiers: unacceptable / high / limited / minimal risk.</w:t>
            </w:r>
          </w:p>
        </w:tc>
      </w:tr>
      <w:tr>
        <w:tc>
          <w:tcPr>
            <w:tcW w:type="dxa" w:w="2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Collaborative regulation</w:t>
            </w:r>
          </w:p>
        </w:tc>
        <w:tc>
          <w:tcPr>
            <w:tcW w:type="dxa" w:w="4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Co-design and co-/self-regulation with industry, and alignment across regulators and borders.</w:t>
            </w:r>
          </w:p>
        </w:tc>
        <w:tc>
          <w:tcPr>
            <w:tcW w:type="dxa" w:w="32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Codes of practice; industry standards recognised by regulators.</w:t>
            </w:r>
          </w:p>
        </w:tc>
      </w:tr>
      <w:tr>
        <w:tc>
          <w:tcPr>
            <w:tcW w:type="dxa" w:w="2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Regulatory sandboxes</w:t>
            </w:r>
          </w:p>
        </w:tc>
        <w:tc>
          <w:tcPr>
            <w:tcW w:type="dxa" w:w="4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Controlled, time-limited environments to test innovations with real users under supervision and relaxed rules.</w:t>
            </w:r>
          </w:p>
        </w:tc>
        <w:tc>
          <w:tcPr>
            <w:tcW w:type="dxa" w:w="32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UK FCA fintech sandbox; AI Act national sandboxes.</w:t>
            </w:r>
          </w:p>
        </w:tc>
      </w:tr>
    </w:tbl>
    <w:p>
      <w:pPr>
        <w:spacing w:after="80"/>
      </w:pPr>
    </w:p>
    <w:p>
      <w:pPr>
        <w:spacing w:after="140" w:line="276"/>
        <w:jc w:val="both"/>
      </w:pPr>
      <w:r>
        <w:rPr>
          <w:rFonts w:ascii="Georgia" w:cs="Georgia" w:eastAsia="Georgia" w:hAnsi="Georgia"/>
          <w:color w:val="1A1A1A"/>
          <w:sz w:val="21"/>
          <w:szCs w:val="21"/>
        </w:rPr>
        <w:t xml:space="preserve">Around those five sit the rest of the toolkit, worth naming to show range: </w:t>
      </w:r>
      <w:r>
        <w:rPr>
          <w:rFonts w:ascii="Georgia" w:cs="Georgia" w:eastAsia="Georgia" w:hAnsi="Georgia"/>
          <w:b/>
          <w:bCs/>
          <w:color w:val="1A1A1A"/>
          <w:sz w:val="21"/>
          <w:szCs w:val="21"/>
        </w:rPr>
        <w:t xml:space="preserve">experimental regulation</w:t>
      </w:r>
      <w:r>
        <w:rPr>
          <w:rFonts w:ascii="Georgia" w:cs="Georgia" w:eastAsia="Georgia" w:hAnsi="Georgia"/>
          <w:color w:val="1A1A1A"/>
          <w:sz w:val="21"/>
          <w:szCs w:val="21"/>
        </w:rPr>
        <w:t xml:space="preserve"> (regulators and firms jointly run trials and learn), </w:t>
      </w:r>
      <w:r>
        <w:rPr>
          <w:rFonts w:ascii="Georgia" w:cs="Georgia" w:eastAsia="Georgia" w:hAnsi="Georgia"/>
          <w:b/>
          <w:bCs/>
          <w:color w:val="1A1A1A"/>
          <w:sz w:val="21"/>
          <w:szCs w:val="21"/>
        </w:rPr>
        <w:t xml:space="preserve">data-driven regulation</w:t>
      </w:r>
      <w:r>
        <w:rPr>
          <w:rFonts w:ascii="Georgia" w:cs="Georgia" w:eastAsia="Georgia" w:hAnsi="Georgia"/>
          <w:color w:val="1A1A1A"/>
          <w:sz w:val="21"/>
          <w:szCs w:val="21"/>
        </w:rPr>
        <w:t xml:space="preserve"> (real-time supervision using data), </w:t>
      </w:r>
      <w:r>
        <w:rPr>
          <w:rFonts w:ascii="Georgia" w:cs="Georgia" w:eastAsia="Georgia" w:hAnsi="Georgia"/>
          <w:b/>
          <w:bCs/>
          <w:color w:val="1A1A1A"/>
          <w:sz w:val="21"/>
          <w:szCs w:val="21"/>
        </w:rPr>
        <w:t xml:space="preserve">self- and co-regulation</w:t>
      </w:r>
      <w:r>
        <w:rPr>
          <w:rFonts w:ascii="Georgia" w:cs="Georgia" w:eastAsia="Georgia" w:hAnsi="Georgia"/>
          <w:color w:val="1A1A1A"/>
          <w:sz w:val="21"/>
          <w:szCs w:val="21"/>
        </w:rPr>
        <w:t xml:space="preserve"> (industry-led governance recognised by the state), </w:t>
      </w:r>
      <w:r>
        <w:rPr>
          <w:rFonts w:ascii="Georgia" w:cs="Georgia" w:eastAsia="Georgia" w:hAnsi="Georgia"/>
          <w:b/>
          <w:bCs/>
          <w:color w:val="1A1A1A"/>
          <w:sz w:val="21"/>
          <w:szCs w:val="21"/>
        </w:rPr>
        <w:t xml:space="preserve">joined-up regulation</w:t>
      </w:r>
      <w:r>
        <w:rPr>
          <w:rFonts w:ascii="Georgia" w:cs="Georgia" w:eastAsia="Georgia" w:hAnsi="Georgia"/>
          <w:color w:val="1A1A1A"/>
          <w:sz w:val="21"/>
          <w:szCs w:val="21"/>
        </w:rPr>
        <w:t xml:space="preserve"> (one-stop shops across agencies), and </w:t>
      </w:r>
      <w:r>
        <w:rPr>
          <w:rFonts w:ascii="Georgia" w:cs="Georgia" w:eastAsia="Georgia" w:hAnsi="Georgia"/>
          <w:b/>
          <w:bCs/>
          <w:color w:val="1A1A1A"/>
          <w:sz w:val="21"/>
          <w:szCs w:val="21"/>
        </w:rPr>
        <w:t xml:space="preserve">international regulatory cooperation</w:t>
      </w:r>
      <w:r>
        <w:rPr>
          <w:rFonts w:ascii="Georgia" w:cs="Georgia" w:eastAsia="Georgia" w:hAnsi="Georgia"/>
          <w:color w:val="1A1A1A"/>
          <w:sz w:val="21"/>
          <w:szCs w:val="21"/>
        </w:rPr>
        <w:t xml:space="preserve"> (mutual recognition and interoperability across borders).</w:t>
      </w:r>
    </w:p>
    <w:p>
      <w:pPr>
        <w:pStyle w:val="Heading2"/>
        <w:spacing w:after="100" w:before="220"/>
      </w:pPr>
      <w:r>
        <w:rPr>
          <w:rFonts w:ascii="Calibri" w:cs="Calibri" w:eastAsia="Calibri" w:hAnsi="Calibri"/>
          <w:b/>
          <w:bCs/>
          <w:color w:val="2F5D8A"/>
          <w:sz w:val="25"/>
          <w:szCs w:val="25"/>
        </w:rPr>
        <w:t xml:space="preserve">2.3 Regulatory sandboxes — the flagship instrument</w:t>
      </w:r>
    </w:p>
    <w:p>
      <w:pPr>
        <w:spacing w:after="140" w:line="276"/>
        <w:jc w:val="both"/>
      </w:pPr>
      <w:r>
        <w:rPr>
          <w:rFonts w:ascii="Georgia" w:cs="Georgia" w:eastAsia="Georgia" w:hAnsi="Georgia"/>
          <w:color w:val="1A1A1A"/>
          <w:sz w:val="21"/>
          <w:szCs w:val="21"/>
        </w:rPr>
        <w:t xml:space="preserve">The sandbox is the single most important instrument to be able to discuss in detail, because it is both the field’s signature idea and GRIP’s own “Innovation Hub.” A regulatory sandbox is a </w:t>
      </w:r>
      <w:r>
        <w:rPr>
          <w:rFonts w:ascii="Georgia" w:cs="Georgia" w:eastAsia="Georgia" w:hAnsi="Georgia"/>
          <w:b/>
          <w:bCs/>
          <w:color w:val="1A1A1A"/>
          <w:sz w:val="21"/>
          <w:szCs w:val="21"/>
        </w:rPr>
        <w:t xml:space="preserve">controlled, time-limited space in which firms test new products, services or business models with real customers, under close supervision, with certain rules relaxed or waived and with safeguards (participant limits, disclosure, exit plans).</w:t>
      </w:r>
    </w:p>
    <w:p>
      <w:pPr>
        <w:pStyle w:val="ListParagraph"/>
        <w:numPr>
          <w:ilvl w:val="0"/>
          <w:numId w:val="1"/>
        </w:numPr>
        <w:spacing w:after="70" w:line="268"/>
      </w:pPr>
      <w:r>
        <w:rPr>
          <w:rFonts w:ascii="Georgia" w:cs="Georgia" w:eastAsia="Georgia" w:hAnsi="Georgia"/>
          <w:b/>
          <w:bCs/>
          <w:color w:val="1A1A1A"/>
          <w:sz w:val="21"/>
          <w:szCs w:val="21"/>
        </w:rPr>
        <w:t xml:space="preserve">Origin and spread.</w:t>
      </w:r>
      <w:r>
        <w:rPr>
          <w:rFonts w:ascii="Georgia" w:cs="Georgia" w:eastAsia="Georgia" w:hAnsi="Georgia"/>
          <w:color w:val="1A1A1A"/>
          <w:sz w:val="21"/>
          <w:szCs w:val="21"/>
        </w:rPr>
        <w:t xml:space="preserve"> Pioneered by the UK’s Financial Conduct Authority for fintech in 2016; now adopted in </w:t>
      </w:r>
      <w:r>
        <w:rPr>
          <w:rFonts w:ascii="Georgia" w:cs="Georgia" w:eastAsia="Georgia" w:hAnsi="Georgia"/>
          <w:b/>
          <w:bCs/>
          <w:color w:val="1A1A1A"/>
          <w:sz w:val="21"/>
          <w:szCs w:val="21"/>
        </w:rPr>
        <w:t xml:space="preserve">50+ jurisdictions</w:t>
      </w:r>
      <w:r>
        <w:rPr>
          <w:rFonts w:ascii="Georgia" w:cs="Georgia" w:eastAsia="Georgia" w:hAnsi="Georgia"/>
          <w:color w:val="1A1A1A"/>
          <w:sz w:val="21"/>
          <w:szCs w:val="21"/>
        </w:rPr>
        <w:t xml:space="preserve"> across finance, energy, health, mobility and data.</w:t>
      </w:r>
    </w:p>
    <w:p>
      <w:pPr>
        <w:pStyle w:val="ListParagraph"/>
        <w:numPr>
          <w:ilvl w:val="0"/>
          <w:numId w:val="1"/>
        </w:numPr>
        <w:spacing w:after="70" w:line="268"/>
      </w:pPr>
      <w:r>
        <w:rPr>
          <w:rFonts w:ascii="Georgia" w:cs="Georgia" w:eastAsia="Georgia" w:hAnsi="Georgia"/>
          <w:b/>
          <w:bCs/>
          <w:color w:val="1A1A1A"/>
          <w:sz w:val="21"/>
          <w:szCs w:val="21"/>
        </w:rPr>
        <w:t xml:space="preserve">What it buys the regulator:</w:t>
      </w:r>
      <w:r>
        <w:rPr>
          <w:rFonts w:ascii="Georgia" w:cs="Georgia" w:eastAsia="Georgia" w:hAnsi="Georgia"/>
          <w:color w:val="1A1A1A"/>
          <w:sz w:val="21"/>
          <w:szCs w:val="21"/>
        </w:rPr>
        <w:t xml:space="preserve"> early sight of emerging tech, evidence for future rules, and relationships with innovators. </w:t>
      </w:r>
      <w:r>
        <w:rPr>
          <w:rFonts w:ascii="Georgia" w:cs="Georgia" w:eastAsia="Georgia" w:hAnsi="Georgia"/>
          <w:b/>
          <w:bCs/>
          <w:color w:val="1A1A1A"/>
          <w:sz w:val="21"/>
          <w:szCs w:val="21"/>
        </w:rPr>
        <w:t xml:space="preserve">What it buys the firm:</w:t>
      </w:r>
      <w:r>
        <w:rPr>
          <w:rFonts w:ascii="Georgia" w:cs="Georgia" w:eastAsia="Georgia" w:hAnsi="Georgia"/>
          <w:color w:val="1A1A1A"/>
          <w:sz w:val="21"/>
          <w:szCs w:val="21"/>
        </w:rPr>
        <w:t xml:space="preserve"> a legal path to test, faster time-to-market, and regulatory certainty.</w:t>
      </w:r>
    </w:p>
    <w:p>
      <w:pPr>
        <w:pStyle w:val="ListParagraph"/>
        <w:numPr>
          <w:ilvl w:val="0"/>
          <w:numId w:val="1"/>
        </w:numPr>
        <w:spacing w:after="70" w:line="268"/>
      </w:pPr>
      <w:r>
        <w:rPr>
          <w:rFonts w:ascii="Georgia" w:cs="Georgia" w:eastAsia="Georgia" w:hAnsi="Georgia"/>
          <w:b/>
          <w:bCs/>
          <w:color w:val="1A1A1A"/>
          <w:sz w:val="21"/>
          <w:szCs w:val="21"/>
        </w:rPr>
        <w:t xml:space="preserve">Variants to name:</w:t>
      </w:r>
      <w:r>
        <w:rPr>
          <w:rFonts w:ascii="Georgia" w:cs="Georgia" w:eastAsia="Georgia" w:hAnsi="Georgia"/>
          <w:color w:val="1A1A1A"/>
          <w:sz w:val="21"/>
          <w:szCs w:val="21"/>
        </w:rPr>
        <w:t xml:space="preserve"> </w:t>
      </w:r>
      <w:r>
        <w:rPr>
          <w:rFonts w:ascii="Georgia" w:cs="Georgia" w:eastAsia="Georgia" w:hAnsi="Georgia"/>
          <w:i/>
          <w:iCs/>
          <w:color w:val="1A1A1A"/>
          <w:sz w:val="21"/>
          <w:szCs w:val="21"/>
        </w:rPr>
        <w:t xml:space="preserve">thematic</w:t>
      </w:r>
      <w:r>
        <w:rPr>
          <w:rFonts w:ascii="Georgia" w:cs="Georgia" w:eastAsia="Georgia" w:hAnsi="Georgia"/>
          <w:color w:val="1A1A1A"/>
          <w:sz w:val="21"/>
          <w:szCs w:val="21"/>
        </w:rPr>
        <w:t xml:space="preserve"> sandboxes (one technology), </w:t>
      </w:r>
      <w:r>
        <w:rPr>
          <w:rFonts w:ascii="Georgia" w:cs="Georgia" w:eastAsia="Georgia" w:hAnsi="Georgia"/>
          <w:i/>
          <w:iCs/>
          <w:color w:val="1A1A1A"/>
          <w:sz w:val="21"/>
          <w:szCs w:val="21"/>
        </w:rPr>
        <w:t xml:space="preserve">cross-border</w:t>
      </w:r>
      <w:r>
        <w:rPr>
          <w:rFonts w:ascii="Georgia" w:cs="Georgia" w:eastAsia="Georgia" w:hAnsi="Georgia"/>
          <w:color w:val="1A1A1A"/>
          <w:sz w:val="21"/>
          <w:szCs w:val="21"/>
        </w:rPr>
        <w:t xml:space="preserve"> sandboxes (multi-regulator, e.g. the EU’s), </w:t>
      </w:r>
      <w:r>
        <w:rPr>
          <w:rFonts w:ascii="Georgia" w:cs="Georgia" w:eastAsia="Georgia" w:hAnsi="Georgia"/>
          <w:i/>
          <w:iCs/>
          <w:color w:val="1A1A1A"/>
          <w:sz w:val="21"/>
          <w:szCs w:val="21"/>
        </w:rPr>
        <w:t xml:space="preserve">policy prototyping</w:t>
      </w:r>
      <w:r>
        <w:rPr>
          <w:rFonts w:ascii="Georgia" w:cs="Georgia" w:eastAsia="Georgia" w:hAnsi="Georgia"/>
          <w:color w:val="1A1A1A"/>
          <w:sz w:val="21"/>
          <w:szCs w:val="21"/>
        </w:rPr>
        <w:t xml:space="preserve">, and </w:t>
      </w:r>
      <w:r>
        <w:rPr>
          <w:rFonts w:ascii="Georgia" w:cs="Georgia" w:eastAsia="Georgia" w:hAnsi="Georgia"/>
          <w:i/>
          <w:iCs/>
          <w:color w:val="1A1A1A"/>
          <w:sz w:val="21"/>
          <w:szCs w:val="21"/>
        </w:rPr>
        <w:t xml:space="preserve">TechSprints</w:t>
      </w:r>
      <w:r>
        <w:rPr>
          <w:rFonts w:ascii="Georgia" w:cs="Georgia" w:eastAsia="Georgia" w:hAnsi="Georgia"/>
          <w:color w:val="1A1A1A"/>
          <w:sz w:val="21"/>
          <w:szCs w:val="21"/>
        </w:rPr>
        <w:t xml:space="preserve">. The EU AI Act </w:t>
      </w:r>
      <w:r>
        <w:rPr>
          <w:rFonts w:ascii="Georgia" w:cs="Georgia" w:eastAsia="Georgia" w:hAnsi="Georgia"/>
          <w:b/>
          <w:bCs/>
          <w:color w:val="1A1A1A"/>
          <w:sz w:val="21"/>
          <w:szCs w:val="21"/>
        </w:rPr>
        <w:t xml:space="preserve">mandates that every member state establish at least one AI regulatory sandbox by August 2026</w:t>
      </w:r>
      <w:r>
        <w:rPr>
          <w:rFonts w:ascii="Georgia" w:cs="Georgia" w:eastAsia="Georgia" w:hAnsi="Georgia"/>
          <w:color w:val="1A1A1A"/>
          <w:sz w:val="21"/>
          <w:szCs w:val="21"/>
        </w:rPr>
        <w:t xml:space="preserve"> — a concrete, current fact worth deploying.</w:t>
      </w:r>
    </w:p>
    <w:p>
      <w:pPr>
        <w:pStyle w:val="ListParagraph"/>
        <w:numPr>
          <w:ilvl w:val="0"/>
          <w:numId w:val="1"/>
        </w:numPr>
        <w:spacing w:after="70" w:line="268"/>
      </w:pPr>
      <w:r>
        <w:rPr>
          <w:rFonts w:ascii="Georgia" w:cs="Georgia" w:eastAsia="Georgia" w:hAnsi="Georgia"/>
          <w:b/>
          <w:bCs/>
          <w:color w:val="1A1A1A"/>
          <w:sz w:val="21"/>
          <w:szCs w:val="21"/>
        </w:rPr>
        <w:t xml:space="preserve">The honest limits (say these unprompted to show maturity):</w:t>
      </w:r>
      <w:r>
        <w:rPr>
          <w:rFonts w:ascii="Georgia" w:cs="Georgia" w:eastAsia="Georgia" w:hAnsi="Georgia"/>
          <w:color w:val="1A1A1A"/>
          <w:sz w:val="21"/>
          <w:szCs w:val="21"/>
        </w:rPr>
        <w:t xml:space="preserve"> sandboxes can privilege well-resourced incumbents; they don’t scale rules automatically (the “graduation” or exit problem); they risk becoming PR rather than learning; and they need real regulatory capacity to run well. A sophisticated answer pairs the sandbox with a plan to </w:t>
      </w:r>
      <w:r>
        <w:rPr>
          <w:rFonts w:ascii="Georgia" w:cs="Georgia" w:eastAsia="Georgia" w:hAnsi="Georgia"/>
          <w:i/>
          <w:iCs/>
          <w:color w:val="1A1A1A"/>
          <w:sz w:val="21"/>
          <w:szCs w:val="21"/>
        </w:rPr>
        <w:t xml:space="preserve">codify</w:t>
      </w:r>
      <w:r>
        <w:rPr>
          <w:rFonts w:ascii="Georgia" w:cs="Georgia" w:eastAsia="Georgia" w:hAnsi="Georgia"/>
          <w:color w:val="1A1A1A"/>
          <w:sz w:val="21"/>
          <w:szCs w:val="21"/>
        </w:rPr>
        <w:t xml:space="preserve"> what the sandbox learns.</w:t>
      </w:r>
    </w:p>
    <w:p>
      <w:pPr>
        <w:pStyle w:val="Heading2"/>
        <w:spacing w:after="100" w:before="220"/>
      </w:pPr>
      <w:r>
        <w:rPr>
          <w:rFonts w:ascii="Calibri" w:cs="Calibri" w:eastAsia="Calibri" w:hAnsi="Calibri"/>
          <w:b/>
          <w:bCs/>
          <w:color w:val="2F5D8A"/>
          <w:sz w:val="25"/>
          <w:szCs w:val="25"/>
        </w:rPr>
        <w:t xml:space="preserve">2.4 Anticipatory and adaptive governance</w:t>
      </w:r>
    </w:p>
    <w:p>
      <w:pPr>
        <w:spacing w:after="140" w:line="276"/>
        <w:jc w:val="both"/>
      </w:pPr>
      <w:r>
        <w:rPr>
          <w:rFonts w:ascii="Georgia" w:cs="Georgia" w:eastAsia="Georgia" w:hAnsi="Georgia"/>
          <w:color w:val="1A1A1A"/>
          <w:sz w:val="21"/>
          <w:szCs w:val="21"/>
        </w:rPr>
        <w:t xml:space="preserve">If sandboxes are the instrument, </w:t>
      </w:r>
      <w:r>
        <w:rPr>
          <w:rFonts w:ascii="Georgia" w:cs="Georgia" w:eastAsia="Georgia" w:hAnsi="Georgia"/>
          <w:b/>
          <w:bCs/>
          <w:color w:val="1A1A1A"/>
          <w:sz w:val="21"/>
          <w:szCs w:val="21"/>
        </w:rPr>
        <w:t xml:space="preserve">anticipatory governance</w:t>
      </w:r>
      <w:r>
        <w:rPr>
          <w:rFonts w:ascii="Georgia" w:cs="Georgia" w:eastAsia="Georgia" w:hAnsi="Georgia"/>
          <w:color w:val="1A1A1A"/>
          <w:sz w:val="21"/>
          <w:szCs w:val="21"/>
        </w:rPr>
        <w:t xml:space="preserve"> is the mindset. The current academic framing describes a culture built on three capabilities you can cite directly:</w:t>
      </w:r>
    </w:p>
    <w:p>
      <w:pPr>
        <w:pStyle w:val="ListParagraph"/>
        <w:numPr>
          <w:ilvl w:val="0"/>
          <w:numId w:val="2"/>
        </w:numPr>
        <w:spacing w:after="70" w:line="268"/>
      </w:pPr>
      <w:r>
        <w:rPr>
          <w:rFonts w:ascii="Georgia" w:cs="Georgia" w:eastAsia="Georgia" w:hAnsi="Georgia"/>
          <w:b/>
          <w:bCs/>
          <w:color w:val="1A1A1A"/>
          <w:sz w:val="21"/>
          <w:szCs w:val="21"/>
        </w:rPr>
        <w:t xml:space="preserve">Regulatory foresight</w:t>
      </w:r>
      <w:r>
        <w:rPr>
          <w:rFonts w:ascii="Georgia" w:cs="Georgia" w:eastAsia="Georgia" w:hAnsi="Georgia"/>
          <w:color w:val="1A1A1A"/>
          <w:sz w:val="21"/>
          <w:szCs w:val="21"/>
        </w:rPr>
        <w:t xml:space="preserve"> — systematic horizon-scanning and scenario work to see technologies coming (the antidote to the Collingridge dilemma).</w:t>
      </w:r>
    </w:p>
    <w:p>
      <w:pPr>
        <w:pStyle w:val="ListParagraph"/>
        <w:numPr>
          <w:ilvl w:val="0"/>
          <w:numId w:val="2"/>
        </w:numPr>
        <w:spacing w:after="70" w:line="268"/>
      </w:pPr>
      <w:r>
        <w:rPr>
          <w:rFonts w:ascii="Georgia" w:cs="Georgia" w:eastAsia="Georgia" w:hAnsi="Georgia"/>
          <w:b/>
          <w:bCs/>
          <w:color w:val="1A1A1A"/>
          <w:sz w:val="21"/>
          <w:szCs w:val="21"/>
        </w:rPr>
        <w:t xml:space="preserve">Regulatory experimentation</w:t>
      </w:r>
      <w:r>
        <w:rPr>
          <w:rFonts w:ascii="Georgia" w:cs="Georgia" w:eastAsia="Georgia" w:hAnsi="Georgia"/>
          <w:color w:val="1A1A1A"/>
          <w:sz w:val="21"/>
          <w:szCs w:val="21"/>
        </w:rPr>
        <w:t xml:space="preserve"> — sandboxes, pilots, testbeds and living labs that generate real-world evidence before rules are fixed.</w:t>
      </w:r>
    </w:p>
    <w:p>
      <w:pPr>
        <w:pStyle w:val="ListParagraph"/>
        <w:numPr>
          <w:ilvl w:val="0"/>
          <w:numId w:val="2"/>
        </w:numPr>
        <w:spacing w:after="70" w:line="268"/>
      </w:pPr>
      <w:r>
        <w:rPr>
          <w:rFonts w:ascii="Georgia" w:cs="Georgia" w:eastAsia="Georgia" w:hAnsi="Georgia"/>
          <w:b/>
          <w:bCs/>
          <w:color w:val="1A1A1A"/>
          <w:sz w:val="21"/>
          <w:szCs w:val="21"/>
        </w:rPr>
        <w:t xml:space="preserve">Regulatory learning</w:t>
      </w:r>
      <w:r>
        <w:rPr>
          <w:rFonts w:ascii="Georgia" w:cs="Georgia" w:eastAsia="Georgia" w:hAnsi="Georgia"/>
          <w:color w:val="1A1A1A"/>
          <w:sz w:val="21"/>
          <w:szCs w:val="21"/>
        </w:rPr>
        <w:t xml:space="preserve"> — institutionalised feedback loops that turn that evidence back into revised rules (the “adaptive” half of the cycle).</w:t>
      </w:r>
    </w:p>
    <w:p>
      <w:pPr>
        <w:spacing w:after="140" w:line="276"/>
        <w:jc w:val="both"/>
      </w:pPr>
      <w:r>
        <w:rPr>
          <w:rFonts w:ascii="Georgia" w:cs="Georgia" w:eastAsia="Georgia" w:hAnsi="Georgia"/>
          <w:color w:val="1A1A1A"/>
          <w:sz w:val="21"/>
          <w:szCs w:val="21"/>
        </w:rPr>
        <w:t xml:space="preserve">The practical mechanisms that operationalise this — worth having on the tip of your tongue — are </w:t>
      </w:r>
      <w:r>
        <w:rPr>
          <w:rFonts w:ascii="Georgia" w:cs="Georgia" w:eastAsia="Georgia" w:hAnsi="Georgia"/>
          <w:b/>
          <w:bCs/>
          <w:color w:val="1A1A1A"/>
          <w:sz w:val="21"/>
          <w:szCs w:val="21"/>
        </w:rPr>
        <w:t xml:space="preserve">sunset clauses</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mandatory post-implementation review</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iterative / staged rulemaking</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regulatory impact assessment (RIA)</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living guidance</w:t>
      </w:r>
      <w:r>
        <w:rPr>
          <w:rFonts w:ascii="Georgia" w:cs="Georgia" w:eastAsia="Georgia" w:hAnsi="Georgia"/>
          <w:color w:val="1A1A1A"/>
          <w:sz w:val="21"/>
          <w:szCs w:val="21"/>
        </w:rPr>
        <w:t xml:space="preserve"> that is updated more like software than statute.</w:t>
      </w:r>
    </w:p>
    <w:p>
      <w:pPr>
        <w:pStyle w:val="Heading2"/>
        <w:spacing w:after="100" w:before="220"/>
      </w:pPr>
      <w:r>
        <w:rPr>
          <w:rFonts w:ascii="Calibri" w:cs="Calibri" w:eastAsia="Calibri" w:hAnsi="Calibri"/>
          <w:b/>
          <w:bCs/>
          <w:color w:val="2F5D8A"/>
          <w:sz w:val="25"/>
          <w:szCs w:val="25"/>
        </w:rPr>
        <w:t xml:space="preserve">2.5 Standards and soft law</w:t>
      </w:r>
    </w:p>
    <w:p>
      <w:pPr>
        <w:spacing w:after="140" w:line="276"/>
        <w:jc w:val="both"/>
      </w:pPr>
      <w:r>
        <w:rPr>
          <w:rFonts w:ascii="Georgia" w:cs="Georgia" w:eastAsia="Georgia" w:hAnsi="Georgia"/>
          <w:color w:val="1A1A1A"/>
          <w:sz w:val="21"/>
          <w:szCs w:val="21"/>
        </w:rPr>
        <w:t xml:space="preserve">Soft law is how you govern at the speed of technology. It includes </w:t>
      </w:r>
      <w:r>
        <w:rPr>
          <w:rFonts w:ascii="Georgia" w:cs="Georgia" w:eastAsia="Georgia" w:hAnsi="Georgia"/>
          <w:b/>
          <w:bCs/>
          <w:color w:val="1A1A1A"/>
          <w:sz w:val="21"/>
          <w:szCs w:val="21"/>
        </w:rPr>
        <w:t xml:space="preserve">technical standards</w:t>
      </w:r>
      <w:r>
        <w:rPr>
          <w:rFonts w:ascii="Georgia" w:cs="Georgia" w:eastAsia="Georgia" w:hAnsi="Georgia"/>
          <w:color w:val="1A1A1A"/>
          <w:sz w:val="21"/>
          <w:szCs w:val="21"/>
        </w:rPr>
        <w:t xml:space="preserve"> (ISO/IEC, IEEE, CEN-CENELEC), </w:t>
      </w:r>
      <w:r>
        <w:rPr>
          <w:rFonts w:ascii="Georgia" w:cs="Georgia" w:eastAsia="Georgia" w:hAnsi="Georgia"/>
          <w:b/>
          <w:bCs/>
          <w:color w:val="1A1A1A"/>
          <w:sz w:val="21"/>
          <w:szCs w:val="21"/>
        </w:rPr>
        <w:t xml:space="preserve">codes of practice</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principles and guidelines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voluntary commitments</w:t>
      </w:r>
      <w:r>
        <w:rPr>
          <w:rFonts w:ascii="Georgia" w:cs="Georgia" w:eastAsia="Georgia" w:hAnsi="Georgia"/>
          <w:color w:val="1A1A1A"/>
          <w:sz w:val="21"/>
          <w:szCs w:val="21"/>
        </w:rPr>
        <w:t xml:space="preserve">. Two moves make you sound expert here:</w:t>
      </w:r>
    </w:p>
    <w:p>
      <w:pPr>
        <w:pStyle w:val="ListParagraph"/>
        <w:numPr>
          <w:ilvl w:val="0"/>
          <w:numId w:val="1"/>
        </w:numPr>
        <w:spacing w:after="70" w:line="268"/>
      </w:pPr>
      <w:r>
        <w:rPr>
          <w:rFonts w:ascii="Georgia" w:cs="Georgia" w:eastAsia="Georgia" w:hAnsi="Georgia"/>
          <w:color w:val="1A1A1A"/>
          <w:sz w:val="21"/>
          <w:szCs w:val="21"/>
        </w:rPr>
        <w:t xml:space="preserve">*</w:t>
      </w:r>
      <w:r>
        <w:rPr>
          <w:rFonts w:ascii="Georgia" w:cs="Georgia" w:eastAsia="Georgia" w:hAnsi="Georgia"/>
          <w:i/>
          <w:iCs/>
          <w:color w:val="1A1A1A"/>
          <w:sz w:val="21"/>
          <w:szCs w:val="21"/>
        </w:rPr>
        <w:t xml:space="preserve">Distinguish </w:t>
      </w:r>
      <w:r>
        <w:rPr>
          <w:rFonts w:ascii="Georgia" w:cs="Georgia" w:eastAsia="Georgia" w:hAnsi="Georgia"/>
          <w:color w:val="1A1A1A"/>
          <w:sz w:val="21"/>
          <w:szCs w:val="21"/>
        </w:rPr>
        <w:t xml:space="preserve">de jure</w:t>
      </w:r>
      <w:r>
        <w:rPr>
          <w:rFonts w:ascii="Georgia" w:cs="Georgia" w:eastAsia="Georgia" w:hAnsi="Georgia"/>
          <w:i/>
          <w:iCs/>
          <w:color w:val="1A1A1A"/>
          <w:sz w:val="21"/>
          <w:szCs w:val="21"/>
        </w:rPr>
        <w:t xml:space="preserve"> from </w:t>
      </w:r>
      <w:r>
        <w:rPr>
          <w:rFonts w:ascii="Georgia" w:cs="Georgia" w:eastAsia="Georgia" w:hAnsi="Georgia"/>
          <w:color w:val="1A1A1A"/>
          <w:sz w:val="21"/>
          <w:szCs w:val="21"/>
        </w:rPr>
        <w:t xml:space="preserve">de facto</w:t>
      </w:r>
      <w:r>
        <w:rPr>
          <w:rFonts w:ascii="Georgia" w:cs="Georgia" w:eastAsia="Georgia" w:hAnsi="Georgia"/>
          <w:i/>
          <w:iCs/>
          <w:color w:val="1A1A1A"/>
          <w:sz w:val="21"/>
          <w:szCs w:val="21"/>
        </w:rPr>
        <w:t xml:space="preserve"> standards</w:t>
      </w:r>
      <w:r>
        <w:rPr>
          <w:rFonts w:ascii="Georgia" w:cs="Georgia" w:eastAsia="Georgia" w:hAnsi="Georgia"/>
          <w:i/>
          <w:iCs/>
          <w:color w:val="1A1A1A"/>
          <w:sz w:val="21"/>
          <w:szCs w:val="21"/>
        </w:rPr>
        <w:t xml:space="preserve"> — those set by formal bodies versus those that win in the market — and note that regulators increasingly </w:t>
      </w:r>
      <w:r>
        <w:rPr>
          <w:rFonts w:ascii="Georgia" w:cs="Georgia" w:eastAsia="Georgia" w:hAnsi="Georgia"/>
          <w:color w:val="1A1A1A"/>
          <w:sz w:val="21"/>
          <w:szCs w:val="21"/>
        </w:rPr>
        <w:t xml:space="preserve">reference* standards to give soft law teeth (the “New Approach” in EU product law is the classic template).</w:t>
      </w:r>
    </w:p>
    <w:p>
      <w:pPr>
        <w:pStyle w:val="ListParagraph"/>
        <w:numPr>
          <w:ilvl w:val="0"/>
          <w:numId w:val="1"/>
        </w:numPr>
        <w:spacing w:after="70" w:line="268"/>
      </w:pPr>
      <w:r>
        <w:rPr>
          <w:rFonts w:ascii="Georgia" w:cs="Georgia" w:eastAsia="Georgia" w:hAnsi="Georgia"/>
          <w:b/>
          <w:bCs/>
          <w:color w:val="1A1A1A"/>
          <w:sz w:val="21"/>
          <w:szCs w:val="21"/>
        </w:rPr>
        <w:t xml:space="preserve">Name the soft-law-to-hard-law pipeline.</w:t>
      </w:r>
      <w:r>
        <w:rPr>
          <w:rFonts w:ascii="Georgia" w:cs="Georgia" w:eastAsia="Georgia" w:hAnsi="Georgia"/>
          <w:color w:val="1A1A1A"/>
          <w:sz w:val="21"/>
          <w:szCs w:val="21"/>
        </w:rPr>
        <w:t xml:space="preserve"> Principles and codes (fast, flexible, non-binding) are often the R&amp;D phase for binding regulation: the OECD AI Principles → national laws; the EU’s voluntary </w:t>
      </w:r>
      <w:r>
        <w:rPr>
          <w:rFonts w:ascii="Georgia" w:cs="Georgia" w:eastAsia="Georgia" w:hAnsi="Georgia"/>
          <w:b/>
          <w:bCs/>
          <w:color w:val="1A1A1A"/>
          <w:sz w:val="21"/>
          <w:szCs w:val="21"/>
        </w:rPr>
        <w:t xml:space="preserve">GPAI Code of Practice (July 2025)</w:t>
      </w:r>
      <w:r>
        <w:rPr>
          <w:rFonts w:ascii="Georgia" w:cs="Georgia" w:eastAsia="Georgia" w:hAnsi="Georgia"/>
          <w:color w:val="1A1A1A"/>
          <w:sz w:val="21"/>
          <w:szCs w:val="21"/>
        </w:rPr>
        <w:t xml:space="preserve"> → the binding AI Act obligations it operationalises. Soft law buys time and builds consensus while hard law catches up.</w:t>
      </w:r>
    </w:p>
    <w:p>
      <w:pPr>
        <w:pStyle w:val="Heading2"/>
        <w:spacing w:after="100" w:before="220"/>
      </w:pPr>
      <w:r>
        <w:rPr>
          <w:rFonts w:ascii="Calibri" w:cs="Calibri" w:eastAsia="Calibri" w:hAnsi="Calibri"/>
          <w:b/>
          <w:bCs/>
          <w:color w:val="2F5D8A"/>
          <w:sz w:val="25"/>
          <w:szCs w:val="25"/>
        </w:rPr>
        <w:t xml:space="preserve">2.6 RegTech and SupTech</w:t>
      </w:r>
    </w:p>
    <w:p>
      <w:pPr>
        <w:spacing w:after="140" w:line="276"/>
        <w:jc w:val="both"/>
      </w:pPr>
      <w:r>
        <w:rPr>
          <w:rFonts w:ascii="Georgia" w:cs="Georgia" w:eastAsia="Georgia" w:hAnsi="Georgia"/>
          <w:b/>
          <w:bCs/>
          <w:color w:val="1A1A1A"/>
          <w:sz w:val="21"/>
          <w:szCs w:val="21"/>
        </w:rPr>
        <w:t xml:space="preserve">RegTech</w:t>
      </w:r>
      <w:r>
        <w:rPr>
          <w:rFonts w:ascii="Georgia" w:cs="Georgia" w:eastAsia="Georgia" w:hAnsi="Georgia"/>
          <w:color w:val="1A1A1A"/>
          <w:sz w:val="21"/>
          <w:szCs w:val="21"/>
        </w:rPr>
        <w:t xml:space="preserve"> is technology that helps the regulated comply (automated reporting, KYC/AML, compliance monitoring). </w:t>
      </w:r>
      <w:r>
        <w:rPr>
          <w:rFonts w:ascii="Georgia" w:cs="Georgia" w:eastAsia="Georgia" w:hAnsi="Georgia"/>
          <w:b/>
          <w:bCs/>
          <w:color w:val="1A1A1A"/>
          <w:sz w:val="21"/>
          <w:szCs w:val="21"/>
        </w:rPr>
        <w:t xml:space="preserve">SupTech</w:t>
      </w:r>
      <w:r>
        <w:rPr>
          <w:rFonts w:ascii="Georgia" w:cs="Georgia" w:eastAsia="Georgia" w:hAnsi="Georgia"/>
          <w:color w:val="1A1A1A"/>
          <w:sz w:val="21"/>
          <w:szCs w:val="21"/>
        </w:rPr>
        <w:t xml:space="preserve"> is technology that helps the </w:t>
      </w:r>
      <w:r>
        <w:rPr>
          <w:rFonts w:ascii="Georgia" w:cs="Georgia" w:eastAsia="Georgia" w:hAnsi="Georgia"/>
          <w:i/>
          <w:iCs/>
          <w:color w:val="1A1A1A"/>
          <w:sz w:val="21"/>
          <w:szCs w:val="21"/>
        </w:rPr>
        <w:t xml:space="preserve">supervisor</w:t>
      </w:r>
      <w:r>
        <w:rPr>
          <w:rFonts w:ascii="Georgia" w:cs="Georgia" w:eastAsia="Georgia" w:hAnsi="Georgia"/>
          <w:color w:val="1A1A1A"/>
          <w:sz w:val="21"/>
          <w:szCs w:val="21"/>
        </w:rPr>
        <w:t xml:space="preserve"> regulate (real-time data feeds, machine-readable regulation, algorithmic market surveillance). The forward idea to cite is </w:t>
      </w:r>
      <w:r>
        <w:rPr>
          <w:rFonts w:ascii="Georgia" w:cs="Georgia" w:eastAsia="Georgia" w:hAnsi="Georgia"/>
          <w:b/>
          <w:bCs/>
          <w:color w:val="1A1A1A"/>
          <w:sz w:val="21"/>
          <w:szCs w:val="21"/>
        </w:rPr>
        <w:t xml:space="preserve">machine-readable and even “machine-executable” regulation</w:t>
      </w:r>
      <w:r>
        <w:rPr>
          <w:rFonts w:ascii="Georgia" w:cs="Georgia" w:eastAsia="Georgia" w:hAnsi="Georgia"/>
          <w:color w:val="1A1A1A"/>
          <w:sz w:val="21"/>
          <w:szCs w:val="21"/>
        </w:rPr>
        <w:t xml:space="preserve"> — rules published as code so compliance can be automated and supervision made continuous rather than periodic. This is the natural bridge between “regulatory innovation” and the frontier technologies themselves.</w:t>
      </w:r>
    </w:p>
    <w:p>
      <w:pPr>
        <w:pStyle w:val="Heading2"/>
        <w:spacing w:after="100" w:before="220"/>
      </w:pPr>
      <w:r>
        <w:rPr>
          <w:rFonts w:ascii="Calibri" w:cs="Calibri" w:eastAsia="Calibri" w:hAnsi="Calibri"/>
          <w:b/>
          <w:bCs/>
          <w:color w:val="2F5D8A"/>
          <w:sz w:val="25"/>
          <w:szCs w:val="25"/>
        </w:rPr>
        <w:t xml:space="preserve">2.7 International regulatory cooperation</w:t>
      </w:r>
    </w:p>
    <w:p>
      <w:pPr>
        <w:spacing w:after="140" w:line="276"/>
        <w:jc w:val="both"/>
      </w:pPr>
      <w:r>
        <w:rPr>
          <w:rFonts w:ascii="Georgia" w:cs="Georgia" w:eastAsia="Georgia" w:hAnsi="Georgia"/>
          <w:color w:val="1A1A1A"/>
          <w:sz w:val="21"/>
          <w:szCs w:val="21"/>
        </w:rPr>
        <w:t xml:space="preserve">Because frontier technologies are borderless and your mandate is explicitly cross-jurisdictional, the international layer is central. The vocabulary: </w:t>
      </w:r>
      <w:r>
        <w:rPr>
          <w:rFonts w:ascii="Georgia" w:cs="Georgia" w:eastAsia="Georgia" w:hAnsi="Georgia"/>
          <w:b/>
          <w:bCs/>
          <w:color w:val="1A1A1A"/>
          <w:sz w:val="21"/>
          <w:szCs w:val="21"/>
        </w:rPr>
        <w:t xml:space="preserve">mutual recognition</w:t>
      </w:r>
      <w:r>
        <w:rPr>
          <w:rFonts w:ascii="Georgia" w:cs="Georgia" w:eastAsia="Georgia" w:hAnsi="Georgia"/>
          <w:color w:val="1A1A1A"/>
          <w:sz w:val="21"/>
          <w:szCs w:val="21"/>
        </w:rPr>
        <w:t xml:space="preserve"> (accept each other’s conformity assessments), </w:t>
      </w:r>
      <w:r>
        <w:rPr>
          <w:rFonts w:ascii="Georgia" w:cs="Georgia" w:eastAsia="Georgia" w:hAnsi="Georgia"/>
          <w:b/>
          <w:bCs/>
          <w:color w:val="1A1A1A"/>
          <w:sz w:val="21"/>
          <w:szCs w:val="21"/>
        </w:rPr>
        <w:t xml:space="preserve">regulatory interoperability</w:t>
      </w:r>
      <w:r>
        <w:rPr>
          <w:rFonts w:ascii="Georgia" w:cs="Georgia" w:eastAsia="Georgia" w:hAnsi="Georgia"/>
          <w:color w:val="1A1A1A"/>
          <w:sz w:val="21"/>
          <w:szCs w:val="21"/>
        </w:rPr>
        <w:t xml:space="preserve"> (rules different in form but compatible in effect), </w:t>
      </w:r>
      <w:r>
        <w:rPr>
          <w:rFonts w:ascii="Georgia" w:cs="Georgia" w:eastAsia="Georgia" w:hAnsi="Georgia"/>
          <w:b/>
          <w:bCs/>
          <w:color w:val="1A1A1A"/>
          <w:sz w:val="21"/>
          <w:szCs w:val="21"/>
        </w:rPr>
        <w:t xml:space="preserve">regulatory diplomacy</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minimum common standards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plurilateral coordination</w:t>
      </w:r>
      <w:r>
        <w:rPr>
          <w:rFonts w:ascii="Georgia" w:cs="Georgia" w:eastAsia="Georgia" w:hAnsi="Georgia"/>
          <w:color w:val="1A1A1A"/>
          <w:sz w:val="21"/>
          <w:szCs w:val="21"/>
        </w:rPr>
        <w:t xml:space="preserve"> (coalitions of the willing where universal treaties stall). The OECD is the reference institution for the discipline of international regulatory co-operation (IRC); the G7 and standards bodies are the practical venues.</w:t>
      </w:r>
    </w:p>
    <w:p>
      <w:pPr>
        <w:pStyle w:val="Heading2"/>
        <w:spacing w:after="100" w:before="220"/>
      </w:pPr>
      <w:r>
        <w:rPr>
          <w:rFonts w:ascii="Calibri" w:cs="Calibri" w:eastAsia="Calibri" w:hAnsi="Calibri"/>
          <w:b/>
          <w:bCs/>
          <w:color w:val="2F5D8A"/>
          <w:sz w:val="25"/>
          <w:szCs w:val="25"/>
        </w:rPr>
        <w:t xml:space="preserve">2.8 Choosing the instrument — and naming the trade-offs</w:t>
      </w:r>
    </w:p>
    <w:p>
      <w:pPr>
        <w:spacing w:after="140" w:line="276"/>
        <w:jc w:val="both"/>
      </w:pPr>
      <w:r>
        <w:rPr>
          <w:rFonts w:ascii="Georgia" w:cs="Georgia" w:eastAsia="Georgia" w:hAnsi="Georgia"/>
          <w:color w:val="1A1A1A"/>
          <w:sz w:val="21"/>
          <w:szCs w:val="21"/>
        </w:rPr>
        <w:t xml:space="preserve">Panels reward candidates who don’t just list tools but </w:t>
      </w:r>
      <w:r>
        <w:rPr>
          <w:rFonts w:ascii="Georgia" w:cs="Georgia" w:eastAsia="Georgia" w:hAnsi="Georgia"/>
          <w:i/>
          <w:iCs/>
          <w:color w:val="1A1A1A"/>
          <w:sz w:val="21"/>
          <w:szCs w:val="21"/>
        </w:rPr>
        <w:t xml:space="preserve">match tool to situation</w:t>
      </w:r>
      <w:r>
        <w:rPr>
          <w:rFonts w:ascii="Georgia" w:cs="Georgia" w:eastAsia="Georgia" w:hAnsi="Georgia"/>
          <w:color w:val="1A1A1A"/>
          <w:sz w:val="21"/>
          <w:szCs w:val="21"/>
        </w:rPr>
        <w:t xml:space="preserve"> and are honest about costs. Use this as your mental selection grid:</w:t>
      </w:r>
    </w:p>
    <w:tbl>
      <w:tblPr>
        <w:tblW w:type="dxa" w:w="9360"/>
        <w:tblBorders>
          <w:top w:val="single" w:color="C9D3E0" w:sz="2"/>
          <w:left w:val="none"/>
          <w:bottom w:val="single" w:color="C9D3E0" w:sz="2"/>
          <w:right w:val="none"/>
          <w:insideH w:val="single" w:color="C9D3E0" w:sz="2"/>
          <w:insideV w:val="single" w:color="C9D3E0" w:sz="2"/>
        </w:tblBorders>
      </w:tblPr>
      <w:tblGrid>
        <w:gridCol w:w="3100"/>
        <w:gridCol w:w="3100"/>
        <w:gridCol w:w="3160"/>
      </w:tblGrid>
      <w:tr>
        <w:trPr>
          <w:tblHeader/>
        </w:trPr>
        <w:tc>
          <w:tcPr>
            <w:tcW w:type="dxa" w:w="3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When the situation is…</w:t>
            </w:r>
          </w:p>
        </w:tc>
        <w:tc>
          <w:tcPr>
            <w:tcW w:type="dxa" w:w="31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Reach for…</w:t>
            </w:r>
          </w:p>
        </w:tc>
        <w:tc>
          <w:tcPr>
            <w:tcW w:type="dxa" w:w="31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Because…</w:t>
            </w:r>
          </w:p>
        </w:tc>
      </w:tr>
      <w:tr>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uncertainty, need evidence fast</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Sandbox / pilot / testbed</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Generates real-world data without committing to premature rules.</w:t>
            </w:r>
          </w:p>
        </w:tc>
      </w:tr>
      <w:tr>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Fast-moving tech, static rules would date</w:t>
            </w:r>
          </w:p>
        </w:tc>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Outcome-based + adaptive rules</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Specifies ends not means; built to be revised.</w:t>
            </w:r>
          </w:p>
        </w:tc>
      </w:tr>
      <w:tr>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Uneven risk across use-cases</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Risk-based tiering</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Concentrates scarce regulatory effort where harm is greatest.</w:t>
            </w:r>
          </w:p>
        </w:tc>
      </w:tr>
      <w:tr>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technology, national regulators</w:t>
            </w:r>
          </w:p>
        </w:tc>
        <w:tc>
          <w:tcPr>
            <w:tcW w:type="dxa" w:w="31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Standards + international cooperation</w:t>
            </w:r>
          </w:p>
        </w:tc>
        <w:tc>
          <w:tcPr>
            <w:tcW w:type="dxa" w:w="31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Soft law and interoperability move faster than treaties.</w:t>
            </w:r>
          </w:p>
        </w:tc>
      </w:tr>
      <w:tr>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Consensus not yet mature</w:t>
            </w:r>
          </w:p>
        </w:tc>
        <w:tc>
          <w:tcPr>
            <w:tcW w:type="dxa" w:w="31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Principles / codes of practice</w:t>
            </w:r>
          </w:p>
        </w:tc>
        <w:tc>
          <w:tcPr>
            <w:tcW w:type="dxa" w:w="31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Build alignment now; harden into law later.</w:t>
            </w:r>
          </w:p>
        </w:tc>
      </w:tr>
    </w:tbl>
    <w:p>
      <w:pPr>
        <w:spacing w:after="80"/>
      </w:pP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The three trade-offs to name aloud in any case:</w:t>
            </w:r>
            <w:r>
              <w:rPr>
                <w:rFonts w:ascii="Georgia" w:cs="Georgia" w:eastAsia="Georgia" w:hAnsi="Georgia"/>
                <w:color w:val="1F2A44"/>
                <w:sz w:val="20"/>
                <w:szCs w:val="20"/>
              </w:rPr>
              <w:t xml:space="preserve"> innovation vs. protection (permissiveness vs. safety); speed vs. legitimacy (agile rules vs. democratic due process); and flexibility vs. certainty (adaptive rules vs. the predictability business needs to invest). Good regulatory innovation is the art of </w:t>
            </w:r>
            <w:r>
              <w:rPr>
                <w:rFonts w:ascii="Georgia" w:cs="Georgia" w:eastAsia="Georgia" w:hAnsi="Georgia"/>
                <w:i/>
                <w:iCs/>
                <w:color w:val="1F2A44"/>
                <w:sz w:val="20"/>
                <w:szCs w:val="20"/>
              </w:rPr>
              <w:t xml:space="preserve">managing</w:t>
            </w:r>
            <w:r>
              <w:rPr>
                <w:rFonts w:ascii="Georgia" w:cs="Georgia" w:eastAsia="Georgia" w:hAnsi="Georgia"/>
                <w:color w:val="1F2A44"/>
                <w:sz w:val="20"/>
                <w:szCs w:val="20"/>
              </w:rPr>
              <w:t xml:space="preserve"> these tensions, not pretending they don’t exist.</w:t>
            </w:r>
          </w:p>
        </w:tc>
      </w:tr>
    </w:tbl>
    <w:p>
      <w:pPr>
        <w:spacing w:after="80"/>
      </w:pP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3 · The Frontier-Technology Domains</w:t>
      </w:r>
    </w:p>
    <w:p>
      <w:pPr>
        <w:spacing w:after="200" w:line="288"/>
      </w:pPr>
      <w:r>
        <w:rPr>
          <w:rFonts w:ascii="Georgia" w:cs="Georgia" w:eastAsia="Georgia" w:hAnsi="Georgia"/>
          <w:i/>
          <w:iCs/>
          <w:color w:val="55606E"/>
          <w:sz w:val="22"/>
          <w:szCs w:val="22"/>
        </w:rPr>
        <w:t xml:space="preserve">You will not be the deepest expert on any of these. You must hold, for each, the state of play, the single core governance dilemma, the current regulatory landscape, and the open questions — enough to reason intelligently in a case and to earn a technologist’s respect.</w:t>
      </w:r>
    </w:p>
    <w:p>
      <w:pPr>
        <w:pStyle w:val="Heading2"/>
        <w:spacing w:after="100" w:before="220"/>
      </w:pPr>
      <w:r>
        <w:rPr>
          <w:rFonts w:ascii="Calibri" w:cs="Calibri" w:eastAsia="Calibri" w:hAnsi="Calibri"/>
          <w:b/>
          <w:bCs/>
          <w:color w:val="2F5D8A"/>
          <w:sz w:val="25"/>
          <w:szCs w:val="25"/>
        </w:rPr>
        <w:t xml:space="preserve">3.0 One lens for every domain</w:t>
      </w:r>
    </w:p>
    <w:p>
      <w:pPr>
        <w:spacing w:after="140" w:line="276"/>
        <w:jc w:val="both"/>
      </w:pPr>
      <w:r>
        <w:rPr>
          <w:rFonts w:ascii="Georgia" w:cs="Georgia" w:eastAsia="Georgia" w:hAnsi="Georgia"/>
          <w:color w:val="1A1A1A"/>
          <w:sz w:val="21"/>
          <w:szCs w:val="21"/>
        </w:rPr>
        <w:t xml:space="preserve">Apply the same five-part scan to each technology so your knowledge is structured and recallable under pressure: </w:t>
      </w:r>
      <w:r>
        <w:rPr>
          <w:rFonts w:ascii="Georgia" w:cs="Georgia" w:eastAsia="Georgia" w:hAnsi="Georgia"/>
          <w:b/>
          <w:bCs/>
          <w:color w:val="1A1A1A"/>
          <w:sz w:val="21"/>
          <w:szCs w:val="21"/>
        </w:rPr>
        <w:t xml:space="preserve">(1) what it is and where it stands; (2) the core governance dilemma — the hardest single trade-off; (3) the current regulatory landscape; (4) the open questions; (5) the regulatory-innovation angle — how the §2 toolkit applies.</w:t>
      </w:r>
      <w:r>
        <w:rPr>
          <w:rFonts w:ascii="Georgia" w:cs="Georgia" w:eastAsia="Georgia" w:hAnsi="Georgia"/>
          <w:color w:val="1A1A1A"/>
          <w:sz w:val="21"/>
          <w:szCs w:val="21"/>
        </w:rPr>
        <w:t xml:space="preserve"> The dilemmas are the payload; lead with them.</w:t>
      </w:r>
    </w:p>
    <w:p>
      <w:pPr>
        <w:pStyle w:val="Heading2"/>
        <w:spacing w:after="100" w:before="220"/>
      </w:pPr>
      <w:r>
        <w:rPr>
          <w:rFonts w:ascii="Calibri" w:cs="Calibri" w:eastAsia="Calibri" w:hAnsi="Calibri"/>
          <w:b/>
          <w:bCs/>
          <w:color w:val="2F5D8A"/>
          <w:sz w:val="25"/>
          <w:szCs w:val="25"/>
        </w:rPr>
        <w:t xml:space="preserve">3.1 Artificial Intelligence and Foundation Models</w:t>
      </w:r>
    </w:p>
    <w:p>
      <w:pPr>
        <w:pStyle w:val="Heading3"/>
        <w:spacing w:after="70" w:before="160"/>
      </w:pPr>
      <w:r>
        <w:rPr>
          <w:rFonts w:ascii="Calibri" w:cs="Calibri" w:eastAsia="Calibri" w:hAnsi="Calibri"/>
          <w:b/>
          <w:bCs/>
          <w:color w:val="1F2A44"/>
          <w:sz w:val="22"/>
          <w:szCs w:val="22"/>
        </w:rPr>
        <w:t xml:space="preserve">State of play</w:t>
      </w:r>
    </w:p>
    <w:p>
      <w:pPr>
        <w:spacing w:after="140" w:line="276"/>
        <w:jc w:val="both"/>
      </w:pPr>
      <w:r>
        <w:rPr>
          <w:rFonts w:ascii="Georgia" w:cs="Georgia" w:eastAsia="Georgia" w:hAnsi="Georgia"/>
          <w:color w:val="1A1A1A"/>
          <w:sz w:val="21"/>
          <w:szCs w:val="21"/>
        </w:rPr>
        <w:t xml:space="preserve">The centre of gravity is </w:t>
      </w:r>
      <w:r>
        <w:rPr>
          <w:rFonts w:ascii="Georgia" w:cs="Georgia" w:eastAsia="Georgia" w:hAnsi="Georgia"/>
          <w:b/>
          <w:bCs/>
          <w:color w:val="1A1A1A"/>
          <w:sz w:val="21"/>
          <w:szCs w:val="21"/>
        </w:rPr>
        <w:t xml:space="preserve">general-purpose AI (GPAI) / foundation models</w:t>
      </w:r>
      <w:r>
        <w:rPr>
          <w:rFonts w:ascii="Georgia" w:cs="Georgia" w:eastAsia="Georgia" w:hAnsi="Georgia"/>
          <w:color w:val="1A1A1A"/>
          <w:sz w:val="21"/>
          <w:szCs w:val="21"/>
        </w:rPr>
        <w:t xml:space="preserve"> — large models trained on broad data and adaptable to many tasks — and increasingly </w:t>
      </w:r>
      <w:r>
        <w:rPr>
          <w:rFonts w:ascii="Georgia" w:cs="Georgia" w:eastAsia="Georgia" w:hAnsi="Georgia"/>
          <w:b/>
          <w:bCs/>
          <w:color w:val="1A1A1A"/>
          <w:sz w:val="21"/>
          <w:szCs w:val="21"/>
        </w:rPr>
        <w:t xml:space="preserve">agentic AI</w:t>
      </w:r>
      <w:r>
        <w:rPr>
          <w:rFonts w:ascii="Georgia" w:cs="Georgia" w:eastAsia="Georgia" w:hAnsi="Georgia"/>
          <w:color w:val="1A1A1A"/>
          <w:sz w:val="21"/>
          <w:szCs w:val="21"/>
        </w:rPr>
        <w:t xml:space="preserve"> that can take actions, not just generate content. Capability is advancing faster than evaluation science, which is the root of the governance problem.</w:t>
      </w:r>
    </w:p>
    <w:p>
      <w:pPr>
        <w:pStyle w:val="Heading3"/>
        <w:spacing w:after="70" w:before="160"/>
      </w:pPr>
      <w:r>
        <w:rPr>
          <w:rFonts w:ascii="Calibri" w:cs="Calibri" w:eastAsia="Calibri" w:hAnsi="Calibri"/>
          <w:b/>
          <w:bCs/>
          <w:color w:val="1F2A44"/>
          <w:sz w:val="22"/>
          <w:szCs w:val="22"/>
        </w:rPr>
        <w:t xml:space="preserve">Core governance dilemma</w:t>
      </w:r>
    </w:p>
    <w:p>
      <w:pPr>
        <w:spacing w:after="140" w:line="276"/>
        <w:jc w:val="both"/>
      </w:pPr>
      <w:r>
        <w:rPr>
          <w:rFonts w:ascii="Georgia" w:cs="Georgia" w:eastAsia="Georgia" w:hAnsi="Georgia"/>
          <w:b/>
          <w:bCs/>
          <w:color w:val="1A1A1A"/>
          <w:sz w:val="21"/>
          <w:szCs w:val="21"/>
        </w:rPr>
        <w:t xml:space="preserve">How do you regulate a general-purpose technology whose risks are emergent, whose capabilities its own developers cannot fully predict, and whose development is concentrated in a handful of firms — without either freezing innovation or licensing harm?</w:t>
      </w:r>
      <w:r>
        <w:rPr>
          <w:rFonts w:ascii="Georgia" w:cs="Georgia" w:eastAsia="Georgia" w:hAnsi="Georgia"/>
          <w:color w:val="1A1A1A"/>
          <w:sz w:val="21"/>
          <w:szCs w:val="21"/>
        </w:rPr>
        <w:t xml:space="preserve"> The sub-tension: model-level rules (govern the foundation model) versus use-level rules (govern the application).</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EU AI Act</w:t>
      </w:r>
      <w:r>
        <w:rPr>
          <w:rFonts w:ascii="Georgia" w:cs="Georgia" w:eastAsia="Georgia" w:hAnsi="Georgia"/>
          <w:color w:val="1A1A1A"/>
          <w:sz w:val="21"/>
          <w:szCs w:val="21"/>
        </w:rPr>
        <w:t xml:space="preserve"> — the world’s first comprehensive horizontal AI law; in force since August 2024, phasing in: banned practices and AI-literacy duties (Feb 2025), </w:t>
      </w:r>
      <w:r>
        <w:rPr>
          <w:rFonts w:ascii="Georgia" w:cs="Georgia" w:eastAsia="Georgia" w:hAnsi="Georgia"/>
          <w:b/>
          <w:bCs/>
          <w:color w:val="1A1A1A"/>
          <w:sz w:val="21"/>
          <w:szCs w:val="21"/>
        </w:rPr>
        <w:t xml:space="preserve">GPAI-model obligations (Aug 2025)</w:t>
      </w:r>
      <w:r>
        <w:rPr>
          <w:rFonts w:ascii="Georgia" w:cs="Georgia" w:eastAsia="Georgia" w:hAnsi="Georgia"/>
          <w:color w:val="1A1A1A"/>
          <w:sz w:val="21"/>
          <w:szCs w:val="21"/>
        </w:rPr>
        <w:t xml:space="preserve">, most high-risk rules (Aug 2026), full application (2027). It is </w:t>
      </w:r>
      <w:r>
        <w:rPr>
          <w:rFonts w:ascii="Georgia" w:cs="Georgia" w:eastAsia="Georgia" w:hAnsi="Georgia"/>
          <w:b/>
          <w:bCs/>
          <w:color w:val="1A1A1A"/>
          <w:sz w:val="21"/>
          <w:szCs w:val="21"/>
        </w:rPr>
        <w:t xml:space="preserve">risk-tiered</w:t>
      </w:r>
      <w:r>
        <w:rPr>
          <w:rFonts w:ascii="Georgia" w:cs="Georgia" w:eastAsia="Georgia" w:hAnsi="Georgia"/>
          <w:color w:val="1A1A1A"/>
          <w:sz w:val="21"/>
          <w:szCs w:val="21"/>
        </w:rPr>
        <w:t xml:space="preserve">: unacceptable (prohibited), high-risk (conformity assessment), limited (transparency), minimal. GPAI models with </w:t>
      </w:r>
      <w:r>
        <w:rPr>
          <w:rFonts w:ascii="Georgia" w:cs="Georgia" w:eastAsia="Georgia" w:hAnsi="Georgia"/>
          <w:b/>
          <w:bCs/>
          <w:color w:val="1A1A1A"/>
          <w:sz w:val="21"/>
          <w:szCs w:val="21"/>
        </w:rPr>
        <w:t xml:space="preserve">systemic risk</w:t>
      </w:r>
      <w:r>
        <w:rPr>
          <w:rFonts w:ascii="Georgia" w:cs="Georgia" w:eastAsia="Georgia" w:hAnsi="Georgia"/>
          <w:color w:val="1A1A1A"/>
          <w:sz w:val="21"/>
          <w:szCs w:val="21"/>
        </w:rPr>
        <w:t xml:space="preserve"> face extra duties — model evaluation, adversarial testing/red-teaming, incident reporting to the new </w:t>
      </w:r>
      <w:r>
        <w:rPr>
          <w:rFonts w:ascii="Georgia" w:cs="Georgia" w:eastAsia="Georgia" w:hAnsi="Georgia"/>
          <w:b/>
          <w:bCs/>
          <w:color w:val="1A1A1A"/>
          <w:sz w:val="21"/>
          <w:szCs w:val="21"/>
        </w:rPr>
        <w:t xml:space="preserve">AI Office</w:t>
      </w:r>
      <w:r>
        <w:rPr>
          <w:rFonts w:ascii="Georgia" w:cs="Georgia" w:eastAsia="Georgia" w:hAnsi="Georgia"/>
          <w:color w:val="1A1A1A"/>
          <w:sz w:val="21"/>
          <w:szCs w:val="21"/>
        </w:rPr>
        <w:t xml:space="preserve">, and cybersecurity — supported by a voluntary </w:t>
      </w:r>
      <w:r>
        <w:rPr>
          <w:rFonts w:ascii="Georgia" w:cs="Georgia" w:eastAsia="Georgia" w:hAnsi="Georgia"/>
          <w:b/>
          <w:bCs/>
          <w:color w:val="1A1A1A"/>
          <w:sz w:val="21"/>
          <w:szCs w:val="21"/>
        </w:rPr>
        <w:t xml:space="preserve">GPAI Code of Practice (July 2025)</w:t>
      </w:r>
      <w:r>
        <w:rPr>
          <w:rFonts w:ascii="Georgia" w:cs="Georgia" w:eastAsia="Georgia" w:hAnsi="Georgia"/>
          <w:color w:val="1A1A1A"/>
          <w:sz w:val="21"/>
          <w:szCs w:val="21"/>
        </w:rPr>
        <w:t xml:space="preserve">.</w:t>
      </w:r>
    </w:p>
    <w:p>
      <w:pPr>
        <w:pStyle w:val="ListParagraph"/>
        <w:numPr>
          <w:ilvl w:val="0"/>
          <w:numId w:val="1"/>
        </w:numPr>
        <w:spacing w:after="70" w:line="268"/>
      </w:pPr>
      <w:r>
        <w:rPr>
          <w:rFonts w:ascii="Georgia" w:cs="Georgia" w:eastAsia="Georgia" w:hAnsi="Georgia"/>
          <w:b/>
          <w:bCs/>
          <w:color w:val="1A1A1A"/>
          <w:sz w:val="21"/>
          <w:szCs w:val="21"/>
        </w:rPr>
        <w:t xml:space="preserve">United States</w:t>
      </w:r>
      <w:r>
        <w:rPr>
          <w:rFonts w:ascii="Georgia" w:cs="Georgia" w:eastAsia="Georgia" w:hAnsi="Georgia"/>
          <w:color w:val="1A1A1A"/>
          <w:sz w:val="21"/>
          <w:szCs w:val="21"/>
        </w:rPr>
        <w:t xml:space="preserve"> — market-led and sectoral; executive action and agency guidance rather than a comprehensive statute; the </w:t>
      </w:r>
      <w:r>
        <w:rPr>
          <w:rFonts w:ascii="Georgia" w:cs="Georgia" w:eastAsia="Georgia" w:hAnsi="Georgia"/>
          <w:b/>
          <w:bCs/>
          <w:color w:val="1A1A1A"/>
          <w:sz w:val="21"/>
          <w:szCs w:val="21"/>
        </w:rPr>
        <w:t xml:space="preserve">NIST AI Risk Management Framework</w:t>
      </w:r>
      <w:r>
        <w:rPr>
          <w:rFonts w:ascii="Georgia" w:cs="Georgia" w:eastAsia="Georgia" w:hAnsi="Georgia"/>
          <w:color w:val="1A1A1A"/>
          <w:sz w:val="21"/>
          <w:szCs w:val="21"/>
        </w:rPr>
        <w:t xml:space="preserve"> as the voluntary backbone; growing state-level laws.</w:t>
      </w:r>
    </w:p>
    <w:p>
      <w:pPr>
        <w:pStyle w:val="ListParagraph"/>
        <w:numPr>
          <w:ilvl w:val="0"/>
          <w:numId w:val="1"/>
        </w:numPr>
        <w:spacing w:after="70" w:line="268"/>
      </w:pPr>
      <w:r>
        <w:rPr>
          <w:rFonts w:ascii="Georgia" w:cs="Georgia" w:eastAsia="Georgia" w:hAnsi="Georgia"/>
          <w:b/>
          <w:bCs/>
          <w:color w:val="1A1A1A"/>
          <w:sz w:val="21"/>
          <w:szCs w:val="21"/>
        </w:rPr>
        <w:t xml:space="preserve">United Kingdom</w:t>
      </w:r>
      <w:r>
        <w:rPr>
          <w:rFonts w:ascii="Georgia" w:cs="Georgia" w:eastAsia="Georgia" w:hAnsi="Georgia"/>
          <w:color w:val="1A1A1A"/>
          <w:sz w:val="21"/>
          <w:szCs w:val="21"/>
        </w:rPr>
        <w:t xml:space="preserve"> — a deliberately </w:t>
      </w:r>
      <w:r>
        <w:rPr>
          <w:rFonts w:ascii="Georgia" w:cs="Georgia" w:eastAsia="Georgia" w:hAnsi="Georgia"/>
          <w:b/>
          <w:bCs/>
          <w:color w:val="1A1A1A"/>
          <w:sz w:val="21"/>
          <w:szCs w:val="21"/>
        </w:rPr>
        <w:t xml:space="preserve">principles-based, pro-innovation</w:t>
      </w:r>
      <w:r>
        <w:rPr>
          <w:rFonts w:ascii="Georgia" w:cs="Georgia" w:eastAsia="Georgia" w:hAnsi="Georgia"/>
          <w:color w:val="1A1A1A"/>
          <w:sz w:val="21"/>
          <w:szCs w:val="21"/>
        </w:rPr>
        <w:t xml:space="preserve"> approach that empowers existing sector regulators rather than creating one AI law, paired with an AI Safety Institute for frontier-model evaluation.</w:t>
      </w:r>
    </w:p>
    <w:p>
      <w:pPr>
        <w:pStyle w:val="ListParagraph"/>
        <w:numPr>
          <w:ilvl w:val="0"/>
          <w:numId w:val="1"/>
        </w:numPr>
        <w:spacing w:after="70" w:line="268"/>
      </w:pPr>
      <w:r>
        <w:rPr>
          <w:rFonts w:ascii="Georgia" w:cs="Georgia" w:eastAsia="Georgia" w:hAnsi="Georgia"/>
          <w:b/>
          <w:bCs/>
          <w:color w:val="1A1A1A"/>
          <w:sz w:val="21"/>
          <w:szCs w:val="21"/>
        </w:rPr>
        <w:t xml:space="preserve">China</w:t>
      </w:r>
      <w:r>
        <w:rPr>
          <w:rFonts w:ascii="Georgia" w:cs="Georgia" w:eastAsia="Georgia" w:hAnsi="Georgia"/>
          <w:color w:val="1A1A1A"/>
          <w:sz w:val="21"/>
          <w:szCs w:val="21"/>
        </w:rPr>
        <w:t xml:space="preserve"> — vertical and targeted: measures on recommendation algorithms, deep synthesis and generative AI, with algorithm registry filings to the Cyberspace Administration.</w:t>
      </w:r>
    </w:p>
    <w:p>
      <w:pPr>
        <w:pStyle w:val="ListParagraph"/>
        <w:numPr>
          <w:ilvl w:val="0"/>
          <w:numId w:val="1"/>
        </w:numPr>
        <w:spacing w:after="70" w:line="268"/>
      </w:pPr>
      <w:r>
        <w:rPr>
          <w:rFonts w:ascii="Georgia" w:cs="Georgia" w:eastAsia="Georgia" w:hAnsi="Georgia"/>
          <w:b/>
          <w:bCs/>
          <w:color w:val="1A1A1A"/>
          <w:sz w:val="21"/>
          <w:szCs w:val="21"/>
        </w:rPr>
        <w:t xml:space="preserve">International</w:t>
      </w:r>
      <w:r>
        <w:rPr>
          <w:rFonts w:ascii="Georgia" w:cs="Georgia" w:eastAsia="Georgia" w:hAnsi="Georgia"/>
          <w:color w:val="1A1A1A"/>
          <w:sz w:val="21"/>
          <w:szCs w:val="21"/>
        </w:rPr>
        <w:t xml:space="preserve"> — OECD AI Principles, the </w:t>
      </w:r>
      <w:r>
        <w:rPr>
          <w:rFonts w:ascii="Georgia" w:cs="Georgia" w:eastAsia="Georgia" w:hAnsi="Georgia"/>
          <w:b/>
          <w:bCs/>
          <w:color w:val="1A1A1A"/>
          <w:sz w:val="21"/>
          <w:szCs w:val="21"/>
        </w:rPr>
        <w:t xml:space="preserve">G7 Hiroshima Process</w:t>
      </w:r>
      <w:r>
        <w:rPr>
          <w:rFonts w:ascii="Georgia" w:cs="Georgia" w:eastAsia="Georgia" w:hAnsi="Georgia"/>
          <w:color w:val="1A1A1A"/>
          <w:sz w:val="21"/>
          <w:szCs w:val="21"/>
        </w:rPr>
        <w:t xml:space="preserve"> code of conduct, the </w:t>
      </w:r>
      <w:r>
        <w:rPr>
          <w:rFonts w:ascii="Georgia" w:cs="Georgia" w:eastAsia="Georgia" w:hAnsi="Georgia"/>
          <w:b/>
          <w:bCs/>
          <w:color w:val="1A1A1A"/>
          <w:sz w:val="21"/>
          <w:szCs w:val="21"/>
        </w:rPr>
        <w:t xml:space="preserve">Council of Europe Framework Convention on AI</w:t>
      </w:r>
      <w:r>
        <w:rPr>
          <w:rFonts w:ascii="Georgia" w:cs="Georgia" w:eastAsia="Georgia" w:hAnsi="Georgia"/>
          <w:color w:val="1A1A1A"/>
          <w:sz w:val="21"/>
          <w:szCs w:val="21"/>
        </w:rPr>
        <w:t xml:space="preserve"> (the first binding international AI treaty), and UN processes.</w:t>
      </w:r>
    </w:p>
    <w:p>
      <w:pPr>
        <w:pStyle w:val="Heading3"/>
        <w:spacing w:after="70" w:before="160"/>
      </w:pPr>
      <w:r>
        <w:rPr>
          <w:rFonts w:ascii="Calibri" w:cs="Calibri" w:eastAsia="Calibri" w:hAnsi="Calibri"/>
          <w:b/>
          <w:bCs/>
          <w:color w:val="1F2A44"/>
          <w:sz w:val="22"/>
          <w:szCs w:val="22"/>
        </w:rPr>
        <w:t xml:space="preserve">Open questions / the regulatory-innovation angle</w:t>
      </w:r>
    </w:p>
    <w:p>
      <w:pPr>
        <w:spacing w:after="140" w:line="276"/>
        <w:jc w:val="both"/>
      </w:pPr>
      <w:r>
        <w:rPr>
          <w:rFonts w:ascii="Georgia" w:cs="Georgia" w:eastAsia="Georgia" w:hAnsi="Georgia"/>
          <w:color w:val="1A1A1A"/>
          <w:sz w:val="21"/>
          <w:szCs w:val="21"/>
        </w:rPr>
        <w:t xml:space="preserve">Open: how to evaluate frontier models (the immature science of “evals” and red-teaming); liability across the AI value chain; open-source models and diffusion of capability; compute governance; and the copyright/training-data fight. The toolkit angle: </w:t>
      </w:r>
      <w:r>
        <w:rPr>
          <w:rFonts w:ascii="Georgia" w:cs="Georgia" w:eastAsia="Georgia" w:hAnsi="Georgia"/>
          <w:b/>
          <w:bCs/>
          <w:color w:val="1A1A1A"/>
          <w:sz w:val="21"/>
          <w:szCs w:val="21"/>
        </w:rPr>
        <w:t xml:space="preserve">AI is the canonical case for sandboxes, outcome-based rules and adaptive review</w:t>
      </w:r>
      <w:r>
        <w:rPr>
          <w:rFonts w:ascii="Georgia" w:cs="Georgia" w:eastAsia="Georgia" w:hAnsi="Georgia"/>
          <w:color w:val="1A1A1A"/>
          <w:sz w:val="21"/>
          <w:szCs w:val="21"/>
        </w:rPr>
        <w:t xml:space="preserve"> — the AI Act itself mandates national sandboxes, and the voluntary Code of Practice is a live example of the soft-law-to-hard-law pipeline.</w:t>
      </w:r>
    </w:p>
    <w:p>
      <w:pPr>
        <w:pStyle w:val="Heading2"/>
        <w:spacing w:after="100" w:before="220"/>
      </w:pPr>
      <w:r>
        <w:rPr>
          <w:rFonts w:ascii="Calibri" w:cs="Calibri" w:eastAsia="Calibri" w:hAnsi="Calibri"/>
          <w:b/>
          <w:bCs/>
          <w:color w:val="2F5D8A"/>
          <w:sz w:val="25"/>
          <w:szCs w:val="25"/>
        </w:rPr>
        <w:t xml:space="preserve">3.2 Quantum Technologies</w:t>
      </w:r>
    </w:p>
    <w:p>
      <w:pPr>
        <w:pStyle w:val="Heading3"/>
        <w:spacing w:after="70" w:before="160"/>
      </w:pPr>
      <w:r>
        <w:rPr>
          <w:rFonts w:ascii="Calibri" w:cs="Calibri" w:eastAsia="Calibri" w:hAnsi="Calibri"/>
          <w:b/>
          <w:bCs/>
          <w:color w:val="1F2A44"/>
          <w:sz w:val="22"/>
          <w:szCs w:val="22"/>
        </w:rPr>
        <w:t xml:space="preserve">State of play</w:t>
      </w:r>
    </w:p>
    <w:p>
      <w:pPr>
        <w:spacing w:after="140" w:line="276"/>
        <w:jc w:val="both"/>
      </w:pPr>
      <w:r>
        <w:rPr>
          <w:rFonts w:ascii="Georgia" w:cs="Georgia" w:eastAsia="Georgia" w:hAnsi="Georgia"/>
          <w:color w:val="1A1A1A"/>
          <w:sz w:val="21"/>
          <w:szCs w:val="21"/>
        </w:rPr>
        <w:t xml:space="preserve">Three strands: </w:t>
      </w:r>
      <w:r>
        <w:rPr>
          <w:rFonts w:ascii="Georgia" w:cs="Georgia" w:eastAsia="Georgia" w:hAnsi="Georgia"/>
          <w:b/>
          <w:bCs/>
          <w:color w:val="1A1A1A"/>
          <w:sz w:val="21"/>
          <w:szCs w:val="21"/>
        </w:rPr>
        <w:t xml:space="preserve">quantum computing</w:t>
      </w:r>
      <w:r>
        <w:rPr>
          <w:rFonts w:ascii="Georgia" w:cs="Georgia" w:eastAsia="Georgia" w:hAnsi="Georgia"/>
          <w:color w:val="1A1A1A"/>
          <w:sz w:val="21"/>
          <w:szCs w:val="21"/>
        </w:rPr>
        <w:t xml:space="preserve"> (still noisy, pre-fault-tolerant, but advancing), </w:t>
      </w:r>
      <w:r>
        <w:rPr>
          <w:rFonts w:ascii="Georgia" w:cs="Georgia" w:eastAsia="Georgia" w:hAnsi="Georgia"/>
          <w:b/>
          <w:bCs/>
          <w:color w:val="1A1A1A"/>
          <w:sz w:val="21"/>
          <w:szCs w:val="21"/>
        </w:rPr>
        <w:t xml:space="preserve">quantum communication</w:t>
      </w:r>
      <w:r>
        <w:rPr>
          <w:rFonts w:ascii="Georgia" w:cs="Georgia" w:eastAsia="Georgia" w:hAnsi="Georgia"/>
          <w:color w:val="1A1A1A"/>
          <w:sz w:val="21"/>
          <w:szCs w:val="21"/>
        </w:rPr>
        <w:t xml:space="preserve"> (quantum key distribution), and </w:t>
      </w:r>
      <w:r>
        <w:rPr>
          <w:rFonts w:ascii="Georgia" w:cs="Georgia" w:eastAsia="Georgia" w:hAnsi="Georgia"/>
          <w:b/>
          <w:bCs/>
          <w:color w:val="1A1A1A"/>
          <w:sz w:val="21"/>
          <w:szCs w:val="21"/>
        </w:rPr>
        <w:t xml:space="preserve">quantum sensing</w:t>
      </w:r>
      <w:r>
        <w:rPr>
          <w:rFonts w:ascii="Georgia" w:cs="Georgia" w:eastAsia="Georgia" w:hAnsi="Georgia"/>
          <w:color w:val="1A1A1A"/>
          <w:sz w:val="21"/>
          <w:szCs w:val="21"/>
        </w:rPr>
        <w:t xml:space="preserve"> (ultra-precise measurement). The near-term policy driver is not a working quantum computer — it is the </w:t>
      </w:r>
      <w:r>
        <w:rPr>
          <w:rFonts w:ascii="Georgia" w:cs="Georgia" w:eastAsia="Georgia" w:hAnsi="Georgia"/>
          <w:i/>
          <w:iCs/>
          <w:color w:val="1A1A1A"/>
          <w:sz w:val="21"/>
          <w:szCs w:val="21"/>
        </w:rPr>
        <w:t xml:space="preserve">anticipation</w:t>
      </w:r>
      <w:r>
        <w:rPr>
          <w:rFonts w:ascii="Georgia" w:cs="Georgia" w:eastAsia="Georgia" w:hAnsi="Georgia"/>
          <w:color w:val="1A1A1A"/>
          <w:sz w:val="21"/>
          <w:szCs w:val="21"/>
        </w:rPr>
        <w:t xml:space="preserve"> of one.</w:t>
      </w:r>
    </w:p>
    <w:p>
      <w:pPr>
        <w:pStyle w:val="Heading3"/>
        <w:spacing w:after="70" w:before="160"/>
      </w:pPr>
      <w:r>
        <w:rPr>
          <w:rFonts w:ascii="Calibri" w:cs="Calibri" w:eastAsia="Calibri" w:hAnsi="Calibri"/>
          <w:b/>
          <w:bCs/>
          <w:color w:val="1F2A44"/>
          <w:sz w:val="22"/>
          <w:szCs w:val="22"/>
        </w:rPr>
        <w:t xml:space="preserve">Core governance dilemma</w:t>
      </w:r>
    </w:p>
    <w:p>
      <w:pPr>
        <w:spacing w:after="140" w:line="276"/>
        <w:jc w:val="both"/>
      </w:pPr>
      <w:r>
        <w:rPr>
          <w:rFonts w:ascii="Georgia" w:cs="Georgia" w:eastAsia="Georgia" w:hAnsi="Georgia"/>
          <w:b/>
          <w:bCs/>
          <w:color w:val="1A1A1A"/>
          <w:sz w:val="21"/>
          <w:szCs w:val="21"/>
        </w:rPr>
        <w:t xml:space="preserve">How do you govern a technology whose most consequential risk is future and cryptographic — the day a quantum computer breaks today’s public-key encryption — while its benefits are dual-use and its supply chain is a geopolitical battleground?</w:t>
      </w:r>
      <w:r>
        <w:rPr>
          <w:rFonts w:ascii="Georgia" w:cs="Georgia" w:eastAsia="Georgia" w:hAnsi="Georgia"/>
          <w:color w:val="1A1A1A"/>
          <w:sz w:val="21"/>
          <w:szCs w:val="21"/>
        </w:rPr>
        <w:t xml:space="preserve"> The signature threat is </w:t>
      </w:r>
      <w:r>
        <w:rPr>
          <w:rFonts w:ascii="Georgia" w:cs="Georgia" w:eastAsia="Georgia" w:hAnsi="Georgia"/>
          <w:b/>
          <w:bCs/>
          <w:color w:val="1A1A1A"/>
          <w:sz w:val="21"/>
          <w:szCs w:val="21"/>
        </w:rPr>
        <w:t xml:space="preserve">“harvest now, decrypt later”</w:t>
      </w:r>
      <w:r>
        <w:rPr>
          <w:rFonts w:ascii="Georgia" w:cs="Georgia" w:eastAsia="Georgia" w:hAnsi="Georgia"/>
          <w:color w:val="1A1A1A"/>
          <w:sz w:val="21"/>
          <w:szCs w:val="21"/>
        </w:rPr>
        <w:t xml:space="preserve">: adversaries stealing encrypted data today to decrypt once quantum-capable.</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Post-quantum cryptography (PQC) standards</w:t>
      </w:r>
      <w:r>
        <w:rPr>
          <w:rFonts w:ascii="Georgia" w:cs="Georgia" w:eastAsia="Georgia" w:hAnsi="Georgia"/>
          <w:color w:val="1A1A1A"/>
          <w:sz w:val="21"/>
          <w:szCs w:val="21"/>
        </w:rPr>
        <w:t xml:space="preserve"> — NIST published the first finalised PQC standards in August 2024: </w:t>
      </w:r>
      <w:r>
        <w:rPr>
          <w:rFonts w:ascii="Georgia" w:cs="Georgia" w:eastAsia="Georgia" w:hAnsi="Georgia"/>
          <w:b/>
          <w:bCs/>
          <w:color w:val="1A1A1A"/>
          <w:sz w:val="21"/>
          <w:szCs w:val="21"/>
        </w:rPr>
        <w:t xml:space="preserve">FIPS 203 (ML-KEM / Kyber), 204 (ML-DSA / Dilithium), 205 (SLH-DSA / SPHINCS+)</w:t>
      </w:r>
      <w:r>
        <w:rPr>
          <w:rFonts w:ascii="Georgia" w:cs="Georgia" w:eastAsia="Georgia" w:hAnsi="Georgia"/>
          <w:color w:val="1A1A1A"/>
          <w:sz w:val="21"/>
          <w:szCs w:val="21"/>
        </w:rPr>
        <w:t xml:space="preserve">, with further algorithms (HQC, FN-DSA/Falcon) following. This is the concrete governance action of the decade for quantum.</w:t>
      </w:r>
    </w:p>
    <w:p>
      <w:pPr>
        <w:pStyle w:val="ListParagraph"/>
        <w:numPr>
          <w:ilvl w:val="0"/>
          <w:numId w:val="1"/>
        </w:numPr>
        <w:spacing w:after="70" w:line="268"/>
      </w:pPr>
      <w:r>
        <w:rPr>
          <w:rFonts w:ascii="Georgia" w:cs="Georgia" w:eastAsia="Georgia" w:hAnsi="Georgia"/>
          <w:b/>
          <w:bCs/>
          <w:color w:val="1A1A1A"/>
          <w:sz w:val="21"/>
          <w:szCs w:val="21"/>
        </w:rPr>
        <w:t xml:space="preserve">Migration mandates</w:t>
      </w:r>
      <w:r>
        <w:rPr>
          <w:rFonts w:ascii="Georgia" w:cs="Georgia" w:eastAsia="Georgia" w:hAnsi="Georgia"/>
          <w:color w:val="1A1A1A"/>
          <w:sz w:val="21"/>
          <w:szCs w:val="21"/>
        </w:rPr>
        <w:t xml:space="preserve"> — US policy (NSM-10, OMB guidance, CNSA 2.0) requires federal agencies to inventory quantum-vulnerable systems and migrate to quantum-safe cryptography on timelines running to the early-2030s.</w:t>
      </w:r>
    </w:p>
    <w:p>
      <w:pPr>
        <w:pStyle w:val="ListParagraph"/>
        <w:numPr>
          <w:ilvl w:val="0"/>
          <w:numId w:val="1"/>
        </w:numPr>
        <w:spacing w:after="70" w:line="268"/>
      </w:pPr>
      <w:r>
        <w:rPr>
          <w:rFonts w:ascii="Georgia" w:cs="Georgia" w:eastAsia="Georgia" w:hAnsi="Georgia"/>
          <w:b/>
          <w:bCs/>
          <w:color w:val="1A1A1A"/>
          <w:sz w:val="21"/>
          <w:szCs w:val="21"/>
        </w:rPr>
        <w:t xml:space="preserve">Export controls</w:t>
      </w:r>
      <w:r>
        <w:rPr>
          <w:rFonts w:ascii="Georgia" w:cs="Georgia" w:eastAsia="Georgia" w:hAnsi="Georgia"/>
          <w:color w:val="1A1A1A"/>
          <w:sz w:val="21"/>
          <w:szCs w:val="21"/>
        </w:rPr>
        <w:t xml:space="preserve"> — the US, France, the Netherlands, the UK, Spain and China have introduced or tightened controls on quantum hardware and know-how; quantum is now firmly inside the “small yard, high fence” tech-security agenda.</w:t>
      </w:r>
    </w:p>
    <w:p>
      <w:pPr>
        <w:pStyle w:val="ListParagraph"/>
        <w:numPr>
          <w:ilvl w:val="0"/>
          <w:numId w:val="1"/>
        </w:numPr>
        <w:spacing w:after="70" w:line="268"/>
      </w:pPr>
      <w:r>
        <w:rPr>
          <w:rFonts w:ascii="Georgia" w:cs="Georgia" w:eastAsia="Georgia" w:hAnsi="Georgia"/>
          <w:b/>
          <w:bCs/>
          <w:color w:val="1A1A1A"/>
          <w:sz w:val="21"/>
          <w:szCs w:val="21"/>
        </w:rPr>
        <w:t xml:space="preserve">Standards and coordination</w:t>
      </w:r>
      <w:r>
        <w:rPr>
          <w:rFonts w:ascii="Georgia" w:cs="Georgia" w:eastAsia="Georgia" w:hAnsi="Georgia"/>
          <w:color w:val="1A1A1A"/>
          <w:sz w:val="21"/>
          <w:szCs w:val="21"/>
        </w:rPr>
        <w:t xml:space="preserve"> — largely via NIST, ISO/IEC and national quantum strategies; there is no comprehensive international quantum treaty, which is itself the governance gap.</w:t>
      </w:r>
    </w:p>
    <w:p>
      <w:pPr>
        <w:pStyle w:val="Heading3"/>
        <w:spacing w:after="70" w:before="160"/>
      </w:pPr>
      <w:r>
        <w:rPr>
          <w:rFonts w:ascii="Calibri" w:cs="Calibri" w:eastAsia="Calibri" w:hAnsi="Calibri"/>
          <w:b/>
          <w:bCs/>
          <w:color w:val="1F2A44"/>
          <w:sz w:val="22"/>
          <w:szCs w:val="22"/>
        </w:rPr>
        <w:t xml:space="preserve">Open questions / the regulatory-innovation angle</w:t>
      </w:r>
    </w:p>
    <w:p>
      <w:pPr>
        <w:spacing w:after="140" w:line="276"/>
        <w:jc w:val="both"/>
      </w:pPr>
      <w:r>
        <w:rPr>
          <w:rFonts w:ascii="Georgia" w:cs="Georgia" w:eastAsia="Georgia" w:hAnsi="Georgia"/>
          <w:color w:val="1A1A1A"/>
          <w:sz w:val="21"/>
          <w:szCs w:val="21"/>
        </w:rPr>
        <w:t xml:space="preserve">Open: the </w:t>
      </w:r>
      <w:r>
        <w:rPr>
          <w:rFonts w:ascii="Georgia" w:cs="Georgia" w:eastAsia="Georgia" w:hAnsi="Georgia"/>
          <w:b/>
          <w:bCs/>
          <w:color w:val="1A1A1A"/>
          <w:sz w:val="21"/>
          <w:szCs w:val="21"/>
        </w:rPr>
        <w:t xml:space="preserve">quantum divide</w:t>
      </w:r>
      <w:r>
        <w:rPr>
          <w:rFonts w:ascii="Georgia" w:cs="Georgia" w:eastAsia="Georgia" w:hAnsi="Georgia"/>
          <w:color w:val="1A1A1A"/>
          <w:sz w:val="21"/>
          <w:szCs w:val="21"/>
        </w:rPr>
        <w:t xml:space="preserve"> (a handful of states and firms racing ahead); standard-setting as geopolitical contest; workforce and the migration cost; and dual-use export policy that doesn’t strangle science. Toolkit angle: quantum is a case for </w:t>
      </w:r>
      <w:r>
        <w:rPr>
          <w:rFonts w:ascii="Georgia" w:cs="Georgia" w:eastAsia="Georgia" w:hAnsi="Georgia"/>
          <w:b/>
          <w:bCs/>
          <w:color w:val="1A1A1A"/>
          <w:sz w:val="21"/>
          <w:szCs w:val="21"/>
        </w:rPr>
        <w:t xml:space="preserve">anticipatory governance and foresight</w:t>
      </w:r>
      <w:r>
        <w:rPr>
          <w:rFonts w:ascii="Georgia" w:cs="Georgia" w:eastAsia="Georgia" w:hAnsi="Georgia"/>
          <w:color w:val="1A1A1A"/>
          <w:sz w:val="21"/>
          <w:szCs w:val="21"/>
        </w:rPr>
        <w:t xml:space="preserve"> above all — the migration to PQC is a masterclass in acting </w:t>
      </w:r>
      <w:r>
        <w:rPr>
          <w:rFonts w:ascii="Georgia" w:cs="Georgia" w:eastAsia="Georgia" w:hAnsi="Georgia"/>
          <w:i/>
          <w:iCs/>
          <w:color w:val="1A1A1A"/>
          <w:sz w:val="21"/>
          <w:szCs w:val="21"/>
        </w:rPr>
        <w:t xml:space="preserve">before</w:t>
      </w:r>
      <w:r>
        <w:rPr>
          <w:rFonts w:ascii="Georgia" w:cs="Georgia" w:eastAsia="Georgia" w:hAnsi="Georgia"/>
          <w:color w:val="1A1A1A"/>
          <w:sz w:val="21"/>
          <w:szCs w:val="21"/>
        </w:rPr>
        <w:t xml:space="preserve"> the risk materialises, and a natural convening agenda for a frontier-tech workstream.</w:t>
      </w:r>
    </w:p>
    <w:p>
      <w:pPr>
        <w:pStyle w:val="Heading2"/>
        <w:spacing w:after="100" w:before="220"/>
      </w:pPr>
      <w:r>
        <w:rPr>
          <w:rFonts w:ascii="Calibri" w:cs="Calibri" w:eastAsia="Calibri" w:hAnsi="Calibri"/>
          <w:b/>
          <w:bCs/>
          <w:color w:val="2F5D8A"/>
          <w:sz w:val="25"/>
          <w:szCs w:val="25"/>
        </w:rPr>
        <w:t xml:space="preserve">3.3 Biotechnology and Synthetic Biology</w:t>
      </w:r>
    </w:p>
    <w:p>
      <w:pPr>
        <w:pStyle w:val="Heading3"/>
        <w:spacing w:after="70" w:before="160"/>
      </w:pPr>
      <w:r>
        <w:rPr>
          <w:rFonts w:ascii="Calibri" w:cs="Calibri" w:eastAsia="Calibri" w:hAnsi="Calibri"/>
          <w:b/>
          <w:bCs/>
          <w:color w:val="1F2A44"/>
          <w:sz w:val="22"/>
          <w:szCs w:val="22"/>
        </w:rPr>
        <w:t xml:space="preserve">State of play</w:t>
      </w:r>
    </w:p>
    <w:p>
      <w:pPr>
        <w:spacing w:after="140" w:line="276"/>
        <w:jc w:val="both"/>
      </w:pPr>
      <w:r>
        <w:rPr>
          <w:rFonts w:ascii="Georgia" w:cs="Georgia" w:eastAsia="Georgia" w:hAnsi="Georgia"/>
          <w:color w:val="1A1A1A"/>
          <w:sz w:val="21"/>
          <w:szCs w:val="21"/>
        </w:rPr>
        <w:t xml:space="preserve">Precision gene editing (CRISPR and successors), </w:t>
      </w:r>
      <w:r>
        <w:rPr>
          <w:rFonts w:ascii="Georgia" w:cs="Georgia" w:eastAsia="Georgia" w:hAnsi="Georgia"/>
          <w:b/>
          <w:bCs/>
          <w:color w:val="1A1A1A"/>
          <w:sz w:val="21"/>
          <w:szCs w:val="21"/>
        </w:rPr>
        <w:t xml:space="preserve">synthetic biology</w:t>
      </w:r>
      <w:r>
        <w:rPr>
          <w:rFonts w:ascii="Georgia" w:cs="Georgia" w:eastAsia="Georgia" w:hAnsi="Georgia"/>
          <w:color w:val="1A1A1A"/>
          <w:sz w:val="21"/>
          <w:szCs w:val="21"/>
        </w:rPr>
        <w:t xml:space="preserve"> (engineering biology like software), AI-designed proteins, and cheap DNA synthesis are compressing what used to take years into weeks. The market is scaling fast, and the </w:t>
      </w:r>
      <w:r>
        <w:rPr>
          <w:rFonts w:ascii="Georgia" w:cs="Georgia" w:eastAsia="Georgia" w:hAnsi="Georgia"/>
          <w:b/>
          <w:bCs/>
          <w:color w:val="1A1A1A"/>
          <w:sz w:val="21"/>
          <w:szCs w:val="21"/>
        </w:rPr>
        <w:t xml:space="preserve">AI-bio convergence</w:t>
      </w:r>
      <w:r>
        <w:rPr>
          <w:rFonts w:ascii="Georgia" w:cs="Georgia" w:eastAsia="Georgia" w:hAnsi="Georgia"/>
          <w:color w:val="1A1A1A"/>
          <w:sz w:val="21"/>
          <w:szCs w:val="21"/>
        </w:rPr>
        <w:t xml:space="preserve"> is the defining new risk vector.</w:t>
      </w:r>
    </w:p>
    <w:p>
      <w:pPr>
        <w:pStyle w:val="Heading3"/>
        <w:spacing w:after="70" w:before="160"/>
      </w:pPr>
      <w:r>
        <w:rPr>
          <w:rFonts w:ascii="Calibri" w:cs="Calibri" w:eastAsia="Calibri" w:hAnsi="Calibri"/>
          <w:b/>
          <w:bCs/>
          <w:color w:val="1F2A44"/>
          <w:sz w:val="22"/>
          <w:szCs w:val="22"/>
        </w:rPr>
        <w:t xml:space="preserve">Core governance dilemma</w:t>
      </w:r>
    </w:p>
    <w:p>
      <w:pPr>
        <w:spacing w:after="140" w:line="276"/>
        <w:jc w:val="both"/>
      </w:pPr>
      <w:r>
        <w:rPr>
          <w:rFonts w:ascii="Georgia" w:cs="Georgia" w:eastAsia="Georgia" w:hAnsi="Georgia"/>
          <w:b/>
          <w:bCs/>
          <w:color w:val="1A1A1A"/>
          <w:sz w:val="21"/>
          <w:szCs w:val="21"/>
        </w:rPr>
        <w:t xml:space="preserve">How do you capture biotech’s enormous benefits — new medicines, food security, climate solutions — while preventing catastrophic dual-use misuse, when the same knowledge and tools enable both, and much of the capability sits outside traditional regulatory reach?</w:t>
      </w:r>
      <w:r>
        <w:rPr>
          <w:rFonts w:ascii="Georgia" w:cs="Georgia" w:eastAsia="Georgia" w:hAnsi="Georgia"/>
          <w:color w:val="1A1A1A"/>
          <w:sz w:val="21"/>
          <w:szCs w:val="21"/>
        </w:rPr>
        <w:t xml:space="preserve"> The sharpest edge now: </w:t>
      </w:r>
      <w:r>
        <w:rPr>
          <w:rFonts w:ascii="Georgia" w:cs="Georgia" w:eastAsia="Georgia" w:hAnsi="Georgia"/>
          <w:b/>
          <w:bCs/>
          <w:color w:val="1A1A1A"/>
          <w:sz w:val="21"/>
          <w:szCs w:val="21"/>
        </w:rPr>
        <w:t xml:space="preserve">AI tools (generative protein and sequence design) are outpacing the biosecurity screening that DNA-synthesis providers rely on.</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Biosecurity / dual-use</w:t>
      </w:r>
      <w:r>
        <w:rPr>
          <w:rFonts w:ascii="Georgia" w:cs="Georgia" w:eastAsia="Georgia" w:hAnsi="Georgia"/>
          <w:color w:val="1A1A1A"/>
          <w:sz w:val="21"/>
          <w:szCs w:val="21"/>
        </w:rPr>
        <w:t xml:space="preserve"> — the </w:t>
      </w:r>
      <w:r>
        <w:rPr>
          <w:rFonts w:ascii="Georgia" w:cs="Georgia" w:eastAsia="Georgia" w:hAnsi="Georgia"/>
          <w:b/>
          <w:bCs/>
          <w:color w:val="1A1A1A"/>
          <w:sz w:val="21"/>
          <w:szCs w:val="21"/>
        </w:rPr>
        <w:t xml:space="preserve">Biological Weapons Convention (BWC)</w:t>
      </w:r>
      <w:r>
        <w:rPr>
          <w:rFonts w:ascii="Georgia" w:cs="Georgia" w:eastAsia="Georgia" w:hAnsi="Georgia"/>
          <w:color w:val="1A1A1A"/>
          <w:sz w:val="21"/>
          <w:szCs w:val="21"/>
        </w:rPr>
        <w:t xml:space="preserve"> is the treaty backbone but famously </w:t>
      </w:r>
      <w:r>
        <w:rPr>
          <w:rFonts w:ascii="Georgia" w:cs="Georgia" w:eastAsia="Georgia" w:hAnsi="Georgia"/>
          <w:b/>
          <w:bCs/>
          <w:color w:val="1A1A1A"/>
          <w:sz w:val="21"/>
          <w:szCs w:val="21"/>
        </w:rPr>
        <w:t xml:space="preserve">lacks a verification mechanism</w:t>
      </w:r>
      <w:r>
        <w:rPr>
          <w:rFonts w:ascii="Georgia" w:cs="Georgia" w:eastAsia="Georgia" w:hAnsi="Georgia"/>
          <w:color w:val="1A1A1A"/>
          <w:sz w:val="21"/>
          <w:szCs w:val="21"/>
        </w:rPr>
        <w:t xml:space="preserve">; governance leans on national </w:t>
      </w:r>
      <w:r>
        <w:rPr>
          <w:rFonts w:ascii="Georgia" w:cs="Georgia" w:eastAsia="Georgia" w:hAnsi="Georgia"/>
          <w:b/>
          <w:bCs/>
          <w:color w:val="1A1A1A"/>
          <w:sz w:val="21"/>
          <w:szCs w:val="21"/>
        </w:rPr>
        <w:t xml:space="preserve">dual-use research of concern (DURC)</w:t>
      </w:r>
      <w:r>
        <w:rPr>
          <w:rFonts w:ascii="Georgia" w:cs="Georgia" w:eastAsia="Georgia" w:hAnsi="Georgia"/>
          <w:color w:val="1A1A1A"/>
          <w:sz w:val="21"/>
          <w:szCs w:val="21"/>
        </w:rPr>
        <w:t xml:space="preserve"> policies and voluntary </w:t>
      </w:r>
      <w:r>
        <w:rPr>
          <w:rFonts w:ascii="Georgia" w:cs="Georgia" w:eastAsia="Georgia" w:hAnsi="Georgia"/>
          <w:b/>
          <w:bCs/>
          <w:color w:val="1A1A1A"/>
          <w:sz w:val="21"/>
          <w:szCs w:val="21"/>
        </w:rPr>
        <w:t xml:space="preserve">DNA-synthesis screening</w:t>
      </w:r>
      <w:r>
        <w:rPr>
          <w:rFonts w:ascii="Georgia" w:cs="Georgia" w:eastAsia="Georgia" w:hAnsi="Georgia"/>
          <w:color w:val="1A1A1A"/>
          <w:sz w:val="21"/>
          <w:szCs w:val="21"/>
        </w:rPr>
        <w:t xml:space="preserve"> (e.g. the International Gene Synthesis Consortium).</w:t>
      </w:r>
    </w:p>
    <w:p>
      <w:pPr>
        <w:pStyle w:val="ListParagraph"/>
        <w:numPr>
          <w:ilvl w:val="0"/>
          <w:numId w:val="1"/>
        </w:numPr>
        <w:spacing w:after="70" w:line="268"/>
      </w:pPr>
      <w:r>
        <w:rPr>
          <w:rFonts w:ascii="Georgia" w:cs="Georgia" w:eastAsia="Georgia" w:hAnsi="Georgia"/>
          <w:b/>
          <w:bCs/>
          <w:color w:val="1A1A1A"/>
          <w:sz w:val="21"/>
          <w:szCs w:val="21"/>
        </w:rPr>
        <w:t xml:space="preserve">Recent moves</w:t>
      </w:r>
      <w:r>
        <w:rPr>
          <w:rFonts w:ascii="Georgia" w:cs="Georgia" w:eastAsia="Georgia" w:hAnsi="Georgia"/>
          <w:color w:val="1A1A1A"/>
          <w:sz w:val="21"/>
          <w:szCs w:val="21"/>
        </w:rPr>
        <w:t xml:space="preserve"> — a US executive order (2025) directing a biosafety/biosecurity policy refresh; proposed US legislation to tighten synthesis screening; the EU’s preparatory work on a </w:t>
      </w:r>
      <w:r>
        <w:rPr>
          <w:rFonts w:ascii="Georgia" w:cs="Georgia" w:eastAsia="Georgia" w:hAnsi="Georgia"/>
          <w:b/>
          <w:bCs/>
          <w:color w:val="1A1A1A"/>
          <w:sz w:val="21"/>
          <w:szCs w:val="21"/>
        </w:rPr>
        <w:t xml:space="preserve">Biotech Act</w:t>
      </w:r>
      <w:r>
        <w:rPr>
          <w:rFonts w:ascii="Georgia" w:cs="Georgia" w:eastAsia="Georgia" w:hAnsi="Georgia"/>
          <w:color w:val="1A1A1A"/>
          <w:sz w:val="21"/>
          <w:szCs w:val="21"/>
        </w:rPr>
        <w:t xml:space="preserve">; South Korea’s Synthetic Biology Promotion Act (2025).</w:t>
      </w:r>
    </w:p>
    <w:p>
      <w:pPr>
        <w:pStyle w:val="ListParagraph"/>
        <w:numPr>
          <w:ilvl w:val="0"/>
          <w:numId w:val="1"/>
        </w:numPr>
        <w:spacing w:after="70" w:line="268"/>
      </w:pPr>
      <w:r>
        <w:rPr>
          <w:rFonts w:ascii="Georgia" w:cs="Georgia" w:eastAsia="Georgia" w:hAnsi="Georgia"/>
          <w:b/>
          <w:bCs/>
          <w:color w:val="1A1A1A"/>
          <w:sz w:val="21"/>
          <w:szCs w:val="21"/>
        </w:rPr>
        <w:t xml:space="preserve">Biosafety / environment</w:t>
      </w:r>
      <w:r>
        <w:rPr>
          <w:rFonts w:ascii="Georgia" w:cs="Georgia" w:eastAsia="Georgia" w:hAnsi="Georgia"/>
          <w:color w:val="1A1A1A"/>
          <w:sz w:val="21"/>
          <w:szCs w:val="21"/>
        </w:rPr>
        <w:t xml:space="preserve"> — the </w:t>
      </w:r>
      <w:r>
        <w:rPr>
          <w:rFonts w:ascii="Georgia" w:cs="Georgia" w:eastAsia="Georgia" w:hAnsi="Georgia"/>
          <w:b/>
          <w:bCs/>
          <w:color w:val="1A1A1A"/>
          <w:sz w:val="21"/>
          <w:szCs w:val="21"/>
        </w:rPr>
        <w:t xml:space="preserve">Cartagena Protocol</w:t>
      </w:r>
      <w:r>
        <w:rPr>
          <w:rFonts w:ascii="Georgia" w:cs="Georgia" w:eastAsia="Georgia" w:hAnsi="Georgia"/>
          <w:color w:val="1A1A1A"/>
          <w:sz w:val="21"/>
          <w:szCs w:val="21"/>
        </w:rPr>
        <w:t xml:space="preserve"> (living modified organisms) and </w:t>
      </w:r>
      <w:r>
        <w:rPr>
          <w:rFonts w:ascii="Georgia" w:cs="Georgia" w:eastAsia="Georgia" w:hAnsi="Georgia"/>
          <w:b/>
          <w:bCs/>
          <w:color w:val="1A1A1A"/>
          <w:sz w:val="21"/>
          <w:szCs w:val="21"/>
        </w:rPr>
        <w:t xml:space="preserve">Nagoya Protocol</w:t>
      </w:r>
      <w:r>
        <w:rPr>
          <w:rFonts w:ascii="Georgia" w:cs="Georgia" w:eastAsia="Georgia" w:hAnsi="Georgia"/>
          <w:color w:val="1A1A1A"/>
          <w:sz w:val="21"/>
          <w:szCs w:val="21"/>
        </w:rPr>
        <w:t xml:space="preserve"> (access and benefit-sharing) sit under the Convention on Biological Diversity; gene-editing product rules differ sharply between the EU (process-based, strict) and the US (product-based, lighter).</w:t>
      </w:r>
    </w:p>
    <w:p>
      <w:pPr>
        <w:pStyle w:val="ListParagraph"/>
        <w:numPr>
          <w:ilvl w:val="0"/>
          <w:numId w:val="1"/>
        </w:numPr>
        <w:spacing w:after="70" w:line="268"/>
      </w:pPr>
      <w:r>
        <w:rPr>
          <w:rFonts w:ascii="Georgia" w:cs="Georgia" w:eastAsia="Georgia" w:hAnsi="Georgia"/>
          <w:b/>
          <w:bCs/>
          <w:color w:val="1A1A1A"/>
          <w:sz w:val="21"/>
          <w:szCs w:val="21"/>
        </w:rPr>
        <w:t xml:space="preserve">Ethics</w:t>
      </w:r>
      <w:r>
        <w:rPr>
          <w:rFonts w:ascii="Georgia" w:cs="Georgia" w:eastAsia="Georgia" w:hAnsi="Georgia"/>
          <w:color w:val="1A1A1A"/>
          <w:sz w:val="21"/>
          <w:szCs w:val="21"/>
        </w:rPr>
        <w:t xml:space="preserve"> — human germline editing remains broadly off-limits after the 2018 He Jiankui affair; UNESCO and WHO have active bioethics processes.</w:t>
      </w:r>
    </w:p>
    <w:p>
      <w:pPr>
        <w:pStyle w:val="Heading3"/>
        <w:spacing w:after="70" w:before="160"/>
      </w:pPr>
      <w:r>
        <w:rPr>
          <w:rFonts w:ascii="Calibri" w:cs="Calibri" w:eastAsia="Calibri" w:hAnsi="Calibri"/>
          <w:b/>
          <w:bCs/>
          <w:color w:val="1F2A44"/>
          <w:sz w:val="22"/>
          <w:szCs w:val="22"/>
        </w:rPr>
        <w:t xml:space="preserve">Open questions / the regulatory-innovation angle</w:t>
      </w:r>
    </w:p>
    <w:p>
      <w:pPr>
        <w:spacing w:after="140" w:line="276"/>
        <w:jc w:val="both"/>
      </w:pPr>
      <w:r>
        <w:rPr>
          <w:rFonts w:ascii="Georgia" w:cs="Georgia" w:eastAsia="Georgia" w:hAnsi="Georgia"/>
          <w:color w:val="1A1A1A"/>
          <w:sz w:val="21"/>
          <w:szCs w:val="21"/>
        </w:rPr>
        <w:t xml:space="preserve">Open: how to govern AI-bio convergence; how to screen synthesis without stifling research; how to reach non-state and DIY-bio actors; and how to update a verification-free treaty regime. Toolkit angle: biotech needs </w:t>
      </w:r>
      <w:r>
        <w:rPr>
          <w:rFonts w:ascii="Georgia" w:cs="Georgia" w:eastAsia="Georgia" w:hAnsi="Georgia"/>
          <w:b/>
          <w:bCs/>
          <w:color w:val="1A1A1A"/>
          <w:sz w:val="21"/>
          <w:szCs w:val="21"/>
        </w:rPr>
        <w:t xml:space="preserve">collaborative regulation and standards</w:t>
      </w:r>
      <w:r>
        <w:rPr>
          <w:rFonts w:ascii="Georgia" w:cs="Georgia" w:eastAsia="Georgia" w:hAnsi="Georgia"/>
          <w:color w:val="1A1A1A"/>
          <w:sz w:val="21"/>
          <w:szCs w:val="21"/>
        </w:rPr>
        <w:t xml:space="preserve"> (industry screening norms), </w:t>
      </w:r>
      <w:r>
        <w:rPr>
          <w:rFonts w:ascii="Georgia" w:cs="Georgia" w:eastAsia="Georgia" w:hAnsi="Georgia"/>
          <w:b/>
          <w:bCs/>
          <w:color w:val="1A1A1A"/>
          <w:sz w:val="21"/>
          <w:szCs w:val="21"/>
        </w:rPr>
        <w:t xml:space="preserve">international cooperation</w:t>
      </w:r>
      <w:r>
        <w:rPr>
          <w:rFonts w:ascii="Georgia" w:cs="Georgia" w:eastAsia="Georgia" w:hAnsi="Georgia"/>
          <w:color w:val="1A1A1A"/>
          <w:sz w:val="21"/>
          <w:szCs w:val="21"/>
        </w:rPr>
        <w:t xml:space="preserve"> (a borderless risk), and hard thinking about the limits of soft law where the downside is catastrophic — a place to show you know when agility must yield to precaution.</w:t>
      </w:r>
    </w:p>
    <w:p>
      <w:pPr>
        <w:pStyle w:val="Heading2"/>
        <w:spacing w:after="100" w:before="220"/>
      </w:pPr>
      <w:r>
        <w:rPr>
          <w:rFonts w:ascii="Calibri" w:cs="Calibri" w:eastAsia="Calibri" w:hAnsi="Calibri"/>
          <w:b/>
          <w:bCs/>
          <w:color w:val="2F5D8A"/>
          <w:sz w:val="25"/>
          <w:szCs w:val="25"/>
        </w:rPr>
        <w:t xml:space="preserve">3.4 Robotics and Autonomous Mobility</w:t>
      </w:r>
    </w:p>
    <w:p>
      <w:pPr>
        <w:pStyle w:val="Heading3"/>
        <w:spacing w:after="70" w:before="160"/>
      </w:pPr>
      <w:r>
        <w:rPr>
          <w:rFonts w:ascii="Calibri" w:cs="Calibri" w:eastAsia="Calibri" w:hAnsi="Calibri"/>
          <w:b/>
          <w:bCs/>
          <w:color w:val="1F2A44"/>
          <w:sz w:val="22"/>
          <w:szCs w:val="22"/>
        </w:rPr>
        <w:t xml:space="preserve">State of play</w:t>
      </w:r>
    </w:p>
    <w:p>
      <w:pPr>
        <w:spacing w:after="140" w:line="276"/>
        <w:jc w:val="both"/>
      </w:pPr>
      <w:r>
        <w:rPr>
          <w:rFonts w:ascii="Georgia" w:cs="Georgia" w:eastAsia="Georgia" w:hAnsi="Georgia"/>
          <w:color w:val="1A1A1A"/>
          <w:sz w:val="21"/>
          <w:szCs w:val="21"/>
        </w:rPr>
        <w:t xml:space="preserve">Two converging fronts: </w:t>
      </w:r>
      <w:r>
        <w:rPr>
          <w:rFonts w:ascii="Georgia" w:cs="Georgia" w:eastAsia="Georgia" w:hAnsi="Georgia"/>
          <w:b/>
          <w:bCs/>
          <w:color w:val="1A1A1A"/>
          <w:sz w:val="21"/>
          <w:szCs w:val="21"/>
        </w:rPr>
        <w:t xml:space="preserve">autonomous vehicles</w:t>
      </w:r>
      <w:r>
        <w:rPr>
          <w:rFonts w:ascii="Georgia" w:cs="Georgia" w:eastAsia="Georgia" w:hAnsi="Georgia"/>
          <w:color w:val="1A1A1A"/>
          <w:sz w:val="21"/>
          <w:szCs w:val="21"/>
        </w:rPr>
        <w:t xml:space="preserve"> (self-driving cars, trucks and delivery), maturing from pilots toward deployment, and </w:t>
      </w:r>
      <w:r>
        <w:rPr>
          <w:rFonts w:ascii="Georgia" w:cs="Georgia" w:eastAsia="Georgia" w:hAnsi="Georgia"/>
          <w:b/>
          <w:bCs/>
          <w:color w:val="1A1A1A"/>
          <w:sz w:val="21"/>
          <w:szCs w:val="21"/>
        </w:rPr>
        <w:t xml:space="preserve">general-purpose / humanoid robotics</w:t>
      </w:r>
      <w:r>
        <w:rPr>
          <w:rFonts w:ascii="Georgia" w:cs="Georgia" w:eastAsia="Georgia" w:hAnsi="Georgia"/>
          <w:color w:val="1A1A1A"/>
          <w:sz w:val="21"/>
          <w:szCs w:val="21"/>
        </w:rPr>
        <w:t xml:space="preserve"> and embodied AI, moving fast on the back of the AI wave. The unifying feature is </w:t>
      </w:r>
      <w:r>
        <w:rPr>
          <w:rFonts w:ascii="Georgia" w:cs="Georgia" w:eastAsia="Georgia" w:hAnsi="Georgia"/>
          <w:b/>
          <w:bCs/>
          <w:color w:val="1A1A1A"/>
          <w:sz w:val="21"/>
          <w:szCs w:val="21"/>
        </w:rPr>
        <w:t xml:space="preserve">autonomous physical action in shared human spaces</w:t>
      </w:r>
      <w:r>
        <w:rPr>
          <w:rFonts w:ascii="Georgia" w:cs="Georgia" w:eastAsia="Georgia" w:hAnsi="Georgia"/>
          <w:color w:val="1A1A1A"/>
          <w:sz w:val="21"/>
          <w:szCs w:val="21"/>
        </w:rPr>
        <w:t xml:space="preserve"> — which makes safety and liability concrete, not abstract.</w:t>
      </w:r>
    </w:p>
    <w:p>
      <w:pPr>
        <w:pStyle w:val="Heading3"/>
        <w:spacing w:after="70" w:before="160"/>
      </w:pPr>
      <w:r>
        <w:rPr>
          <w:rFonts w:ascii="Calibri" w:cs="Calibri" w:eastAsia="Calibri" w:hAnsi="Calibri"/>
          <w:b/>
          <w:bCs/>
          <w:color w:val="1F2A44"/>
          <w:sz w:val="22"/>
          <w:szCs w:val="22"/>
        </w:rPr>
        <w:t xml:space="preserve">Core governance dilemma</w:t>
      </w:r>
    </w:p>
    <w:p>
      <w:pPr>
        <w:spacing w:after="140" w:line="276"/>
        <w:jc w:val="both"/>
      </w:pPr>
      <w:r>
        <w:rPr>
          <w:rFonts w:ascii="Georgia" w:cs="Georgia" w:eastAsia="Georgia" w:hAnsi="Georgia"/>
          <w:b/>
          <w:bCs/>
          <w:color w:val="1A1A1A"/>
          <w:sz w:val="21"/>
          <w:szCs w:val="21"/>
        </w:rPr>
        <w:t xml:space="preserve">When an autonomous system acts in the world and causes harm, who is responsible — the manufacturer, the software developer, the operator, the owner — and how do you certify the safety of a system that learns and changes after it is deployed?</w:t>
      </w:r>
      <w:r>
        <w:rPr>
          <w:rFonts w:ascii="Georgia" w:cs="Georgia" w:eastAsia="Georgia" w:hAnsi="Georgia"/>
          <w:color w:val="1A1A1A"/>
          <w:sz w:val="21"/>
          <w:szCs w:val="21"/>
        </w:rPr>
        <w:t xml:space="preserve"> Traditional product-safety and liability law assumes a fixed product and a human in control; autonomy breaks both assumptions.</w:t>
      </w:r>
    </w:p>
    <w:p>
      <w:pPr>
        <w:pStyle w:val="Heading3"/>
        <w:spacing w:after="70" w:before="160"/>
      </w:pPr>
      <w:r>
        <w:rPr>
          <w:rFonts w:ascii="Calibri" w:cs="Calibri" w:eastAsia="Calibri" w:hAnsi="Calibri"/>
          <w:b/>
          <w:bCs/>
          <w:color w:val="1F2A44"/>
          <w:sz w:val="22"/>
          <w:szCs w:val="22"/>
        </w:rPr>
        <w:t xml:space="preserve">Regulatory landscape</w:t>
      </w:r>
    </w:p>
    <w:p>
      <w:pPr>
        <w:pStyle w:val="ListParagraph"/>
        <w:numPr>
          <w:ilvl w:val="0"/>
          <w:numId w:val="1"/>
        </w:numPr>
        <w:spacing w:after="70" w:line="268"/>
      </w:pPr>
      <w:r>
        <w:rPr>
          <w:rFonts w:ascii="Georgia" w:cs="Georgia" w:eastAsia="Georgia" w:hAnsi="Georgia"/>
          <w:b/>
          <w:bCs/>
          <w:color w:val="1A1A1A"/>
          <w:sz w:val="21"/>
          <w:szCs w:val="21"/>
        </w:rPr>
        <w:t xml:space="preserve">International vehicle rules</w:t>
      </w:r>
      <w:r>
        <w:rPr>
          <w:rFonts w:ascii="Georgia" w:cs="Georgia" w:eastAsia="Georgia" w:hAnsi="Georgia"/>
          <w:color w:val="1A1A1A"/>
          <w:sz w:val="21"/>
          <w:szCs w:val="21"/>
        </w:rPr>
        <w:t xml:space="preserve"> — the </w:t>
      </w:r>
      <w:r>
        <w:rPr>
          <w:rFonts w:ascii="Georgia" w:cs="Georgia" w:eastAsia="Georgia" w:hAnsi="Georgia"/>
          <w:b/>
          <w:bCs/>
          <w:color w:val="1A1A1A"/>
          <w:sz w:val="21"/>
          <w:szCs w:val="21"/>
        </w:rPr>
        <w:t xml:space="preserve">UNECE World Forum (WP.29)</w:t>
      </w:r>
      <w:r>
        <w:rPr>
          <w:rFonts w:ascii="Georgia" w:cs="Georgia" w:eastAsia="Georgia" w:hAnsi="Georgia"/>
          <w:color w:val="1A1A1A"/>
          <w:sz w:val="21"/>
          <w:szCs w:val="21"/>
        </w:rPr>
        <w:t xml:space="preserve"> and its automated-vehicle working party (GRVA) set harmonised rules; a UN regulation on Automated Driving Systems (adopted January 2026) anchors approval in a </w:t>
      </w:r>
      <w:r>
        <w:rPr>
          <w:rFonts w:ascii="Georgia" w:cs="Georgia" w:eastAsia="Georgia" w:hAnsi="Georgia"/>
          <w:b/>
          <w:bCs/>
          <w:color w:val="1A1A1A"/>
          <w:sz w:val="21"/>
          <w:szCs w:val="21"/>
        </w:rPr>
        <w:t xml:space="preserve">“safety case” approach</w:t>
      </w:r>
      <w:r>
        <w:rPr>
          <w:rFonts w:ascii="Georgia" w:cs="Georgia" w:eastAsia="Georgia" w:hAnsi="Georgia"/>
          <w:color w:val="1A1A1A"/>
          <w:sz w:val="21"/>
          <w:szCs w:val="21"/>
        </w:rPr>
        <w:t xml:space="preserve">. </w:t>
      </w:r>
      <w:r>
        <w:rPr>
          <w:rFonts w:ascii="Georgia" w:cs="Georgia" w:eastAsia="Georgia" w:hAnsi="Georgia"/>
          <w:b/>
          <w:bCs/>
          <w:color w:val="1A1A1A"/>
          <w:sz w:val="21"/>
          <w:szCs w:val="21"/>
        </w:rPr>
        <w:t xml:space="preserve">SAE Levels 0–5</w:t>
      </w:r>
      <w:r>
        <w:rPr>
          <w:rFonts w:ascii="Georgia" w:cs="Georgia" w:eastAsia="Georgia" w:hAnsi="Georgia"/>
          <w:color w:val="1A1A1A"/>
          <w:sz w:val="21"/>
          <w:szCs w:val="21"/>
        </w:rPr>
        <w:t xml:space="preserve"> are the universal shorthand for automation.</w:t>
      </w:r>
    </w:p>
    <w:p>
      <w:pPr>
        <w:pStyle w:val="ListParagraph"/>
        <w:numPr>
          <w:ilvl w:val="0"/>
          <w:numId w:val="1"/>
        </w:numPr>
        <w:spacing w:after="70" w:line="268"/>
      </w:pPr>
      <w:r>
        <w:rPr>
          <w:rFonts w:ascii="Georgia" w:cs="Georgia" w:eastAsia="Georgia" w:hAnsi="Georgia"/>
          <w:b/>
          <w:bCs/>
          <w:color w:val="1A1A1A"/>
          <w:sz w:val="21"/>
          <w:szCs w:val="21"/>
        </w:rPr>
        <w:t xml:space="preserve">EU</w:t>
      </w:r>
      <w:r>
        <w:rPr>
          <w:rFonts w:ascii="Georgia" w:cs="Georgia" w:eastAsia="Georgia" w:hAnsi="Georgia"/>
          <w:color w:val="1A1A1A"/>
          <w:sz w:val="21"/>
          <w:szCs w:val="21"/>
        </w:rPr>
        <w:t xml:space="preserve"> — a layered stack: the </w:t>
      </w:r>
      <w:r>
        <w:rPr>
          <w:rFonts w:ascii="Georgia" w:cs="Georgia" w:eastAsia="Georgia" w:hAnsi="Georgia"/>
          <w:b/>
          <w:bCs/>
          <w:color w:val="1A1A1A"/>
          <w:sz w:val="21"/>
          <w:szCs w:val="21"/>
        </w:rPr>
        <w:t xml:space="preserve">AI Act</w:t>
      </w:r>
      <w:r>
        <w:rPr>
          <w:rFonts w:ascii="Georgia" w:cs="Georgia" w:eastAsia="Georgia" w:hAnsi="Georgia"/>
          <w:color w:val="1A1A1A"/>
          <w:sz w:val="21"/>
          <w:szCs w:val="21"/>
        </w:rPr>
        <w:t xml:space="preserve"> (safe/ethical AI design), the revised </w:t>
      </w:r>
      <w:r>
        <w:rPr>
          <w:rFonts w:ascii="Georgia" w:cs="Georgia" w:eastAsia="Georgia" w:hAnsi="Georgia"/>
          <w:b/>
          <w:bCs/>
          <w:color w:val="1A1A1A"/>
          <w:sz w:val="21"/>
          <w:szCs w:val="21"/>
        </w:rPr>
        <w:t xml:space="preserve">Machinery Regulation (2023/1230, applying 2027)</w:t>
      </w:r>
      <w:r>
        <w:rPr>
          <w:rFonts w:ascii="Georgia" w:cs="Georgia" w:eastAsia="Georgia" w:hAnsi="Georgia"/>
          <w:color w:val="1A1A1A"/>
          <w:sz w:val="21"/>
          <w:szCs w:val="21"/>
        </w:rPr>
        <w:t xml:space="preserve"> adding autonomy thresholds, lifetime cybersecurity and risk classification, and the revised </w:t>
      </w:r>
      <w:r>
        <w:rPr>
          <w:rFonts w:ascii="Georgia" w:cs="Georgia" w:eastAsia="Georgia" w:hAnsi="Georgia"/>
          <w:b/>
          <w:bCs/>
          <w:color w:val="1A1A1A"/>
          <w:sz w:val="21"/>
          <w:szCs w:val="21"/>
        </w:rPr>
        <w:t xml:space="preserve">Product Liability Directive</w:t>
      </w:r>
      <w:r>
        <w:rPr>
          <w:rFonts w:ascii="Georgia" w:cs="Georgia" w:eastAsia="Georgia" w:hAnsi="Georgia"/>
          <w:color w:val="1A1A1A"/>
          <w:sz w:val="21"/>
          <w:szCs w:val="21"/>
        </w:rPr>
        <w:t xml:space="preserve"> extending strict liability to software and AI.</w:t>
      </w:r>
    </w:p>
    <w:p>
      <w:pPr>
        <w:pStyle w:val="ListParagraph"/>
        <w:numPr>
          <w:ilvl w:val="0"/>
          <w:numId w:val="1"/>
        </w:numPr>
        <w:spacing w:after="70" w:line="268"/>
      </w:pPr>
      <w:r>
        <w:rPr>
          <w:rFonts w:ascii="Georgia" w:cs="Georgia" w:eastAsia="Georgia" w:hAnsi="Georgia"/>
          <w:b/>
          <w:bCs/>
          <w:color w:val="1A1A1A"/>
          <w:sz w:val="21"/>
          <w:szCs w:val="21"/>
        </w:rPr>
        <w:t xml:space="preserve">Liability innovation</w:t>
      </w:r>
      <w:r>
        <w:rPr>
          <w:rFonts w:ascii="Georgia" w:cs="Georgia" w:eastAsia="Georgia" w:hAnsi="Georgia"/>
          <w:color w:val="1A1A1A"/>
          <w:sz w:val="21"/>
          <w:szCs w:val="21"/>
        </w:rPr>
        <w:t xml:space="preserve"> — the hardest live question; approaches range from strict manufacturer liability to no-fault insurance pools; the EU withdrew its separate AI Liability Directive, leaving the updated product-liability regime to carry the load.</w:t>
      </w:r>
    </w:p>
    <w:p>
      <w:pPr>
        <w:pStyle w:val="ListParagraph"/>
        <w:numPr>
          <w:ilvl w:val="0"/>
          <w:numId w:val="1"/>
        </w:numPr>
        <w:spacing w:after="70" w:line="268"/>
      </w:pPr>
      <w:r>
        <w:rPr>
          <w:rFonts w:ascii="Georgia" w:cs="Georgia" w:eastAsia="Georgia" w:hAnsi="Georgia"/>
          <w:b/>
          <w:bCs/>
          <w:color w:val="1A1A1A"/>
          <w:sz w:val="21"/>
          <w:szCs w:val="21"/>
        </w:rPr>
        <w:t xml:space="preserve">Humanoid / consumer robots</w:t>
      </w:r>
      <w:r>
        <w:rPr>
          <w:rFonts w:ascii="Georgia" w:cs="Georgia" w:eastAsia="Georgia" w:hAnsi="Georgia"/>
          <w:color w:val="1A1A1A"/>
          <w:sz w:val="21"/>
          <w:szCs w:val="21"/>
        </w:rPr>
        <w:t xml:space="preserve"> — largely ungoverned: as of late 2025 there is no comprehensive US, EU or international regime for personal humanoid robots; </w:t>
      </w:r>
      <w:r>
        <w:rPr>
          <w:rFonts w:ascii="Georgia" w:cs="Georgia" w:eastAsia="Georgia" w:hAnsi="Georgia"/>
          <w:b/>
          <w:bCs/>
          <w:color w:val="1A1A1A"/>
          <w:sz w:val="21"/>
          <w:szCs w:val="21"/>
        </w:rPr>
        <w:t xml:space="preserve">ISO 25785-1 (2025)</w:t>
      </w:r>
      <w:r>
        <w:rPr>
          <w:rFonts w:ascii="Georgia" w:cs="Georgia" w:eastAsia="Georgia" w:hAnsi="Georgia"/>
          <w:color w:val="1A1A1A"/>
          <w:sz w:val="21"/>
          <w:szCs w:val="21"/>
        </w:rPr>
        <w:t xml:space="preserve"> is a first safety standard, but only for industrial bipedal robots.</w:t>
      </w:r>
    </w:p>
    <w:p>
      <w:pPr>
        <w:pStyle w:val="Heading3"/>
        <w:spacing w:after="70" w:before="160"/>
      </w:pPr>
      <w:r>
        <w:rPr>
          <w:rFonts w:ascii="Calibri" w:cs="Calibri" w:eastAsia="Calibri" w:hAnsi="Calibri"/>
          <w:b/>
          <w:bCs/>
          <w:color w:val="1F2A44"/>
          <w:sz w:val="22"/>
          <w:szCs w:val="22"/>
        </w:rPr>
        <w:t xml:space="preserve">Open questions / the regulatory-innovation angle</w:t>
      </w:r>
    </w:p>
    <w:p>
      <w:pPr>
        <w:spacing w:after="140" w:line="276"/>
        <w:jc w:val="both"/>
      </w:pPr>
      <w:r>
        <w:rPr>
          <w:rFonts w:ascii="Georgia" w:cs="Georgia" w:eastAsia="Georgia" w:hAnsi="Georgia"/>
          <w:color w:val="1A1A1A"/>
          <w:sz w:val="21"/>
          <w:szCs w:val="21"/>
        </w:rPr>
        <w:t xml:space="preserve">Open: liability allocation; safety assurance for learning systems; certification of continuously updated software; labour displacement; and consumer-robot safety. Toolkit angle: mobility is the home turf of </w:t>
      </w:r>
      <w:r>
        <w:rPr>
          <w:rFonts w:ascii="Georgia" w:cs="Georgia" w:eastAsia="Georgia" w:hAnsi="Georgia"/>
          <w:b/>
          <w:bCs/>
          <w:color w:val="1A1A1A"/>
          <w:sz w:val="21"/>
          <w:szCs w:val="21"/>
        </w:rPr>
        <w:t xml:space="preserve">sandboxes and pilots</w:t>
      </w:r>
      <w:r>
        <w:rPr>
          <w:rFonts w:ascii="Georgia" w:cs="Georgia" w:eastAsia="Georgia" w:hAnsi="Georgia"/>
          <w:color w:val="1A1A1A"/>
          <w:sz w:val="21"/>
          <w:szCs w:val="21"/>
        </w:rPr>
        <w:t xml:space="preserve"> (testbeds, geofenced trials), </w:t>
      </w:r>
      <w:r>
        <w:rPr>
          <w:rFonts w:ascii="Georgia" w:cs="Georgia" w:eastAsia="Georgia" w:hAnsi="Georgia"/>
          <w:b/>
          <w:bCs/>
          <w:color w:val="1A1A1A"/>
          <w:sz w:val="21"/>
          <w:szCs w:val="21"/>
        </w:rPr>
        <w:t xml:space="preserve">outcome-based safety cases</w:t>
      </w:r>
      <w:r>
        <w:rPr>
          <w:rFonts w:ascii="Georgia" w:cs="Georgia" w:eastAsia="Georgia" w:hAnsi="Georgia"/>
          <w:color w:val="1A1A1A"/>
          <w:sz w:val="21"/>
          <w:szCs w:val="21"/>
        </w:rPr>
        <w:t xml:space="preserve">, and </w:t>
      </w:r>
      <w:r>
        <w:rPr>
          <w:rFonts w:ascii="Georgia" w:cs="Georgia" w:eastAsia="Georgia" w:hAnsi="Georgia"/>
          <w:b/>
          <w:bCs/>
          <w:color w:val="1A1A1A"/>
          <w:sz w:val="21"/>
          <w:szCs w:val="21"/>
        </w:rPr>
        <w:t xml:space="preserve">standards</w:t>
      </w:r>
      <w:r>
        <w:rPr>
          <w:rFonts w:ascii="Georgia" w:cs="Georgia" w:eastAsia="Georgia" w:hAnsi="Georgia"/>
          <w:color w:val="1A1A1A"/>
          <w:sz w:val="21"/>
          <w:szCs w:val="21"/>
        </w:rPr>
        <w:t xml:space="preserve"> — and a vivid case for co-designing rules with cities and insurers as much as with manufacturers.</w:t>
      </w:r>
    </w:p>
    <w:p>
      <w:pPr>
        <w:pStyle w:val="Heading2"/>
        <w:spacing w:after="100" w:before="220"/>
      </w:pPr>
      <w:r>
        <w:rPr>
          <w:rFonts w:ascii="Calibri" w:cs="Calibri" w:eastAsia="Calibri" w:hAnsi="Calibri"/>
          <w:b/>
          <w:bCs/>
          <w:color w:val="2F5D8A"/>
          <w:sz w:val="25"/>
          <w:szCs w:val="25"/>
        </w:rPr>
        <w:t xml:space="preserve">3.5 Planetary Systems — Space and Climate Intervention</w:t>
      </w:r>
    </w:p>
    <w:p>
      <w:pPr>
        <w:spacing w:after="140" w:line="276"/>
        <w:jc w:val="both"/>
      </w:pPr>
      <w:r>
        <w:rPr>
          <w:rFonts w:ascii="Georgia" w:cs="Georgia" w:eastAsia="Georgia" w:hAnsi="Georgia"/>
          <w:color w:val="1A1A1A"/>
          <w:sz w:val="21"/>
          <w:szCs w:val="21"/>
        </w:rPr>
        <w:t xml:space="preserve">“Planetary systems” spans two governance frontiers the Forum groups together: activity in </w:t>
      </w:r>
      <w:r>
        <w:rPr>
          <w:rFonts w:ascii="Georgia" w:cs="Georgia" w:eastAsia="Georgia" w:hAnsi="Georgia"/>
          <w:b/>
          <w:bCs/>
          <w:color w:val="1A1A1A"/>
          <w:sz w:val="21"/>
          <w:szCs w:val="21"/>
        </w:rPr>
        <w:t xml:space="preserve">outer space</w:t>
      </w:r>
      <w:r>
        <w:rPr>
          <w:rFonts w:ascii="Georgia" w:cs="Georgia" w:eastAsia="Georgia" w:hAnsi="Georgia"/>
          <w:color w:val="1A1A1A"/>
          <w:sz w:val="21"/>
          <w:szCs w:val="21"/>
        </w:rPr>
        <w:t xml:space="preserve">, and deliberate intervention in </w:t>
      </w:r>
      <w:r>
        <w:rPr>
          <w:rFonts w:ascii="Georgia" w:cs="Georgia" w:eastAsia="Georgia" w:hAnsi="Georgia"/>
          <w:b/>
          <w:bCs/>
          <w:color w:val="1A1A1A"/>
          <w:sz w:val="21"/>
          <w:szCs w:val="21"/>
        </w:rPr>
        <w:t xml:space="preserve">Earth’s climate system</w:t>
      </w:r>
      <w:r>
        <w:rPr>
          <w:rFonts w:ascii="Georgia" w:cs="Georgia" w:eastAsia="Georgia" w:hAnsi="Georgia"/>
          <w:color w:val="1A1A1A"/>
          <w:sz w:val="21"/>
          <w:szCs w:val="21"/>
        </w:rPr>
        <w:t xml:space="preserve">. Both share a defining feature — they concern </w:t>
      </w:r>
      <w:r>
        <w:rPr>
          <w:rFonts w:ascii="Georgia" w:cs="Georgia" w:eastAsia="Georgia" w:hAnsi="Georgia"/>
          <w:b/>
          <w:bCs/>
          <w:color w:val="1A1A1A"/>
          <w:sz w:val="21"/>
          <w:szCs w:val="21"/>
        </w:rPr>
        <w:t xml:space="preserve">global commons</w:t>
      </w:r>
      <w:r>
        <w:rPr>
          <w:rFonts w:ascii="Georgia" w:cs="Georgia" w:eastAsia="Georgia" w:hAnsi="Georgia"/>
          <w:color w:val="1A1A1A"/>
          <w:sz w:val="21"/>
          <w:szCs w:val="21"/>
        </w:rPr>
        <w:t xml:space="preserve"> where national regulation is structurally insufficient.</w:t>
      </w:r>
    </w:p>
    <w:p>
      <w:pPr>
        <w:pStyle w:val="Heading3"/>
        <w:spacing w:after="70" w:before="160"/>
      </w:pPr>
      <w:r>
        <w:rPr>
          <w:rFonts w:ascii="Calibri" w:cs="Calibri" w:eastAsia="Calibri" w:hAnsi="Calibri"/>
          <w:b/>
          <w:bCs/>
          <w:color w:val="1F2A44"/>
          <w:sz w:val="22"/>
          <w:szCs w:val="22"/>
        </w:rPr>
        <w:t xml:space="preserve">Space — state of play and dilemma</w:t>
      </w:r>
    </w:p>
    <w:p>
      <w:pPr>
        <w:spacing w:after="140" w:line="276"/>
        <w:jc w:val="both"/>
      </w:pPr>
      <w:r>
        <w:rPr>
          <w:rFonts w:ascii="Georgia" w:cs="Georgia" w:eastAsia="Georgia" w:hAnsi="Georgia"/>
          <w:color w:val="1A1A1A"/>
          <w:sz w:val="21"/>
          <w:szCs w:val="21"/>
        </w:rPr>
        <w:t xml:space="preserve">Commercialisation (mega-constellations, launch, in-space services, resource ambitions) has outrun a treaty regime written for a state-only era. </w:t>
      </w:r>
      <w:r>
        <w:rPr>
          <w:rFonts w:ascii="Georgia" w:cs="Georgia" w:eastAsia="Georgia" w:hAnsi="Georgia"/>
          <w:b/>
          <w:bCs/>
          <w:color w:val="1A1A1A"/>
          <w:sz w:val="21"/>
          <w:szCs w:val="21"/>
        </w:rPr>
        <w:t xml:space="preserve">Core dilemma: how do you govern a global commons filling with private actors — allocating orbits, assigning collision and debris liability, and clarifying resource rights — when the foundational law predates the commercial space economy and there is no pathway to bind even agreed norms?</w:t>
      </w:r>
    </w:p>
    <w:p>
      <w:pPr>
        <w:pStyle w:val="ListParagraph"/>
        <w:numPr>
          <w:ilvl w:val="0"/>
          <w:numId w:val="1"/>
        </w:numPr>
        <w:spacing w:after="70" w:line="268"/>
      </w:pPr>
      <w:r>
        <w:rPr>
          <w:rFonts w:ascii="Georgia" w:cs="Georgia" w:eastAsia="Georgia" w:hAnsi="Georgia"/>
          <w:b/>
          <w:bCs/>
          <w:color w:val="1A1A1A"/>
          <w:sz w:val="21"/>
          <w:szCs w:val="21"/>
        </w:rPr>
        <w:t xml:space="preserve">The framework</w:t>
      </w:r>
      <w:r>
        <w:rPr>
          <w:rFonts w:ascii="Georgia" w:cs="Georgia" w:eastAsia="Georgia" w:hAnsi="Georgia"/>
          <w:color w:val="1A1A1A"/>
          <w:sz w:val="21"/>
          <w:szCs w:val="21"/>
        </w:rPr>
        <w:t xml:space="preserve"> — the </w:t>
      </w:r>
      <w:r>
        <w:rPr>
          <w:rFonts w:ascii="Georgia" w:cs="Georgia" w:eastAsia="Georgia" w:hAnsi="Georgia"/>
          <w:b/>
          <w:bCs/>
          <w:color w:val="1A1A1A"/>
          <w:sz w:val="21"/>
          <w:szCs w:val="21"/>
        </w:rPr>
        <w:t xml:space="preserve">Outer Space Treaty (1967)</w:t>
      </w:r>
      <w:r>
        <w:rPr>
          <w:rFonts w:ascii="Georgia" w:cs="Georgia" w:eastAsia="Georgia" w:hAnsi="Georgia"/>
          <w:color w:val="1A1A1A"/>
          <w:sz w:val="21"/>
          <w:szCs w:val="21"/>
        </w:rPr>
        <w:t xml:space="preserve"> plus four companion treaties (Rescue, </w:t>
      </w:r>
      <w:r>
        <w:rPr>
          <w:rFonts w:ascii="Georgia" w:cs="Georgia" w:eastAsia="Georgia" w:hAnsi="Georgia"/>
          <w:b/>
          <w:bCs/>
          <w:color w:val="1A1A1A"/>
          <w:sz w:val="21"/>
          <w:szCs w:val="21"/>
        </w:rPr>
        <w:t xml:space="preserve">Liability 1972</w:t>
      </w:r>
      <w:r>
        <w:rPr>
          <w:rFonts w:ascii="Georgia" w:cs="Georgia" w:eastAsia="Georgia" w:hAnsi="Georgia"/>
          <w:color w:val="1A1A1A"/>
          <w:sz w:val="21"/>
          <w:szCs w:val="21"/>
        </w:rPr>
        <w:t xml:space="preserve">, Registration, Moon); administered via </w:t>
      </w:r>
      <w:r>
        <w:rPr>
          <w:rFonts w:ascii="Georgia" w:cs="Georgia" w:eastAsia="Georgia" w:hAnsi="Georgia"/>
          <w:b/>
          <w:bCs/>
          <w:color w:val="1A1A1A"/>
          <w:sz w:val="21"/>
          <w:szCs w:val="21"/>
        </w:rPr>
        <w:t xml:space="preserve">UNOOSA/COPUOS</w:t>
      </w:r>
      <w:r>
        <w:rPr>
          <w:rFonts w:ascii="Georgia" w:cs="Georgia" w:eastAsia="Georgia" w:hAnsi="Georgia"/>
          <w:color w:val="1A1A1A"/>
          <w:sz w:val="21"/>
          <w:szCs w:val="21"/>
        </w:rPr>
        <w:t xml:space="preserve">. Principles: space for the benefit of all, no national appropriation, state responsibility for national (including private) activity.</w:t>
      </w:r>
    </w:p>
    <w:p>
      <w:pPr>
        <w:pStyle w:val="ListParagraph"/>
        <w:numPr>
          <w:ilvl w:val="0"/>
          <w:numId w:val="1"/>
        </w:numPr>
        <w:spacing w:after="70" w:line="268"/>
      </w:pPr>
      <w:r>
        <w:rPr>
          <w:rFonts w:ascii="Georgia" w:cs="Georgia" w:eastAsia="Georgia" w:hAnsi="Georgia"/>
          <w:b/>
          <w:bCs/>
          <w:color w:val="1A1A1A"/>
          <w:sz w:val="21"/>
          <w:szCs w:val="21"/>
        </w:rPr>
        <w:t xml:space="preserve">The gaps</w:t>
      </w:r>
      <w:r>
        <w:rPr>
          <w:rFonts w:ascii="Georgia" w:cs="Georgia" w:eastAsia="Georgia" w:hAnsi="Georgia"/>
          <w:color w:val="1A1A1A"/>
          <w:sz w:val="21"/>
          <w:szCs w:val="21"/>
        </w:rPr>
        <w:t xml:space="preserve"> — no binding regime for space-traffic management, debris removal, mega-constellation coordination, or resource property rights; the </w:t>
      </w:r>
      <w:r>
        <w:rPr>
          <w:rFonts w:ascii="Georgia" w:cs="Georgia" w:eastAsia="Georgia" w:hAnsi="Georgia"/>
          <w:b/>
          <w:bCs/>
          <w:color w:val="1A1A1A"/>
          <w:sz w:val="21"/>
          <w:szCs w:val="21"/>
        </w:rPr>
        <w:t xml:space="preserve">Artemis Accords</w:t>
      </w:r>
      <w:r>
        <w:rPr>
          <w:rFonts w:ascii="Georgia" w:cs="Georgia" w:eastAsia="Georgia" w:hAnsi="Georgia"/>
          <w:color w:val="1A1A1A"/>
          <w:sz w:val="21"/>
          <w:szCs w:val="21"/>
        </w:rPr>
        <w:t xml:space="preserve"> and national space-resource laws are filling the vacuum unilaterally; </w:t>
      </w:r>
      <w:r>
        <w:rPr>
          <w:rFonts w:ascii="Georgia" w:cs="Georgia" w:eastAsia="Georgia" w:hAnsi="Georgia"/>
          <w:b/>
          <w:bCs/>
          <w:color w:val="1A1A1A"/>
          <w:sz w:val="21"/>
          <w:szCs w:val="21"/>
        </w:rPr>
        <w:t xml:space="preserve">COSPAR planetary-protection</w:t>
      </w:r>
      <w:r>
        <w:rPr>
          <w:rFonts w:ascii="Georgia" w:cs="Georgia" w:eastAsia="Georgia" w:hAnsi="Georgia"/>
          <w:color w:val="1A1A1A"/>
          <w:sz w:val="21"/>
          <w:szCs w:val="21"/>
        </w:rPr>
        <w:t xml:space="preserve"> guidelines govern contamination.</w:t>
      </w:r>
    </w:p>
    <w:p>
      <w:pPr>
        <w:pStyle w:val="Heading3"/>
        <w:spacing w:after="70" w:before="160"/>
      </w:pPr>
      <w:r>
        <w:rPr>
          <w:rFonts w:ascii="Calibri" w:cs="Calibri" w:eastAsia="Calibri" w:hAnsi="Calibri"/>
          <w:b/>
          <w:bCs/>
          <w:color w:val="1F2A44"/>
          <w:sz w:val="22"/>
          <w:szCs w:val="22"/>
        </w:rPr>
        <w:t xml:space="preserve">Climate intervention (geoengineering) — state of play and dilemma</w:t>
      </w:r>
    </w:p>
    <w:p>
      <w:pPr>
        <w:spacing w:after="140" w:line="276"/>
        <w:jc w:val="both"/>
      </w:pPr>
      <w:r>
        <w:rPr>
          <w:rFonts w:ascii="Georgia" w:cs="Georgia" w:eastAsia="Georgia" w:hAnsi="Georgia"/>
          <w:color w:val="1A1A1A"/>
          <w:sz w:val="21"/>
          <w:szCs w:val="21"/>
        </w:rPr>
        <w:t xml:space="preserve">Two families: </w:t>
      </w:r>
      <w:r>
        <w:rPr>
          <w:rFonts w:ascii="Georgia" w:cs="Georgia" w:eastAsia="Georgia" w:hAnsi="Georgia"/>
          <w:b/>
          <w:bCs/>
          <w:color w:val="1A1A1A"/>
          <w:sz w:val="21"/>
          <w:szCs w:val="21"/>
        </w:rPr>
        <w:t xml:space="preserve">carbon dioxide removal (CDR)</w:t>
      </w:r>
      <w:r>
        <w:rPr>
          <w:rFonts w:ascii="Georgia" w:cs="Georgia" w:eastAsia="Georgia" w:hAnsi="Georgia"/>
          <w:color w:val="1A1A1A"/>
          <w:sz w:val="21"/>
          <w:szCs w:val="21"/>
        </w:rPr>
        <w:t xml:space="preserve">, generally seen as necessary and more governable, and </w:t>
      </w:r>
      <w:r>
        <w:rPr>
          <w:rFonts w:ascii="Georgia" w:cs="Georgia" w:eastAsia="Georgia" w:hAnsi="Georgia"/>
          <w:b/>
          <w:bCs/>
          <w:color w:val="1A1A1A"/>
          <w:sz w:val="21"/>
          <w:szCs w:val="21"/>
        </w:rPr>
        <w:t xml:space="preserve">solar radiation modification (SRM)</w:t>
      </w:r>
      <w:r>
        <w:rPr>
          <w:rFonts w:ascii="Georgia" w:cs="Georgia" w:eastAsia="Georgia" w:hAnsi="Georgia"/>
          <w:color w:val="1A1A1A"/>
          <w:sz w:val="21"/>
          <w:szCs w:val="21"/>
        </w:rPr>
        <w:t xml:space="preserve"> — reflecting sunlight to cool the planet — which is cheap, fast, globally consequential and deeply contested. </w:t>
      </w:r>
      <w:r>
        <w:rPr>
          <w:rFonts w:ascii="Georgia" w:cs="Georgia" w:eastAsia="Georgia" w:hAnsi="Georgia"/>
          <w:b/>
          <w:bCs/>
          <w:color w:val="1A1A1A"/>
          <w:sz w:val="21"/>
          <w:szCs w:val="21"/>
        </w:rPr>
        <w:t xml:space="preserve">Core dilemma: who gets to set the planet’s thermostat?</w:t>
      </w:r>
      <w:r>
        <w:rPr>
          <w:rFonts w:ascii="Georgia" w:cs="Georgia" w:eastAsia="Georgia" w:hAnsi="Georgia"/>
          <w:color w:val="1A1A1A"/>
          <w:sz w:val="21"/>
          <w:szCs w:val="21"/>
        </w:rPr>
        <w:t xml:space="preserve"> A single actor could deploy SRM with planet-wide effects, yet there is no legitimate global body to authorise, monitor or halt it.</w:t>
      </w:r>
    </w:p>
    <w:p>
      <w:pPr>
        <w:pStyle w:val="ListParagraph"/>
        <w:numPr>
          <w:ilvl w:val="0"/>
          <w:numId w:val="1"/>
        </w:numPr>
        <w:spacing w:after="70" w:line="268"/>
      </w:pPr>
      <w:r>
        <w:rPr>
          <w:rFonts w:ascii="Georgia" w:cs="Georgia" w:eastAsia="Georgia" w:hAnsi="Georgia"/>
          <w:b/>
          <w:bCs/>
          <w:color w:val="1A1A1A"/>
          <w:sz w:val="21"/>
          <w:szCs w:val="21"/>
        </w:rPr>
        <w:t xml:space="preserve">The state of governance</w:t>
      </w:r>
      <w:r>
        <w:rPr>
          <w:rFonts w:ascii="Georgia" w:cs="Georgia" w:eastAsia="Georgia" w:hAnsi="Georgia"/>
          <w:color w:val="1A1A1A"/>
          <w:sz w:val="21"/>
          <w:szCs w:val="21"/>
        </w:rPr>
        <w:t xml:space="preserve"> — a </w:t>
      </w:r>
      <w:r>
        <w:rPr>
          <w:rFonts w:ascii="Georgia" w:cs="Georgia" w:eastAsia="Georgia" w:hAnsi="Georgia"/>
          <w:b/>
          <w:bCs/>
          <w:color w:val="1A1A1A"/>
          <w:sz w:val="21"/>
          <w:szCs w:val="21"/>
        </w:rPr>
        <w:t xml:space="preserve">Convention on Biological Diversity moratorium</w:t>
      </w:r>
      <w:r>
        <w:rPr>
          <w:rFonts w:ascii="Georgia" w:cs="Georgia" w:eastAsia="Georgia" w:hAnsi="Georgia"/>
          <w:color w:val="1A1A1A"/>
          <w:sz w:val="21"/>
          <w:szCs w:val="21"/>
        </w:rPr>
        <w:t xml:space="preserve"> on deployment (2010, reaffirmed 2024); a scientist-led </w:t>
      </w:r>
      <w:r>
        <w:rPr>
          <w:rFonts w:ascii="Georgia" w:cs="Georgia" w:eastAsia="Georgia" w:hAnsi="Georgia"/>
          <w:b/>
          <w:bCs/>
          <w:color w:val="1A1A1A"/>
          <w:sz w:val="21"/>
          <w:szCs w:val="21"/>
        </w:rPr>
        <w:t xml:space="preserve">Non-Use Agreement</w:t>
      </w:r>
      <w:r>
        <w:rPr>
          <w:rFonts w:ascii="Georgia" w:cs="Georgia" w:eastAsia="Georgia" w:hAnsi="Georgia"/>
          <w:color w:val="1A1A1A"/>
          <w:sz w:val="21"/>
          <w:szCs w:val="21"/>
        </w:rPr>
        <w:t xml:space="preserve"> calling for a ban on outdoor experiments and deployment; an EU scientific-advisers recommendation (2024) for an EU-wide SRM moratorium; regional rejection (e.g. AMCEN, 2025); and research-governance initiatives (e.g. a UK research programme) on the other side of the argument.</w:t>
      </w:r>
    </w:p>
    <w:p>
      <w:pPr>
        <w:pStyle w:val="ListParagraph"/>
        <w:numPr>
          <w:ilvl w:val="0"/>
          <w:numId w:val="1"/>
        </w:numPr>
        <w:spacing w:after="70" w:line="268"/>
      </w:pPr>
      <w:r>
        <w:rPr>
          <w:rFonts w:ascii="Georgia" w:cs="Georgia" w:eastAsia="Georgia" w:hAnsi="Georgia"/>
          <w:b/>
          <w:bCs/>
          <w:color w:val="1A1A1A"/>
          <w:sz w:val="21"/>
          <w:szCs w:val="21"/>
        </w:rPr>
        <w:t xml:space="preserve">The framing to hold</w:t>
      </w:r>
      <w:r>
        <w:rPr>
          <w:rFonts w:ascii="Georgia" w:cs="Georgia" w:eastAsia="Georgia" w:hAnsi="Georgia"/>
          <w:color w:val="1A1A1A"/>
          <w:sz w:val="21"/>
          <w:szCs w:val="21"/>
        </w:rPr>
        <w:t xml:space="preserve"> — the debate splits into “ungovernable, so ban it” versus “it may be needed, so govern the research now.” Being able to steelman </w:t>
      </w:r>
      <w:r>
        <w:rPr>
          <w:rFonts w:ascii="Georgia" w:cs="Georgia" w:eastAsia="Georgia" w:hAnsi="Georgia"/>
          <w:i/>
          <w:iCs/>
          <w:color w:val="1A1A1A"/>
          <w:sz w:val="21"/>
          <w:szCs w:val="21"/>
        </w:rPr>
        <w:t xml:space="preserve">both</w:t>
      </w:r>
      <w:r>
        <w:rPr>
          <w:rFonts w:ascii="Georgia" w:cs="Georgia" w:eastAsia="Georgia" w:hAnsi="Georgia"/>
          <w:color w:val="1A1A1A"/>
          <w:sz w:val="21"/>
          <w:szCs w:val="21"/>
        </w:rPr>
        <w:t xml:space="preserve"> sides is exactly the balanced posture a Forum policy lead needs.</w:t>
      </w:r>
    </w:p>
    <w:p>
      <w:pPr>
        <w:pStyle w:val="Heading3"/>
        <w:spacing w:after="70" w:before="160"/>
      </w:pPr>
      <w:r>
        <w:rPr>
          <w:rFonts w:ascii="Calibri" w:cs="Calibri" w:eastAsia="Calibri" w:hAnsi="Calibri"/>
          <w:b/>
          <w:bCs/>
          <w:color w:val="1F2A44"/>
          <w:sz w:val="22"/>
          <w:szCs w:val="22"/>
        </w:rPr>
        <w:t xml:space="preserve">Regulatory-innovation angle (both)</w:t>
      </w:r>
    </w:p>
    <w:p>
      <w:pPr>
        <w:spacing w:after="140" w:line="276"/>
        <w:jc w:val="both"/>
      </w:pPr>
      <w:r>
        <w:rPr>
          <w:rFonts w:ascii="Georgia" w:cs="Georgia" w:eastAsia="Georgia" w:hAnsi="Georgia"/>
          <w:color w:val="1A1A1A"/>
          <w:sz w:val="21"/>
          <w:szCs w:val="21"/>
        </w:rPr>
        <w:t xml:space="preserve">Planetary systems are the ultimate test of </w:t>
      </w:r>
      <w:r>
        <w:rPr>
          <w:rFonts w:ascii="Georgia" w:cs="Georgia" w:eastAsia="Georgia" w:hAnsi="Georgia"/>
          <w:b/>
          <w:bCs/>
          <w:color w:val="1A1A1A"/>
          <w:sz w:val="21"/>
          <w:szCs w:val="21"/>
        </w:rPr>
        <w:t xml:space="preserve">international regulatory cooperation, soft law and anticipatory governance</w:t>
      </w:r>
      <w:r>
        <w:rPr>
          <w:rFonts w:ascii="Georgia" w:cs="Georgia" w:eastAsia="Georgia" w:hAnsi="Georgia"/>
          <w:color w:val="1A1A1A"/>
          <w:sz w:val="21"/>
          <w:szCs w:val="21"/>
        </w:rPr>
        <w:t xml:space="preserve"> — commons problems where multistakeholder convening (the Forum’s comparative advantage) may be the only viable path when treaties are gridlocked. They are also where you show intellectual honesty about the </w:t>
      </w:r>
      <w:r>
        <w:rPr>
          <w:rFonts w:ascii="Georgia" w:cs="Georgia" w:eastAsia="Georgia" w:hAnsi="Georgia"/>
          <w:i/>
          <w:iCs/>
          <w:color w:val="1A1A1A"/>
          <w:sz w:val="21"/>
          <w:szCs w:val="21"/>
        </w:rPr>
        <w:t xml:space="preserve">limits</w:t>
      </w:r>
      <w:r>
        <w:rPr>
          <w:rFonts w:ascii="Georgia" w:cs="Georgia" w:eastAsia="Georgia" w:hAnsi="Georgia"/>
          <w:color w:val="1A1A1A"/>
          <w:sz w:val="21"/>
          <w:szCs w:val="21"/>
        </w:rPr>
        <w:t xml:space="preserve"> of agility: for planet-scale, irreversible risks, precaution and legitimacy can matter more than speed.</w:t>
      </w:r>
    </w:p>
    <w:p>
      <w:pPr>
        <w:pStyle w:val="Heading2"/>
        <w:spacing w:after="100" w:before="220"/>
      </w:pPr>
      <w:r>
        <w:rPr>
          <w:rFonts w:ascii="Calibri" w:cs="Calibri" w:eastAsia="Calibri" w:hAnsi="Calibri"/>
          <w:b/>
          <w:bCs/>
          <w:color w:val="2F5D8A"/>
          <w:sz w:val="25"/>
          <w:szCs w:val="25"/>
        </w:rPr>
        <w:t xml:space="preserve">3.6 Cross-cutting: convergence and the next frontier</w:t>
      </w:r>
    </w:p>
    <w:p>
      <w:pPr>
        <w:spacing w:after="140" w:line="276"/>
        <w:jc w:val="both"/>
      </w:pPr>
      <w:r>
        <w:rPr>
          <w:rFonts w:ascii="Georgia" w:cs="Georgia" w:eastAsia="Georgia" w:hAnsi="Georgia"/>
          <w:color w:val="1A1A1A"/>
          <w:sz w:val="21"/>
          <w:szCs w:val="21"/>
        </w:rPr>
        <w:t xml:space="preserve">The most sophisticated point you can make is that the frontier is increasingly about </w:t>
      </w:r>
      <w:r>
        <w:rPr>
          <w:rFonts w:ascii="Georgia" w:cs="Georgia" w:eastAsia="Georgia" w:hAnsi="Georgia"/>
          <w:b/>
          <w:bCs/>
          <w:color w:val="1A1A1A"/>
          <w:sz w:val="21"/>
          <w:szCs w:val="21"/>
        </w:rPr>
        <w:t xml:space="preserve">convergence</w:t>
      </w:r>
      <w:r>
        <w:rPr>
          <w:rFonts w:ascii="Georgia" w:cs="Georgia" w:eastAsia="Georgia" w:hAnsi="Georgia"/>
          <w:color w:val="1A1A1A"/>
          <w:sz w:val="21"/>
          <w:szCs w:val="21"/>
        </w:rPr>
        <w:t xml:space="preserve">, not single technologies: </w:t>
      </w:r>
      <w:r>
        <w:rPr>
          <w:rFonts w:ascii="Georgia" w:cs="Georgia" w:eastAsia="Georgia" w:hAnsi="Georgia"/>
          <w:b/>
          <w:bCs/>
          <w:color w:val="1A1A1A"/>
          <w:sz w:val="21"/>
          <w:szCs w:val="21"/>
        </w:rPr>
        <w:t xml:space="preserve">AI-bio</w:t>
      </w:r>
      <w:r>
        <w:rPr>
          <w:rFonts w:ascii="Georgia" w:cs="Georgia" w:eastAsia="Georgia" w:hAnsi="Georgia"/>
          <w:color w:val="1A1A1A"/>
          <w:sz w:val="21"/>
          <w:szCs w:val="21"/>
        </w:rPr>
        <w:t xml:space="preserve"> (models designing biology), </w:t>
      </w:r>
      <w:r>
        <w:rPr>
          <w:rFonts w:ascii="Georgia" w:cs="Georgia" w:eastAsia="Georgia" w:hAnsi="Georgia"/>
          <w:b/>
          <w:bCs/>
          <w:color w:val="1A1A1A"/>
          <w:sz w:val="21"/>
          <w:szCs w:val="21"/>
        </w:rPr>
        <w:t xml:space="preserve">AI-quantum</w:t>
      </w:r>
      <w:r>
        <w:rPr>
          <w:rFonts w:ascii="Georgia" w:cs="Georgia" w:eastAsia="Georgia" w:hAnsi="Georgia"/>
          <w:color w:val="1A1A1A"/>
          <w:sz w:val="21"/>
          <w:szCs w:val="21"/>
        </w:rPr>
        <w:t xml:space="preserve"> (quantum-accelerated AI and quantum-broken cryptography), and </w:t>
      </w:r>
      <w:r>
        <w:rPr>
          <w:rFonts w:ascii="Georgia" w:cs="Georgia" w:eastAsia="Georgia" w:hAnsi="Georgia"/>
          <w:b/>
          <w:bCs/>
          <w:color w:val="1A1A1A"/>
          <w:sz w:val="21"/>
          <w:szCs w:val="21"/>
        </w:rPr>
        <w:t xml:space="preserve">AI-robotics</w:t>
      </w:r>
      <w:r>
        <w:rPr>
          <w:rFonts w:ascii="Georgia" w:cs="Georgia" w:eastAsia="Georgia" w:hAnsi="Georgia"/>
          <w:color w:val="1A1A1A"/>
          <w:sz w:val="21"/>
          <w:szCs w:val="21"/>
        </w:rPr>
        <w:t xml:space="preserve"> (embodied intelligence). Convergence multiplies both capability and risk and defeats siloed, sector-by-sector regulation — which is the strategic argument for a </w:t>
      </w:r>
      <w:r>
        <w:rPr>
          <w:rFonts w:ascii="Georgia" w:cs="Georgia" w:eastAsia="Georgia" w:hAnsi="Georgia"/>
          <w:i/>
          <w:iCs/>
          <w:color w:val="1A1A1A"/>
          <w:sz w:val="21"/>
          <w:szCs w:val="21"/>
        </w:rPr>
        <w:t xml:space="preserve">cross-cutting</w:t>
      </w:r>
      <w:r>
        <w:rPr>
          <w:rFonts w:ascii="Georgia" w:cs="Georgia" w:eastAsia="Georgia" w:hAnsi="Georgia"/>
          <w:color w:val="1A1A1A"/>
          <w:sz w:val="21"/>
          <w:szCs w:val="21"/>
        </w:rPr>
        <w:t xml:space="preserve"> regulatory-innovation workstream in the first place. Keep </w:t>
      </w:r>
      <w:r>
        <w:rPr>
          <w:rFonts w:ascii="Georgia" w:cs="Georgia" w:eastAsia="Georgia" w:hAnsi="Georgia"/>
          <w:b/>
          <w:bCs/>
          <w:color w:val="1A1A1A"/>
          <w:sz w:val="21"/>
          <w:szCs w:val="21"/>
        </w:rPr>
        <w:t xml:space="preserve">cybersecurity</w:t>
      </w:r>
      <w:r>
        <w:rPr>
          <w:rFonts w:ascii="Georgia" w:cs="Georgia" w:eastAsia="Georgia" w:hAnsi="Georgia"/>
          <w:color w:val="1A1A1A"/>
          <w:sz w:val="21"/>
          <w:szCs w:val="21"/>
        </w:rPr>
        <w:t xml:space="preserve"> (the connective risk under everything digital) and </w:t>
      </w:r>
      <w:r>
        <w:rPr>
          <w:rFonts w:ascii="Georgia" w:cs="Georgia" w:eastAsia="Georgia" w:hAnsi="Georgia"/>
          <w:b/>
          <w:bCs/>
          <w:color w:val="1A1A1A"/>
          <w:sz w:val="21"/>
          <w:szCs w:val="21"/>
        </w:rPr>
        <w:t xml:space="preserve">neurotechnology</w:t>
      </w:r>
      <w:r>
        <w:rPr>
          <w:rFonts w:ascii="Georgia" w:cs="Georgia" w:eastAsia="Georgia" w:hAnsi="Georgia"/>
          <w:color w:val="1A1A1A"/>
          <w:sz w:val="21"/>
          <w:szCs w:val="21"/>
        </w:rPr>
        <w:t xml:space="preserve"> (brain-computer interfaces and “neurorights,” an emerging governance area Chile and UNESCO have moved on) in your back pocket as the next domains on the horizon.</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4 · The World Economic Forum Operating Model</w:t>
      </w:r>
    </w:p>
    <w:p>
      <w:pPr>
        <w:spacing w:after="200" w:line="288"/>
      </w:pPr>
      <w:r>
        <w:rPr>
          <w:rFonts w:ascii="Georgia" w:cs="Georgia" w:eastAsia="Georgia" w:hAnsi="Georgia"/>
          <w:i/>
          <w:iCs/>
          <w:color w:val="55606E"/>
          <w:sz w:val="22"/>
          <w:szCs w:val="22"/>
        </w:rPr>
        <w:t xml:space="preserve">Panels reliably test whether you understand </w:t>
      </w:r>
      <w:r>
        <w:rPr>
          <w:rFonts w:ascii="Georgia" w:cs="Georgia" w:eastAsia="Georgia" w:hAnsi="Georgia"/>
          <w:i/>
          <w:iCs/>
          <w:color w:val="55606E"/>
          <w:sz w:val="22"/>
          <w:szCs w:val="22"/>
        </w:rPr>
        <w:t xml:space="preserve">how the Forum works</w:t>
      </w:r>
      <w:r>
        <w:rPr>
          <w:rFonts w:ascii="Georgia" w:cs="Georgia" w:eastAsia="Georgia" w:hAnsi="Georgia"/>
          <w:i/>
          <w:iCs/>
          <w:color w:val="55606E"/>
          <w:sz w:val="22"/>
          <w:szCs w:val="22"/>
        </w:rPr>
        <w:t xml:space="preserve">. Fluency here is often the difference between a strong external candidate and one who is clearly ready to operate inside the institution.</w:t>
      </w:r>
    </w:p>
    <w:p>
      <w:pPr>
        <w:pStyle w:val="Heading2"/>
        <w:spacing w:after="100" w:before="220"/>
      </w:pPr>
      <w:r>
        <w:rPr>
          <w:rFonts w:ascii="Calibri" w:cs="Calibri" w:eastAsia="Calibri" w:hAnsi="Calibri"/>
          <w:b/>
          <w:bCs/>
          <w:color w:val="2F5D8A"/>
          <w:sz w:val="25"/>
          <w:szCs w:val="25"/>
        </w:rPr>
        <w:t xml:space="preserve">4.1 What the Forum is — and how it actually creates impact</w:t>
      </w:r>
    </w:p>
    <w:p>
      <w:pPr>
        <w:spacing w:after="140" w:line="276"/>
        <w:jc w:val="both"/>
      </w:pPr>
      <w:r>
        <w:rPr>
          <w:rFonts w:ascii="Georgia" w:cs="Georgia" w:eastAsia="Georgia" w:hAnsi="Georgia"/>
          <w:color w:val="1A1A1A"/>
          <w:sz w:val="21"/>
          <w:szCs w:val="21"/>
        </w:rPr>
        <w:t xml:space="preserve">The World Economic Forum is the international organisation for </w:t>
      </w:r>
      <w:r>
        <w:rPr>
          <w:rFonts w:ascii="Georgia" w:cs="Georgia" w:eastAsia="Georgia" w:hAnsi="Georgia"/>
          <w:b/>
          <w:bCs/>
          <w:color w:val="1A1A1A"/>
          <w:sz w:val="21"/>
          <w:szCs w:val="21"/>
        </w:rPr>
        <w:t xml:space="preserve">public-private cooperation</w:t>
      </w:r>
      <w:r>
        <w:rPr>
          <w:rFonts w:ascii="Georgia" w:cs="Georgia" w:eastAsia="Georgia" w:hAnsi="Georgia"/>
          <w:color w:val="1A1A1A"/>
          <w:sz w:val="21"/>
          <w:szCs w:val="21"/>
        </w:rPr>
        <w:t xml:space="preserve">, convening leaders from politics, business, academia and civil society to shape agendas. Crucially, it has </w:t>
      </w:r>
      <w:r>
        <w:rPr>
          <w:rFonts w:ascii="Georgia" w:cs="Georgia" w:eastAsia="Georgia" w:hAnsi="Georgia"/>
          <w:b/>
          <w:bCs/>
          <w:color w:val="1A1A1A"/>
          <w:sz w:val="21"/>
          <w:szCs w:val="21"/>
        </w:rPr>
        <w:t xml:space="preserve">no regulatory or legislative power.</w:t>
      </w:r>
      <w:r>
        <w:rPr>
          <w:rFonts w:ascii="Georgia" w:cs="Georgia" w:eastAsia="Georgia" w:hAnsi="Georgia"/>
          <w:color w:val="1A1A1A"/>
          <w:sz w:val="21"/>
          <w:szCs w:val="21"/>
        </w:rPr>
        <w:t xml:space="preserve"> Its influence is </w:t>
      </w:r>
      <w:r>
        <w:rPr>
          <w:rFonts w:ascii="Georgia" w:cs="Georgia" w:eastAsia="Georgia" w:hAnsi="Georgia"/>
          <w:i/>
          <w:iCs/>
          <w:color w:val="1A1A1A"/>
          <w:sz w:val="21"/>
          <w:szCs w:val="21"/>
        </w:rPr>
        <w:t xml:space="preserve">convening</w:t>
      </w:r>
      <w:r>
        <w:rPr>
          <w:rFonts w:ascii="Georgia" w:cs="Georgia" w:eastAsia="Georgia" w:hAnsi="Georgia"/>
          <w:color w:val="1A1A1A"/>
          <w:sz w:val="21"/>
          <w:szCs w:val="21"/>
        </w:rPr>
        <w:t xml:space="preserve"> power. That distinction is the key to the whole role: your job is not to make rules but to build the conditions in which better rules get made and adopted. The Forum’s levers of impact are:</w:t>
      </w:r>
    </w:p>
    <w:p>
      <w:pPr>
        <w:pStyle w:val="ListParagraph"/>
        <w:numPr>
          <w:ilvl w:val="0"/>
          <w:numId w:val="1"/>
        </w:numPr>
        <w:spacing w:after="70" w:line="268"/>
      </w:pPr>
      <w:r>
        <w:rPr>
          <w:rFonts w:ascii="Georgia" w:cs="Georgia" w:eastAsia="Georgia" w:hAnsi="Georgia"/>
          <w:b/>
          <w:bCs/>
          <w:color w:val="1A1A1A"/>
          <w:sz w:val="21"/>
          <w:szCs w:val="21"/>
        </w:rPr>
        <w:t xml:space="preserve">Trusted convening</w:t>
      </w:r>
      <w:r>
        <w:rPr>
          <w:rFonts w:ascii="Georgia" w:cs="Georgia" w:eastAsia="Georgia" w:hAnsi="Georgia"/>
          <w:color w:val="1A1A1A"/>
          <w:sz w:val="21"/>
          <w:szCs w:val="21"/>
        </w:rPr>
        <w:t xml:space="preserve"> — bringing rivals and counterparts into the same room under Chatham House norms (Davos is the symbol, but the year-round communities are the substance).</w:t>
      </w:r>
    </w:p>
    <w:p>
      <w:pPr>
        <w:pStyle w:val="ListParagraph"/>
        <w:numPr>
          <w:ilvl w:val="0"/>
          <w:numId w:val="1"/>
        </w:numPr>
        <w:spacing w:after="70" w:line="268"/>
      </w:pPr>
      <w:r>
        <w:rPr>
          <w:rFonts w:ascii="Georgia" w:cs="Georgia" w:eastAsia="Georgia" w:hAnsi="Georgia"/>
          <w:b/>
          <w:bCs/>
          <w:color w:val="1A1A1A"/>
          <w:sz w:val="21"/>
          <w:szCs w:val="21"/>
        </w:rPr>
        <w:t xml:space="preserve">Communities</w:t>
      </w:r>
      <w:r>
        <w:rPr>
          <w:rFonts w:ascii="Georgia" w:cs="Georgia" w:eastAsia="Georgia" w:hAnsi="Georgia"/>
          <w:color w:val="1A1A1A"/>
          <w:sz w:val="21"/>
          <w:szCs w:val="21"/>
        </w:rPr>
        <w:t xml:space="preserve"> — standing groups (e.g. Chief Legal Officers, Chief Compliance Officers, Young Global Leaders, Global Future Councils) that give initiatives their membership and reach.</w:t>
      </w:r>
    </w:p>
    <w:p>
      <w:pPr>
        <w:pStyle w:val="ListParagraph"/>
        <w:numPr>
          <w:ilvl w:val="0"/>
          <w:numId w:val="1"/>
        </w:numPr>
        <w:spacing w:after="70" w:line="268"/>
      </w:pPr>
      <w:r>
        <w:rPr>
          <w:rFonts w:ascii="Georgia" w:cs="Georgia" w:eastAsia="Georgia" w:hAnsi="Georgia"/>
          <w:b/>
          <w:bCs/>
          <w:color w:val="1A1A1A"/>
          <w:sz w:val="21"/>
          <w:szCs w:val="21"/>
        </w:rPr>
        <w:t xml:space="preserve">Knowledge products</w:t>
      </w:r>
      <w:r>
        <w:rPr>
          <w:rFonts w:ascii="Georgia" w:cs="Georgia" w:eastAsia="Georgia" w:hAnsi="Georgia"/>
          <w:color w:val="1A1A1A"/>
          <w:sz w:val="21"/>
          <w:szCs w:val="21"/>
        </w:rPr>
        <w:t xml:space="preserve"> — reports, frameworks, playbooks, indices and white papers that shape how decision-makers frame problems (the currency your role trades in).</w:t>
      </w:r>
    </w:p>
    <w:p>
      <w:pPr>
        <w:pStyle w:val="ListParagraph"/>
        <w:numPr>
          <w:ilvl w:val="0"/>
          <w:numId w:val="1"/>
        </w:numPr>
        <w:spacing w:after="70" w:line="268"/>
      </w:pPr>
      <w:r>
        <w:rPr>
          <w:rFonts w:ascii="Georgia" w:cs="Georgia" w:eastAsia="Georgia" w:hAnsi="Georgia"/>
          <w:b/>
          <w:bCs/>
          <w:color w:val="1A1A1A"/>
          <w:sz w:val="21"/>
          <w:szCs w:val="21"/>
        </w:rPr>
        <w:t xml:space="preserve">Platforms and initiatives</w:t>
      </w:r>
      <w:r>
        <w:rPr>
          <w:rFonts w:ascii="Georgia" w:cs="Georgia" w:eastAsia="Georgia" w:hAnsi="Georgia"/>
          <w:color w:val="1A1A1A"/>
          <w:sz w:val="21"/>
          <w:szCs w:val="21"/>
        </w:rPr>
        <w:t xml:space="preserve"> — multi-year, multistakeholder vehicles (GRIP is one) that turn dialogue into pilots, commitments and toolkits.</w:t>
      </w:r>
    </w:p>
    <w:p>
      <w:pPr>
        <w:pStyle w:val="ListParagraph"/>
        <w:numPr>
          <w:ilvl w:val="0"/>
          <w:numId w:val="1"/>
        </w:numPr>
        <w:spacing w:after="70" w:line="268"/>
      </w:pPr>
      <w:r>
        <w:rPr>
          <w:rFonts w:ascii="Georgia" w:cs="Georgia" w:eastAsia="Georgia" w:hAnsi="Georgia"/>
          <w:b/>
          <w:bCs/>
          <w:color w:val="1A1A1A"/>
          <w:sz w:val="21"/>
          <w:szCs w:val="21"/>
        </w:rPr>
        <w:t xml:space="preserve">The C4IR network</w:t>
      </w:r>
      <w:r>
        <w:rPr>
          <w:rFonts w:ascii="Georgia" w:cs="Georgia" w:eastAsia="Georgia" w:hAnsi="Georgia"/>
          <w:color w:val="1A1A1A"/>
          <w:sz w:val="21"/>
          <w:szCs w:val="21"/>
        </w:rPr>
        <w:t xml:space="preserve"> — government-hosted centres that localise and operationalise governance work in-country.</w:t>
      </w:r>
    </w:p>
    <w:p>
      <w:pPr>
        <w:pStyle w:val="Heading2"/>
        <w:spacing w:after="100" w:before="220"/>
      </w:pPr>
      <w:r>
        <w:rPr>
          <w:rFonts w:ascii="Calibri" w:cs="Calibri" w:eastAsia="Calibri" w:hAnsi="Calibri"/>
          <w:b/>
          <w:bCs/>
          <w:color w:val="2F5D8A"/>
          <w:sz w:val="25"/>
          <w:szCs w:val="25"/>
        </w:rPr>
        <w:t xml:space="preserve">4.2 Multistakeholder governance — and how to handle the critique</w:t>
      </w:r>
    </w:p>
    <w:p>
      <w:pPr>
        <w:spacing w:after="140" w:line="276"/>
        <w:jc w:val="both"/>
      </w:pPr>
      <w:r>
        <w:rPr>
          <w:rFonts w:ascii="Georgia" w:cs="Georgia" w:eastAsia="Georgia" w:hAnsi="Georgia"/>
          <w:color w:val="1A1A1A"/>
          <w:sz w:val="21"/>
          <w:szCs w:val="21"/>
        </w:rPr>
        <w:t xml:space="preserve">The Forum’s theory of change is </w:t>
      </w:r>
      <w:r>
        <w:rPr>
          <w:rFonts w:ascii="Georgia" w:cs="Georgia" w:eastAsia="Georgia" w:hAnsi="Georgia"/>
          <w:b/>
          <w:bCs/>
          <w:color w:val="1A1A1A"/>
          <w:sz w:val="21"/>
          <w:szCs w:val="21"/>
        </w:rPr>
        <w:t xml:space="preserve">multistakeholder governance</w:t>
      </w:r>
      <w:r>
        <w:rPr>
          <w:rFonts w:ascii="Georgia" w:cs="Georgia" w:eastAsia="Georgia" w:hAnsi="Georgia"/>
          <w:color w:val="1A1A1A"/>
          <w:sz w:val="21"/>
          <w:szCs w:val="21"/>
        </w:rPr>
        <w:t xml:space="preserve">: convene enough of the relevant actors — states, firms, academia, civil society — and the resulting consensus is both more legitimate and more implementable than a state-only process. It is the ideological core of the institution and of this role.</w:t>
      </w:r>
    </w:p>
    <w:p>
      <w:pPr>
        <w:spacing w:after="140" w:line="276"/>
        <w:jc w:val="both"/>
      </w:pPr>
      <w:r>
        <w:rPr>
          <w:rFonts w:ascii="Georgia" w:cs="Georgia" w:eastAsia="Georgia" w:hAnsi="Georgia"/>
          <w:color w:val="1A1A1A"/>
          <w:sz w:val="21"/>
          <w:szCs w:val="21"/>
        </w:rPr>
        <w:t xml:space="preserve">You should also know the critique, because a sharp panel may probe it and a candidate who can engage it honestly stands out. Critics argue multistakeholderism can </w:t>
      </w:r>
      <w:r>
        <w:rPr>
          <w:rFonts w:ascii="Georgia" w:cs="Georgia" w:eastAsia="Georgia" w:hAnsi="Georgia"/>
          <w:b/>
          <w:bCs/>
          <w:color w:val="1A1A1A"/>
          <w:sz w:val="21"/>
          <w:szCs w:val="21"/>
        </w:rPr>
        <w:t xml:space="preserve">dilute democratic accountability</w:t>
      </w:r>
      <w:r>
        <w:rPr>
          <w:rFonts w:ascii="Georgia" w:cs="Georgia" w:eastAsia="Georgia" w:hAnsi="Georgia"/>
          <w:color w:val="1A1A1A"/>
          <w:sz w:val="21"/>
          <w:szCs w:val="21"/>
        </w:rPr>
        <w:t xml:space="preserve">, privilege </w:t>
      </w:r>
      <w:r>
        <w:rPr>
          <w:rFonts w:ascii="Georgia" w:cs="Georgia" w:eastAsia="Georgia" w:hAnsi="Georgia"/>
          <w:b/>
          <w:bCs/>
          <w:color w:val="1A1A1A"/>
          <w:sz w:val="21"/>
          <w:szCs w:val="21"/>
        </w:rPr>
        <w:t xml:space="preserve">corporate voice</w:t>
      </w:r>
      <w:r>
        <w:rPr>
          <w:rFonts w:ascii="Georgia" w:cs="Georgia" w:eastAsia="Georgia" w:hAnsi="Georgia"/>
          <w:color w:val="1A1A1A"/>
          <w:sz w:val="21"/>
          <w:szCs w:val="21"/>
        </w:rPr>
        <w:t xml:space="preserve"> over public interest, lack </w:t>
      </w:r>
      <w:r>
        <w:rPr>
          <w:rFonts w:ascii="Georgia" w:cs="Georgia" w:eastAsia="Georgia" w:hAnsi="Georgia"/>
          <w:b/>
          <w:bCs/>
          <w:color w:val="1A1A1A"/>
          <w:sz w:val="21"/>
          <w:szCs w:val="21"/>
        </w:rPr>
        <w:t xml:space="preserve">clear rules of representation and accountability</w:t>
      </w:r>
      <w:r>
        <w:rPr>
          <w:rFonts w:ascii="Georgia" w:cs="Georgia" w:eastAsia="Georgia" w:hAnsi="Georgia"/>
          <w:color w:val="1A1A1A"/>
          <w:sz w:val="21"/>
          <w:szCs w:val="21"/>
        </w:rPr>
        <w:t xml:space="preserve">, and let powerful actors </w:t>
      </w:r>
      <w:r>
        <w:rPr>
          <w:rFonts w:ascii="Georgia" w:cs="Georgia" w:eastAsia="Georgia" w:hAnsi="Georgia"/>
          <w:b/>
          <w:bCs/>
          <w:color w:val="1A1A1A"/>
          <w:sz w:val="21"/>
          <w:szCs w:val="21"/>
        </w:rPr>
        <w:t xml:space="preserve">forum-shop</w:t>
      </w:r>
      <w:r>
        <w:rPr>
          <w:rFonts w:ascii="Georgia" w:cs="Georgia" w:eastAsia="Georgia" w:hAnsi="Georgia"/>
          <w:color w:val="1A1A1A"/>
          <w:sz w:val="21"/>
          <w:szCs w:val="21"/>
        </w:rPr>
        <w:t xml:space="preserve"> for friendly venues. The Forum’s own </w:t>
      </w:r>
      <w:r>
        <w:rPr>
          <w:rFonts w:ascii="Georgia" w:cs="Georgia" w:eastAsia="Georgia" w:hAnsi="Georgia"/>
          <w:b/>
          <w:bCs/>
          <w:color w:val="1A1A1A"/>
          <w:sz w:val="21"/>
          <w:szCs w:val="21"/>
        </w:rPr>
        <w:t xml:space="preserve">Global Redesign Initiative</w:t>
      </w:r>
      <w:r>
        <w:rPr>
          <w:rFonts w:ascii="Georgia" w:cs="Georgia" w:eastAsia="Georgia" w:hAnsi="Georgia"/>
          <w:color w:val="1A1A1A"/>
          <w:sz w:val="21"/>
          <w:szCs w:val="21"/>
        </w:rPr>
        <w:t xml:space="preserve"> put these questions squarely on the table.</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How to answer a multistakeholder-legitimacy challenge:</w:t>
            </w:r>
            <w:r>
              <w:rPr>
                <w:rFonts w:ascii="Georgia" w:cs="Georgia" w:eastAsia="Georgia" w:hAnsi="Georgia"/>
                <w:color w:val="1F2A44"/>
                <w:sz w:val="20"/>
                <w:szCs w:val="20"/>
              </w:rPr>
              <w:t xml:space="preserve"> acknowledge the critique directly; argue that multistakeholder convening is a </w:t>
            </w:r>
            <w:r>
              <w:rPr>
                <w:rFonts w:ascii="Georgia" w:cs="Georgia" w:eastAsia="Georgia" w:hAnsi="Georgia"/>
                <w:i/>
                <w:iCs/>
                <w:color w:val="1F2A44"/>
                <w:sz w:val="20"/>
                <w:szCs w:val="20"/>
              </w:rPr>
              <w:t xml:space="preserve">complement</w:t>
            </w:r>
            <w:r>
              <w:rPr>
                <w:rFonts w:ascii="Georgia" w:cs="Georgia" w:eastAsia="Georgia" w:hAnsi="Georgia"/>
                <w:color w:val="1F2A44"/>
                <w:sz w:val="20"/>
                <w:szCs w:val="20"/>
              </w:rPr>
              <w:t xml:space="preserve"> to democratic and multilateral processes, not a replacement; and stress the safeguards that earn legitimacy — transparency, genuinely inclusive representation (especially the Global South and civil society), and outputs that governments freely choose to adopt through their own accountable processes. Never sound defensive; sound like someone who has thought about the institution’s own limits.</w:t>
            </w:r>
          </w:p>
        </w:tc>
      </w:tr>
    </w:tbl>
    <w:p>
      <w:pPr>
        <w:spacing w:after="80"/>
      </w:pPr>
    </w:p>
    <w:p>
      <w:pPr>
        <w:pStyle w:val="Heading2"/>
        <w:spacing w:after="100" w:before="220"/>
      </w:pPr>
      <w:r>
        <w:rPr>
          <w:rFonts w:ascii="Calibri" w:cs="Calibri" w:eastAsia="Calibri" w:hAnsi="Calibri"/>
          <w:b/>
          <w:bCs/>
          <w:color w:val="2F5D8A"/>
          <w:sz w:val="25"/>
          <w:szCs w:val="25"/>
        </w:rPr>
        <w:t xml:space="preserve">4.3 The C4IR network in practice</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Centre for the Fourth Industrial Revolution</w:t>
      </w:r>
      <w:r>
        <w:rPr>
          <w:rFonts w:ascii="Georgia" w:cs="Georgia" w:eastAsia="Georgia" w:hAnsi="Georgia"/>
          <w:color w:val="1A1A1A"/>
          <w:sz w:val="21"/>
          <w:szCs w:val="21"/>
        </w:rPr>
        <w:t xml:space="preserve"> operates as a distributed network of government- and non-profit-hosted centres that co-design and pilot governance approaches nationally, then feed lessons back to the global network. For your workstream this is the delivery mechanism: a frontier-tech regulatory pilot can be prototyped in one centre (say, quantum or space in Abu Dhabi) and, if it works, packaged into a playbook and replicated elsewhere — which is precisely the “scalable, replicable model” the JD asks for.</w:t>
      </w:r>
    </w:p>
    <w:p>
      <w:pPr>
        <w:pStyle w:val="Heading2"/>
        <w:spacing w:after="100" w:before="220"/>
      </w:pPr>
      <w:r>
        <w:rPr>
          <w:rFonts w:ascii="Calibri" w:cs="Calibri" w:eastAsia="Calibri" w:hAnsi="Calibri"/>
          <w:b/>
          <w:bCs/>
          <w:color w:val="2F5D8A"/>
          <w:sz w:val="25"/>
          <w:szCs w:val="25"/>
        </w:rPr>
        <w:t xml:space="preserve">4.4 The Agile Governance lineage and the reports to name</w:t>
      </w:r>
    </w:p>
    <w:p>
      <w:pPr>
        <w:spacing w:after="140" w:line="276"/>
        <w:jc w:val="both"/>
      </w:pPr>
      <w:r>
        <w:rPr>
          <w:rFonts w:ascii="Georgia" w:cs="Georgia" w:eastAsia="Georgia" w:hAnsi="Georgia"/>
          <w:color w:val="1A1A1A"/>
          <w:sz w:val="21"/>
          <w:szCs w:val="21"/>
        </w:rPr>
        <w:t xml:space="preserve">Show that you know the Forum has a </w:t>
      </w:r>
      <w:r>
        <w:rPr>
          <w:rFonts w:ascii="Georgia" w:cs="Georgia" w:eastAsia="Georgia" w:hAnsi="Georgia"/>
          <w:i/>
          <w:iCs/>
          <w:color w:val="1A1A1A"/>
          <w:sz w:val="21"/>
          <w:szCs w:val="21"/>
        </w:rPr>
        <w:t xml:space="preserve">body of work</w:t>
      </w:r>
      <w:r>
        <w:rPr>
          <w:rFonts w:ascii="Georgia" w:cs="Georgia" w:eastAsia="Georgia" w:hAnsi="Georgia"/>
          <w:color w:val="1A1A1A"/>
          <w:sz w:val="21"/>
          <w:szCs w:val="21"/>
        </w:rPr>
        <w:t xml:space="preserve"> here, not just a new platform. The lineage:</w:t>
      </w:r>
    </w:p>
    <w:tbl>
      <w:tblPr>
        <w:tblW w:type="dxa" w:w="9360"/>
        <w:tblBorders>
          <w:top w:val="single" w:color="C9D3E0" w:sz="2"/>
          <w:left w:val="none"/>
          <w:bottom w:val="single" w:color="C9D3E0" w:sz="2"/>
          <w:right w:val="none"/>
          <w:insideH w:val="single" w:color="C9D3E0" w:sz="2"/>
          <w:insideV w:val="single" w:color="C9D3E0" w:sz="2"/>
        </w:tblBorders>
      </w:tblPr>
      <w:tblGrid>
        <w:gridCol w:w="3050"/>
        <w:gridCol w:w="3550"/>
        <w:gridCol w:w="2760"/>
      </w:tblGrid>
      <w:tr>
        <w:trPr>
          <w:tblHeader/>
        </w:trPr>
        <w:tc>
          <w:tcPr>
            <w:tcW w:type="dxa" w:w="3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Forum work</w:t>
            </w:r>
          </w:p>
        </w:tc>
        <w:tc>
          <w:tcPr>
            <w:tcW w:type="dxa" w:w="35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established</w:t>
            </w:r>
          </w:p>
        </w:tc>
        <w:tc>
          <w:tcPr>
            <w:tcW w:type="dxa" w:w="27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Use it to…</w:t>
            </w:r>
          </w:p>
        </w:tc>
      </w:tr>
      <w:tr>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Agile Governance: Reimagining Policy-making in the 4IR (white paper)</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founding case for adaptive, responsive, human-centred policy-making.</w:t>
            </w:r>
          </w:p>
        </w:tc>
        <w:tc>
          <w:tcPr>
            <w:tcW w:type="dxa" w:w="2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Show you know the intellectual roots of GRIP.</w:t>
            </w:r>
          </w:p>
        </w:tc>
      </w:tr>
      <w:tr>
        <w:tc>
          <w:tcPr>
            <w:tcW w:type="dxa" w:w="3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Agile Regulation for the 4IR — A Toolkit for Regulators (2020)</w:t>
            </w:r>
          </w:p>
        </w:tc>
        <w:tc>
          <w:tcPr>
            <w:tcW w:type="dxa" w:w="3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five principles and the practical toolkit (§2.2).</w:t>
            </w:r>
          </w:p>
        </w:tc>
        <w:tc>
          <w:tcPr>
            <w:tcW w:type="dxa" w:w="2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Speak the Forum’s house vocabulary precisely.</w:t>
            </w:r>
          </w:p>
        </w:tc>
      </w:tr>
      <w:tr>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Technology Governance Report (2021)</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 cross-technology governance-gap analysis.</w:t>
            </w:r>
          </w:p>
        </w:tc>
        <w:tc>
          <w:tcPr>
            <w:tcW w:type="dxa" w:w="2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Frame the cross-cutting, convergence argument.</w:t>
            </w:r>
          </w:p>
        </w:tc>
      </w:tr>
      <w:tr>
        <w:tc>
          <w:tcPr>
            <w:tcW w:type="dxa" w:w="3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Regulatory Frontier / GRIP (2025)</w:t>
            </w:r>
          </w:p>
        </w:tc>
        <w:tc>
          <w:tcPr>
            <w:tcW w:type="dxa" w:w="35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Regulation as a strategic lever; the three GRIP deliverables.</w:t>
            </w:r>
          </w:p>
        </w:tc>
        <w:tc>
          <w:tcPr>
            <w:tcW w:type="dxa" w:w="2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Anchor to the current, live mandate.</w:t>
            </w:r>
          </w:p>
        </w:tc>
      </w:tr>
      <w:tr>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Global Risks Report; Future of Jobs Report</w:t>
            </w:r>
          </w:p>
        </w:tc>
        <w:tc>
          <w:tcPr>
            <w:tcW w:type="dxa" w:w="35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Forum’s flagship annual signals on risk and work.</w:t>
            </w:r>
          </w:p>
        </w:tc>
        <w:tc>
          <w:tcPr>
            <w:tcW w:type="dxa" w:w="2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Connect tech governance to the Forum’s wider agenda.</w:t>
            </w:r>
          </w:p>
        </w:tc>
      </w:tr>
    </w:tbl>
    <w:p>
      <w:pPr>
        <w:spacing w:after="80"/>
      </w:pPr>
    </w:p>
    <w:p>
      <w:pPr>
        <w:pStyle w:val="Heading2"/>
        <w:spacing w:after="100" w:before="220"/>
      </w:pPr>
      <w:r>
        <w:rPr>
          <w:rFonts w:ascii="Calibri" w:cs="Calibri" w:eastAsia="Calibri" w:hAnsi="Calibri"/>
          <w:b/>
          <w:bCs/>
          <w:color w:val="2F5D8A"/>
          <w:sz w:val="25"/>
          <w:szCs w:val="25"/>
        </w:rPr>
        <w:t xml:space="preserve">4.5 Talking about the Forum credibly</w:t>
      </w:r>
    </w:p>
    <w:p>
      <w:pPr>
        <w:spacing w:after="140" w:line="276"/>
        <w:jc w:val="both"/>
      </w:pPr>
      <w:r>
        <w:rPr>
          <w:rFonts w:ascii="Georgia" w:cs="Georgia" w:eastAsia="Georgia" w:hAnsi="Georgia"/>
          <w:color w:val="1A1A1A"/>
          <w:sz w:val="21"/>
          <w:szCs w:val="21"/>
        </w:rPr>
        <w:t xml:space="preserve">The register to hit: </w:t>
      </w:r>
      <w:r>
        <w:rPr>
          <w:rFonts w:ascii="Georgia" w:cs="Georgia" w:eastAsia="Georgia" w:hAnsi="Georgia"/>
          <w:b/>
          <w:bCs/>
          <w:color w:val="1A1A1A"/>
          <w:sz w:val="21"/>
          <w:szCs w:val="21"/>
        </w:rPr>
        <w:t xml:space="preserve">impact with humility.</w:t>
      </w:r>
      <w:r>
        <w:rPr>
          <w:rFonts w:ascii="Georgia" w:cs="Georgia" w:eastAsia="Georgia" w:hAnsi="Georgia"/>
          <w:color w:val="1A1A1A"/>
          <w:sz w:val="21"/>
          <w:szCs w:val="21"/>
        </w:rPr>
        <w:t xml:space="preserve"> Be genuinely enthusiastic about convening power and the model’s reach, while showing you understand its limits — that the Forum succeeds only when its outputs are adopted by actors with real authority, and that legitimacy has to be continually earned through inclusion and transparency. That balance is exactly the judgement the role requires.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5 · Global Regulatory Landscape and Geopolitics</w:t>
      </w:r>
    </w:p>
    <w:p>
      <w:pPr>
        <w:spacing w:after="200" w:line="288"/>
      </w:pPr>
      <w:r>
        <w:rPr>
          <w:rFonts w:ascii="Georgia" w:cs="Georgia" w:eastAsia="Georgia" w:hAnsi="Georgia"/>
          <w:i/>
          <w:iCs/>
          <w:color w:val="55606E"/>
          <w:sz w:val="22"/>
          <w:szCs w:val="22"/>
        </w:rPr>
        <w:t xml:space="preserve">Frontier-tech governance is now geopolitics by other means. You need the map of who regulates how, why they diverge, and where the openings for cooperation lie.</w:t>
      </w:r>
    </w:p>
    <w:p>
      <w:pPr>
        <w:pStyle w:val="Heading2"/>
        <w:spacing w:after="100" w:before="220"/>
      </w:pPr>
      <w:r>
        <w:rPr>
          <w:rFonts w:ascii="Calibri" w:cs="Calibri" w:eastAsia="Calibri" w:hAnsi="Calibri"/>
          <w:b/>
          <w:bCs/>
          <w:color w:val="2F5D8A"/>
          <w:sz w:val="25"/>
          <w:szCs w:val="25"/>
        </w:rPr>
        <w:t xml:space="preserve">5.1 The three rulebooks (plus the middle path)</w:t>
      </w:r>
    </w:p>
    <w:tbl>
      <w:tblPr>
        <w:tblW w:type="dxa" w:w="9360"/>
        <w:tblBorders>
          <w:top w:val="single" w:color="C9D3E0" w:sz="2"/>
          <w:left w:val="none"/>
          <w:bottom w:val="single" w:color="C9D3E0" w:sz="2"/>
          <w:right w:val="none"/>
          <w:insideH w:val="single" w:color="C9D3E0" w:sz="2"/>
          <w:insideV w:val="single" w:color="C9D3E0" w:sz="2"/>
        </w:tblBorders>
      </w:tblPr>
      <w:tblGrid>
        <w:gridCol w:w="1450"/>
        <w:gridCol w:w="3050"/>
        <w:gridCol w:w="2650"/>
        <w:gridCol w:w="2210"/>
      </w:tblGrid>
      <w:tr>
        <w:trPr>
          <w:tblHeader/>
        </w:trPr>
        <w:tc>
          <w:tcPr>
            <w:tcW w:type="dxa" w:w="14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Jurisdiction</w:t>
            </w:r>
          </w:p>
        </w:tc>
        <w:tc>
          <w:tcPr>
            <w:tcW w:type="dxa" w:w="30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Regulatory philosophy</w:t>
            </w:r>
          </w:p>
        </w:tc>
        <w:tc>
          <w:tcPr>
            <w:tcW w:type="dxa" w:w="26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Signature instruments</w:t>
            </w:r>
          </w:p>
        </w:tc>
        <w:tc>
          <w:tcPr>
            <w:tcW w:type="dxa" w:w="221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What it optimises for</w:t>
            </w:r>
          </w:p>
        </w:tc>
      </w:tr>
      <w:tr>
        <w:tc>
          <w:tcPr>
            <w:tcW w:type="dxa" w:w="14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European Union</w:t>
            </w:r>
          </w:p>
        </w:tc>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Rights- and risk-based; precautionary; comprehensive horizontal law.</w:t>
            </w:r>
          </w:p>
        </w:tc>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AI Act; GDPR; Digital Services/Markets Acts; product-liability regime.</w:t>
            </w:r>
          </w:p>
        </w:tc>
        <w:tc>
          <w:tcPr>
            <w:tcW w:type="dxa" w:w="22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Fundamental rights, safety, a single market — and regulatory export.</w:t>
            </w:r>
          </w:p>
        </w:tc>
      </w:tr>
      <w:tr>
        <w:tc>
          <w:tcPr>
            <w:tcW w:type="dxa" w:w="14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States</w:t>
            </w:r>
          </w:p>
        </w:tc>
        <w:tc>
          <w:tcPr>
            <w:tcW w:type="dxa" w:w="3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Market-led; sectoral; light-touch; innovation-first.</w:t>
            </w:r>
          </w:p>
        </w:tc>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Executive orders; NIST frameworks; agency guidance; state laws.</w:t>
            </w:r>
          </w:p>
        </w:tc>
        <w:tc>
          <w:tcPr>
            <w:tcW w:type="dxa" w:w="22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Innovation speed, competitiveness, private-sector leadership.</w:t>
            </w:r>
          </w:p>
        </w:tc>
      </w:tr>
      <w:tr>
        <w:tc>
          <w:tcPr>
            <w:tcW w:type="dxa" w:w="14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China</w:t>
            </w:r>
          </w:p>
        </w:tc>
        <w:tc>
          <w:tcPr>
            <w:tcW w:type="dxa" w:w="30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State-directed; vertical and targeted; control-oriented.</w:t>
            </w:r>
          </w:p>
        </w:tc>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Algorithm/deep-synthesis/generative-AI rules; CAC filings.</w:t>
            </w:r>
          </w:p>
        </w:tc>
        <w:tc>
          <w:tcPr>
            <w:tcW w:type="dxa" w:w="22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State control, social stability, strategic industrial policy.</w:t>
            </w:r>
          </w:p>
        </w:tc>
      </w:tr>
      <w:tr>
        <w:tc>
          <w:tcPr>
            <w:tcW w:type="dxa" w:w="14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United Kingdom</w:t>
            </w:r>
          </w:p>
        </w:tc>
        <w:tc>
          <w:tcPr>
            <w:tcW w:type="dxa" w:w="30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Principles-based, pro-innovation; empowers existing regulators.</w:t>
            </w:r>
          </w:p>
        </w:tc>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Cross-sector principles; sector regulators; AI Safety Institute.</w:t>
            </w:r>
          </w:p>
        </w:tc>
        <w:tc>
          <w:tcPr>
            <w:tcW w:type="dxa" w:w="22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Agility and inward investment without a single big statute.</w:t>
            </w:r>
          </w:p>
        </w:tc>
      </w:tr>
    </w:tbl>
    <w:p>
      <w:pPr>
        <w:spacing w:after="80"/>
      </w:pPr>
    </w:p>
    <w:p>
      <w:pPr>
        <w:pStyle w:val="Heading2"/>
        <w:spacing w:after="100" w:before="220"/>
      </w:pPr>
      <w:r>
        <w:rPr>
          <w:rFonts w:ascii="Calibri" w:cs="Calibri" w:eastAsia="Calibri" w:hAnsi="Calibri"/>
          <w:b/>
          <w:bCs/>
          <w:color w:val="2F5D8A"/>
          <w:sz w:val="25"/>
          <w:szCs w:val="25"/>
        </w:rPr>
        <w:t xml:space="preserve">5.2 The Brussels effect and its limits</w:t>
      </w:r>
    </w:p>
    <w:p>
      <w:pPr>
        <w:spacing w:after="140" w:line="276"/>
        <w:jc w:val="both"/>
      </w:pPr>
      <w:r>
        <w:rPr>
          <w:rFonts w:ascii="Georgia" w:cs="Georgia" w:eastAsia="Georgia" w:hAnsi="Georgia"/>
          <w:color w:val="1A1A1A"/>
          <w:sz w:val="21"/>
          <w:szCs w:val="21"/>
        </w:rPr>
        <w:t xml:space="preserve">The </w:t>
      </w:r>
      <w:r>
        <w:rPr>
          <w:rFonts w:ascii="Georgia" w:cs="Georgia" w:eastAsia="Georgia" w:hAnsi="Georgia"/>
          <w:b/>
          <w:bCs/>
          <w:color w:val="1A1A1A"/>
          <w:sz w:val="21"/>
          <w:szCs w:val="21"/>
        </w:rPr>
        <w:t xml:space="preserve">Brussels effect</w:t>
      </w:r>
      <w:r>
        <w:rPr>
          <w:rFonts w:ascii="Georgia" w:cs="Georgia" w:eastAsia="Georgia" w:hAnsi="Georgia"/>
          <w:color w:val="1A1A1A"/>
          <w:sz w:val="21"/>
          <w:szCs w:val="21"/>
        </w:rPr>
        <w:t xml:space="preserve"> (Anu Bradford) is the mechanism by which EU rules become de facto global standards: to access the EU’s large market, firms adopt EU-compliant practices everywhere (the </w:t>
      </w:r>
      <w:r>
        <w:rPr>
          <w:rFonts w:ascii="Georgia" w:cs="Georgia" w:eastAsia="Georgia" w:hAnsi="Georgia"/>
          <w:i/>
          <w:iCs/>
          <w:color w:val="1A1A1A"/>
          <w:sz w:val="21"/>
          <w:szCs w:val="21"/>
        </w:rPr>
        <w:t xml:space="preserve">de facto</w:t>
      </w:r>
      <w:r>
        <w:rPr>
          <w:rFonts w:ascii="Georgia" w:cs="Georgia" w:eastAsia="Georgia" w:hAnsi="Georgia"/>
          <w:color w:val="1A1A1A"/>
          <w:sz w:val="21"/>
          <w:szCs w:val="21"/>
        </w:rPr>
        <w:t xml:space="preserve"> effect), and other governments then copy the EU template (the </w:t>
      </w:r>
      <w:r>
        <w:rPr>
          <w:rFonts w:ascii="Georgia" w:cs="Georgia" w:eastAsia="Georgia" w:hAnsi="Georgia"/>
          <w:i/>
          <w:iCs/>
          <w:color w:val="1A1A1A"/>
          <w:sz w:val="21"/>
          <w:szCs w:val="21"/>
        </w:rPr>
        <w:t xml:space="preserve">de jure</w:t>
      </w:r>
      <w:r>
        <w:rPr>
          <w:rFonts w:ascii="Georgia" w:cs="Georgia" w:eastAsia="Georgia" w:hAnsi="Georgia"/>
          <w:color w:val="1A1A1A"/>
          <w:sz w:val="21"/>
          <w:szCs w:val="21"/>
        </w:rPr>
        <w:t xml:space="preserve"> effect). GDPR is the archetype; the AI Act is the test case. The sophisticated, current view — which you should voice — is that the effect is </w:t>
      </w:r>
      <w:r>
        <w:rPr>
          <w:rFonts w:ascii="Georgia" w:cs="Georgia" w:eastAsia="Georgia" w:hAnsi="Georgia"/>
          <w:b/>
          <w:bCs/>
          <w:color w:val="1A1A1A"/>
          <w:sz w:val="21"/>
          <w:szCs w:val="21"/>
        </w:rPr>
        <w:t xml:space="preserve">real but weakening</w:t>
      </w:r>
      <w:r>
        <w:rPr>
          <w:rFonts w:ascii="Georgia" w:cs="Georgia" w:eastAsia="Georgia" w:hAnsi="Georgia"/>
          <w:color w:val="1A1A1A"/>
          <w:sz w:val="21"/>
          <w:szCs w:val="21"/>
        </w:rPr>
        <w:t xml:space="preserve">: the US and China are actively pursuing rival models, the EU itself is under pressure to simplify to stay competitive, and for a borderless technology a territorial theory of influence explains less than it used to. The frontier is shifting from </w:t>
      </w:r>
      <w:r>
        <w:rPr>
          <w:rFonts w:ascii="Georgia" w:cs="Georgia" w:eastAsia="Georgia" w:hAnsi="Georgia"/>
          <w:i/>
          <w:iCs/>
          <w:color w:val="1A1A1A"/>
          <w:sz w:val="21"/>
          <w:szCs w:val="21"/>
        </w:rPr>
        <w:t xml:space="preserve">exporting regulation</w:t>
      </w:r>
      <w:r>
        <w:rPr>
          <w:rFonts w:ascii="Georgia" w:cs="Georgia" w:eastAsia="Georgia" w:hAnsi="Georgia"/>
          <w:color w:val="1A1A1A"/>
          <w:sz w:val="21"/>
          <w:szCs w:val="21"/>
        </w:rPr>
        <w:t xml:space="preserve"> to </w:t>
      </w:r>
      <w:r>
        <w:rPr>
          <w:rFonts w:ascii="Georgia" w:cs="Georgia" w:eastAsia="Georgia" w:hAnsi="Georgia"/>
          <w:i/>
          <w:iCs/>
          <w:color w:val="1A1A1A"/>
          <w:sz w:val="21"/>
          <w:szCs w:val="21"/>
        </w:rPr>
        <w:t xml:space="preserve">exercising governance</w:t>
      </w:r>
      <w:r>
        <w:rPr>
          <w:rFonts w:ascii="Georgia" w:cs="Georgia" w:eastAsia="Georgia" w:hAnsi="Georgia"/>
          <w:color w:val="1A1A1A"/>
          <w:sz w:val="21"/>
          <w:szCs w:val="21"/>
        </w:rPr>
        <w:t xml:space="preserve">.</w:t>
      </w:r>
    </w:p>
    <w:p>
      <w:pPr>
        <w:pStyle w:val="Heading2"/>
        <w:spacing w:after="100" w:before="220"/>
      </w:pPr>
      <w:r>
        <w:rPr>
          <w:rFonts w:ascii="Calibri" w:cs="Calibri" w:eastAsia="Calibri" w:hAnsi="Calibri"/>
          <w:b/>
          <w:bCs/>
          <w:color w:val="2F5D8A"/>
          <w:sz w:val="25"/>
          <w:szCs w:val="25"/>
        </w:rPr>
        <w:t xml:space="preserve">5.3 Fragmentation versus interoperability</w:t>
      </w:r>
    </w:p>
    <w:p>
      <w:pPr>
        <w:spacing w:after="140" w:line="276"/>
        <w:jc w:val="both"/>
      </w:pPr>
      <w:r>
        <w:rPr>
          <w:rFonts w:ascii="Georgia" w:cs="Georgia" w:eastAsia="Georgia" w:hAnsi="Georgia"/>
          <w:color w:val="1A1A1A"/>
          <w:sz w:val="21"/>
          <w:szCs w:val="21"/>
        </w:rPr>
        <w:t xml:space="preserve">The meta-problem your role addresses is </w:t>
      </w:r>
      <w:r>
        <w:rPr>
          <w:rFonts w:ascii="Georgia" w:cs="Georgia" w:eastAsia="Georgia" w:hAnsi="Georgia"/>
          <w:b/>
          <w:bCs/>
          <w:color w:val="1A1A1A"/>
          <w:sz w:val="21"/>
          <w:szCs w:val="21"/>
        </w:rPr>
        <w:t xml:space="preserve">regulatory fragmentation</w:t>
      </w:r>
      <w:r>
        <w:rPr>
          <w:rFonts w:ascii="Georgia" w:cs="Georgia" w:eastAsia="Georgia" w:hAnsi="Georgia"/>
          <w:color w:val="1A1A1A"/>
          <w:sz w:val="21"/>
          <w:szCs w:val="21"/>
        </w:rPr>
        <w:t xml:space="preserve">: the same product can be lawful in one jurisdiction, require a conformity assessment in a second, an algorithmic audit in a third and a state filing in a fourth. Fragmentation raises compliance cost, entrenches large incumbents (only they can afford four rulebooks), enables </w:t>
      </w:r>
      <w:r>
        <w:rPr>
          <w:rFonts w:ascii="Georgia" w:cs="Georgia" w:eastAsia="Georgia" w:hAnsi="Georgia"/>
          <w:b/>
          <w:bCs/>
          <w:color w:val="1A1A1A"/>
          <w:sz w:val="21"/>
          <w:szCs w:val="21"/>
        </w:rPr>
        <w:t xml:space="preserve">forum-shopping</w:t>
      </w:r>
      <w:r>
        <w:rPr>
          <w:rFonts w:ascii="Georgia" w:cs="Georgia" w:eastAsia="Georgia" w:hAnsi="Georgia"/>
          <w:color w:val="1A1A1A"/>
          <w:sz w:val="21"/>
          <w:szCs w:val="21"/>
        </w:rPr>
        <w:t xml:space="preserve">, and slows beneficial diffusion. The prize is </w:t>
      </w:r>
      <w:r>
        <w:rPr>
          <w:rFonts w:ascii="Georgia" w:cs="Georgia" w:eastAsia="Georgia" w:hAnsi="Georgia"/>
          <w:b/>
          <w:bCs/>
          <w:color w:val="1A1A1A"/>
          <w:sz w:val="21"/>
          <w:szCs w:val="21"/>
        </w:rPr>
        <w:t xml:space="preserve">interoperability</w:t>
      </w:r>
      <w:r>
        <w:rPr>
          <w:rFonts w:ascii="Georgia" w:cs="Georgia" w:eastAsia="Georgia" w:hAnsi="Georgia"/>
          <w:color w:val="1A1A1A"/>
          <w:sz w:val="21"/>
          <w:szCs w:val="21"/>
        </w:rPr>
        <w:t xml:space="preserve"> — not identical rules, but rules that are </w:t>
      </w:r>
      <w:r>
        <w:rPr>
          <w:rFonts w:ascii="Georgia" w:cs="Georgia" w:eastAsia="Georgia" w:hAnsi="Georgia"/>
          <w:i/>
          <w:iCs/>
          <w:color w:val="1A1A1A"/>
          <w:sz w:val="21"/>
          <w:szCs w:val="21"/>
        </w:rPr>
        <w:t xml:space="preserve">compatible in effect</w:t>
      </w:r>
      <w:r>
        <w:rPr>
          <w:rFonts w:ascii="Georgia" w:cs="Georgia" w:eastAsia="Georgia" w:hAnsi="Georgia"/>
          <w:color w:val="1A1A1A"/>
          <w:sz w:val="21"/>
          <w:szCs w:val="21"/>
        </w:rPr>
        <w:t xml:space="preserve"> through mutual recognition, common standards and minimum baselines. Convening for interoperability, precisely, is the Forum’s comparative advantage.</w:t>
      </w:r>
    </w:p>
    <w:p>
      <w:pPr>
        <w:pStyle w:val="Heading2"/>
        <w:spacing w:after="100" w:before="220"/>
      </w:pPr>
      <w:r>
        <w:rPr>
          <w:rFonts w:ascii="Calibri" w:cs="Calibri" w:eastAsia="Calibri" w:hAnsi="Calibri"/>
          <w:b/>
          <w:bCs/>
          <w:color w:val="2F5D8A"/>
          <w:sz w:val="25"/>
          <w:szCs w:val="25"/>
        </w:rPr>
        <w:t xml:space="preserve">5.4 The institutional map</w:t>
      </w:r>
    </w:p>
    <w:tbl>
      <w:tblPr>
        <w:tblW w:type="dxa" w:w="9360"/>
        <w:tblBorders>
          <w:top w:val="single" w:color="C9D3E0" w:sz="2"/>
          <w:left w:val="none"/>
          <w:bottom w:val="single" w:color="C9D3E0" w:sz="2"/>
          <w:right w:val="none"/>
          <w:insideH w:val="single" w:color="C9D3E0" w:sz="2"/>
          <w:insideV w:val="single" w:color="C9D3E0" w:sz="2"/>
        </w:tblBorders>
      </w:tblPr>
      <w:tblGrid>
        <w:gridCol w:w="2650"/>
        <w:gridCol w:w="6710"/>
      </w:tblGrid>
      <w:tr>
        <w:trPr>
          <w:tblHeader/>
        </w:trPr>
        <w:tc>
          <w:tcPr>
            <w:tcW w:type="dxa" w:w="265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Body</w:t>
            </w:r>
          </w:p>
        </w:tc>
        <w:tc>
          <w:tcPr>
            <w:tcW w:type="dxa" w:w="671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Role in frontier-tech governance</w:t>
            </w:r>
          </w:p>
        </w:tc>
      </w:tr>
      <w:tr>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OECD</w:t>
            </w:r>
          </w:p>
        </w:tc>
        <w:tc>
          <w:tcPr>
            <w:tcW w:type="dxa" w:w="67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reference house for regulatory policy and international regulatory co-operation; the OECD AI Principles; policy observatories and toolkits.</w:t>
            </w:r>
          </w:p>
        </w:tc>
      </w:tr>
      <w:tr>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ISO / IEC / IEEE / CEN-CENELEC</w:t>
            </w:r>
          </w:p>
        </w:tc>
        <w:tc>
          <w:tcPr>
            <w:tcW w:type="dxa" w:w="67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Technical standard-setting — the soft-law machinery regulators reference to give agile rules teeth.</w:t>
            </w:r>
          </w:p>
        </w:tc>
      </w:tr>
      <w:tr>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G7 / G20</w:t>
            </w:r>
          </w:p>
        </w:tc>
        <w:tc>
          <w:tcPr>
            <w:tcW w:type="dxa" w:w="67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Political coordination; the G7 Hiroshima Process on AI; agenda-setting for tech governance.</w:t>
            </w:r>
          </w:p>
        </w:tc>
      </w:tr>
      <w:tr>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UN family (UNOOSA, ITU, UNESCO, WHO)</w:t>
            </w:r>
          </w:p>
        </w:tc>
        <w:tc>
          <w:tcPr>
            <w:tcW w:type="dxa" w:w="67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Space (UNOOSA/COPUOS), telecoms and standards (ITU), AI and bioethics (UNESCO), health/biotech (WHO), plus the UN AI processes.</w:t>
            </w:r>
          </w:p>
        </w:tc>
      </w:tr>
      <w:tr>
        <w:tc>
          <w:tcPr>
            <w:tcW w:type="dxa" w:w="265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Council of Europe</w:t>
            </w:r>
          </w:p>
        </w:tc>
        <w:tc>
          <w:tcPr>
            <w:tcW w:type="dxa" w:w="671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The Framework Convention on AI — the first binding international AI treaty, rights-anchored and open beyond Europe.</w:t>
            </w:r>
          </w:p>
        </w:tc>
      </w:tr>
      <w:tr>
        <w:tc>
          <w:tcPr>
            <w:tcW w:type="dxa" w:w="265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NIST</w:t>
            </w:r>
          </w:p>
        </w:tc>
        <w:tc>
          <w:tcPr>
            <w:tcW w:type="dxa" w:w="671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De facto global influence via frameworks (AI RMF) and standards (PQC) despite being a national body.</w:t>
            </w:r>
          </w:p>
        </w:tc>
      </w:tr>
    </w:tbl>
    <w:p>
      <w:pPr>
        <w:spacing w:after="80"/>
      </w:pPr>
    </w:p>
    <w:p>
      <w:pPr>
        <w:pStyle w:val="Heading2"/>
        <w:spacing w:after="100" w:before="220"/>
      </w:pPr>
      <w:r>
        <w:rPr>
          <w:rFonts w:ascii="Calibri" w:cs="Calibri" w:eastAsia="Calibri" w:hAnsi="Calibri"/>
          <w:b/>
          <w:bCs/>
          <w:color w:val="2F5D8A"/>
          <w:sz w:val="25"/>
          <w:szCs w:val="25"/>
        </w:rPr>
        <w:t xml:space="preserve">5.5 The geopolitics of the frontier</w:t>
      </w:r>
    </w:p>
    <w:p>
      <w:pPr>
        <w:spacing w:after="140" w:line="276"/>
        <w:jc w:val="both"/>
      </w:pPr>
      <w:r>
        <w:rPr>
          <w:rFonts w:ascii="Georgia" w:cs="Georgia" w:eastAsia="Georgia" w:hAnsi="Georgia"/>
          <w:color w:val="1A1A1A"/>
          <w:sz w:val="21"/>
          <w:szCs w:val="21"/>
        </w:rPr>
        <w:t xml:space="preserve">Two forces to name. </w:t>
      </w:r>
      <w:r>
        <w:rPr>
          <w:rFonts w:ascii="Georgia" w:cs="Georgia" w:eastAsia="Georgia" w:hAnsi="Georgia"/>
          <w:b/>
          <w:bCs/>
          <w:color w:val="1A1A1A"/>
          <w:sz w:val="21"/>
          <w:szCs w:val="21"/>
        </w:rPr>
        <w:t xml:space="preserve">Techno-nationalism / tech sovereignty:</w:t>
      </w:r>
      <w:r>
        <w:rPr>
          <w:rFonts w:ascii="Georgia" w:cs="Georgia" w:eastAsia="Georgia" w:hAnsi="Georgia"/>
          <w:color w:val="1A1A1A"/>
          <w:sz w:val="21"/>
          <w:szCs w:val="21"/>
        </w:rPr>
        <w:t xml:space="preserve"> states increasingly treat frontier tech as strategic national assets — via industrial policy, subsidies and </w:t>
      </w:r>
      <w:r>
        <w:rPr>
          <w:rFonts w:ascii="Georgia" w:cs="Georgia" w:eastAsia="Georgia" w:hAnsi="Georgia"/>
          <w:b/>
          <w:bCs/>
          <w:color w:val="1A1A1A"/>
          <w:sz w:val="21"/>
          <w:szCs w:val="21"/>
        </w:rPr>
        <w:t xml:space="preserve">export controls</w:t>
      </w:r>
      <w:r>
        <w:rPr>
          <w:rFonts w:ascii="Georgia" w:cs="Georgia" w:eastAsia="Georgia" w:hAnsi="Georgia"/>
          <w:color w:val="1A1A1A"/>
          <w:sz w:val="21"/>
          <w:szCs w:val="21"/>
        </w:rPr>
        <w:t xml:space="preserve"> (the “small yard, high fence” doctrine of restricting a narrow set of critical technologies while keeping the rest open). </w:t>
      </w:r>
      <w:r>
        <w:rPr>
          <w:rFonts w:ascii="Georgia" w:cs="Georgia" w:eastAsia="Georgia" w:hAnsi="Georgia"/>
          <w:b/>
          <w:bCs/>
          <w:color w:val="1A1A1A"/>
          <w:sz w:val="21"/>
          <w:szCs w:val="21"/>
        </w:rPr>
        <w:t xml:space="preserve">The commons counter-pressure:</w:t>
      </w:r>
      <w:r>
        <w:rPr>
          <w:rFonts w:ascii="Georgia" w:cs="Georgia" w:eastAsia="Georgia" w:hAnsi="Georgia"/>
          <w:color w:val="1A1A1A"/>
          <w:sz w:val="21"/>
          <w:szCs w:val="21"/>
        </w:rPr>
        <w:t xml:space="preserve"> some frontier domains — space, climate intervention, catastrophic bio-risk — are irreducibly global and cannot be secured by any state alone. Your workstream lives in the tension between these two: helping states pursue competitive advantage </w:t>
      </w:r>
      <w:r>
        <w:rPr>
          <w:rFonts w:ascii="Georgia" w:cs="Georgia" w:eastAsia="Georgia" w:hAnsi="Georgia"/>
          <w:i/>
          <w:iCs/>
          <w:color w:val="1A1A1A"/>
          <w:sz w:val="21"/>
          <w:szCs w:val="21"/>
        </w:rPr>
        <w:t xml:space="preserve">and</w:t>
      </w:r>
      <w:r>
        <w:rPr>
          <w:rFonts w:ascii="Georgia" w:cs="Georgia" w:eastAsia="Georgia" w:hAnsi="Georgia"/>
          <w:color w:val="1A1A1A"/>
          <w:sz w:val="21"/>
          <w:szCs w:val="21"/>
        </w:rPr>
        <w:t xml:space="preserve"> build the minimum cooperation that shared risks demand. Holding both truths at once is the mark of a serious frontier-governance strategist.</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6 · The Expert’s Question Set</w:t>
      </w:r>
    </w:p>
    <w:p>
      <w:pPr>
        <w:spacing w:after="200" w:line="288"/>
      </w:pPr>
      <w:r>
        <w:rPr>
          <w:rFonts w:ascii="Georgia" w:cs="Georgia" w:eastAsia="Georgia" w:hAnsi="Georgia"/>
          <w:i/>
          <w:iCs/>
          <w:color w:val="55606E"/>
          <w:sz w:val="22"/>
          <w:szCs w:val="22"/>
        </w:rPr>
        <w:t xml:space="preserve">These are the questions a senior WEF panel is most likely to ask, grouped by theme, each with a model answer and a “signal phrase” — the compressed line that tells an expert you belong in the room. Rehearse the signal phrases until they are automatic.</w:t>
      </w:r>
    </w:p>
    <w:p>
      <w:pPr>
        <w:pStyle w:val="Heading2"/>
        <w:spacing w:after="100" w:before="220"/>
      </w:pPr>
      <w:r>
        <w:rPr>
          <w:rFonts w:ascii="Calibri" w:cs="Calibri" w:eastAsia="Calibri" w:hAnsi="Calibri"/>
          <w:b/>
          <w:bCs/>
          <w:color w:val="2F5D8A"/>
          <w:sz w:val="25"/>
          <w:szCs w:val="25"/>
        </w:rPr>
        <w:t xml:space="preserve">6.A Substantive frontier-technology fluency</w:t>
      </w:r>
    </w:p>
    <w:p>
      <w:pPr>
        <w:spacing w:after="60" w:before="150" w:line="264"/>
      </w:pPr>
      <w:r>
        <w:rPr>
          <w:rFonts w:ascii="Calibri" w:cs="Calibri" w:eastAsia="Calibri" w:hAnsi="Calibri"/>
          <w:b/>
          <w:bCs/>
          <w:color w:val="1F2A44"/>
          <w:sz w:val="21"/>
          <w:szCs w:val="21"/>
        </w:rPr>
        <w:t xml:space="preserve">Q1. Pick a frontier technology and tell us its single hardest governance problem.</w:t>
      </w:r>
    </w:p>
    <w:p>
      <w:pPr>
        <w:spacing w:after="100" w:line="272"/>
        <w:jc w:val="both"/>
      </w:pPr>
      <w:r>
        <w:rPr>
          <w:rFonts w:ascii="Georgia" w:cs="Georgia" w:eastAsia="Georgia" w:hAnsi="Georgia"/>
          <w:color w:val="1A1A1A"/>
          <w:sz w:val="21"/>
          <w:szCs w:val="21"/>
        </w:rPr>
        <w:t xml:space="preserve">Take AI. The hardest problem is that we are trying to regulate a general-purpose technology whose risks are emergent and whose own developers can’t fully predict its capabilities — so rule-writers are always reasoning about a moving target. That forces a choice between governing the model at the foundation level and governing the application at the point of use. The EU AI Act tries to do both, with horizontal risk tiers plus specific obligations for general-purpose models with systemic risk. The deeper lesson for my workstream is that when capability outruns evaluation science, you lean on adaptive instruments — sandboxes, outcome-based rules, staged review — rather than freezing a definition that will be obsolete in a year.</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“When capability outruns evaluation science, you regulate the trajectory, not a snapshot.”</w:t>
      </w:r>
    </w:p>
    <w:p>
      <w:pPr>
        <w:spacing w:after="60" w:before="150" w:line="264"/>
      </w:pPr>
      <w:r>
        <w:rPr>
          <w:rFonts w:ascii="Calibri" w:cs="Calibri" w:eastAsia="Calibri" w:hAnsi="Calibri"/>
          <w:b/>
          <w:bCs/>
          <w:color w:val="1F2A44"/>
          <w:sz w:val="21"/>
          <w:szCs w:val="21"/>
        </w:rPr>
        <w:t xml:space="preserve">Q2. Why should anyone be working on quantum governance now, when fault-tolerant machines are years away?</w:t>
      </w:r>
    </w:p>
    <w:p>
      <w:pPr>
        <w:spacing w:after="100" w:line="272"/>
        <w:jc w:val="both"/>
      </w:pPr>
      <w:r>
        <w:rPr>
          <w:rFonts w:ascii="Georgia" w:cs="Georgia" w:eastAsia="Georgia" w:hAnsi="Georgia"/>
          <w:color w:val="1A1A1A"/>
          <w:sz w:val="21"/>
          <w:szCs w:val="21"/>
        </w:rPr>
        <w:t xml:space="preserve">Because the most consequential risk is already live even though the machine isn’t. ‘Harvest now, decrypt later’ means adversaries can steal encrypted data today and decrypt it once quantum-capable — so data with a long secrecy life is already exposed. That’s why the real governance action of the decade has already happened: NIST finalised the first post-quantum cryptography standards in 2024, and governments are mandating migration on decade-long timelines. Quantum is the textbook case for anticipatory governance — you act in the early, uncertain window precisely because waiting for certainty means acting too late.</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“Quantum is anticipatory governance made concrete: we’re migrating the world’s cryptography before the threat arrives.”</w:t>
      </w:r>
    </w:p>
    <w:p>
      <w:pPr>
        <w:spacing w:after="60" w:before="150" w:line="264"/>
      </w:pPr>
      <w:r>
        <w:rPr>
          <w:rFonts w:ascii="Calibri" w:cs="Calibri" w:eastAsia="Calibri" w:hAnsi="Calibri"/>
          <w:b/>
          <w:bCs/>
          <w:color w:val="1F2A44"/>
          <w:sz w:val="21"/>
          <w:szCs w:val="21"/>
        </w:rPr>
        <w:t xml:space="preserve">Q3. What worries you most about the convergence of AI and biology?</w:t>
      </w:r>
    </w:p>
    <w:p>
      <w:pPr>
        <w:spacing w:after="100" w:line="272"/>
        <w:jc w:val="both"/>
      </w:pPr>
      <w:r>
        <w:rPr>
          <w:rFonts w:ascii="Georgia" w:cs="Georgia" w:eastAsia="Georgia" w:hAnsi="Georgia"/>
          <w:color w:val="1A1A1A"/>
          <w:sz w:val="21"/>
          <w:szCs w:val="21"/>
        </w:rPr>
        <w:t xml:space="preserve">That our biosecurity safeguards were designed for a slower, more expert-gated world. DNA-synthesis screening largely works by matching orders against known threat sequences — but generative protein-design tools can produce novel sequences that don’t match anything known, and they lower the expertise barrier. So the safeguard and the threat are advancing on different curves. This is where I’d resist pure agility: for low-probability, catastrophic, irreversible risks, precaution and hard constraints can matter more than speed. The governance response has to be collaborative — synthesis providers, AI developers, funders and biosecurity agencies co-designing screening norms — because no single regulator can reach all of it.</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“The threat and the safeguard are on different curves — and closing that gap is a collaboration problem, not a statute problem.”</w:t>
      </w:r>
    </w:p>
    <w:p>
      <w:pPr>
        <w:spacing w:after="60" w:before="150" w:line="264"/>
      </w:pPr>
      <w:r>
        <w:rPr>
          <w:rFonts w:ascii="Calibri" w:cs="Calibri" w:eastAsia="Calibri" w:hAnsi="Calibri"/>
          <w:b/>
          <w:bCs/>
          <w:color w:val="1F2A44"/>
          <w:sz w:val="21"/>
          <w:szCs w:val="21"/>
        </w:rPr>
        <w:t xml:space="preserve">Q4. Who should set the planet’s thermostat — is solar geoengineering governable?</w:t>
      </w:r>
    </w:p>
    <w:p>
      <w:pPr>
        <w:spacing w:after="100" w:line="272"/>
        <w:jc w:val="both"/>
      </w:pPr>
      <w:r>
        <w:rPr>
          <w:rFonts w:ascii="Georgia" w:cs="Georgia" w:eastAsia="Georgia" w:hAnsi="Georgia"/>
          <w:color w:val="1A1A1A"/>
          <w:sz w:val="21"/>
          <w:szCs w:val="21"/>
        </w:rPr>
        <w:t xml:space="preserve">That question is the governance problem in one line. Solar radiation modification is cheap, fast and planet-wide in effect, yet there’s no legitimate global body to authorise, monitor or halt it — a single actor could deploy with consequences for everyone. There are two honest camps: ‘it’s ungovernable and irreversible, so ban outdoor experiments and deployment’ — the position behind the Non-Use Agreement and the CBD moratorium — and ‘it may be needed as a last resort, so govern the research transparently now rather than drive it underground.’ My instinct for a Forum role is to convene that disagreement rather than pretend it’s settled, and to be clear that for planet-scale irreversible risk, legitimacy and precaution outrank agility.</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“Some frontiers aren’t a speed problem — they’re a legitimacy problem, and you don’t innovate your way around legitimacy.”</w:t>
      </w:r>
    </w:p>
    <w:p>
      <w:pPr>
        <w:spacing w:after="60" w:before="150" w:line="264"/>
      </w:pPr>
      <w:r>
        <w:rPr>
          <w:rFonts w:ascii="Calibri" w:cs="Calibri" w:eastAsia="Calibri" w:hAnsi="Calibri"/>
          <w:b/>
          <w:bCs/>
          <w:color w:val="1F2A44"/>
          <w:sz w:val="21"/>
          <w:szCs w:val="21"/>
        </w:rPr>
        <w:t xml:space="preserve">Q5. Autonomous systems cause harm. Who’s liable — and why is that hard?</w:t>
      </w:r>
    </w:p>
    <w:p>
      <w:pPr>
        <w:spacing w:after="100" w:line="272"/>
        <w:jc w:val="both"/>
      </w:pPr>
      <w:r>
        <w:rPr>
          <w:rFonts w:ascii="Georgia" w:cs="Georgia" w:eastAsia="Georgia" w:hAnsi="Georgia"/>
          <w:color w:val="1A1A1A"/>
          <w:sz w:val="21"/>
          <w:szCs w:val="21"/>
        </w:rPr>
        <w:t xml:space="preserve">It’s hard because our liability law assumes a fixed product and a human in control, and autonomy breaks both. A self-driving vehicle or a robot learns and updates after sale, and the ‘decision’ that caused harm may trace to the manufacturer, the software developer, the operator or the owner. The direction of travel is to modernise strict product liability to cover software and AI — as the EU has done with its revised Product Liability Directive — and to certify via a ‘safety-case’ approach, which the new UN regulation on automated driving systems adopts, rather than a one-time type approval. But consumer and humanoid robots are still largely ungoverned, which is a gap worth a Forum convening.</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“Autonomy breaks two assumptions at once — a fixed product and a human in the loop — so both liability and certification have to be re-engineered.”</w:t>
      </w:r>
    </w:p>
    <w:p>
      <w:pPr>
        <w:pStyle w:val="Heading2"/>
        <w:spacing w:after="100" w:before="220"/>
      </w:pPr>
      <w:r>
        <w:rPr>
          <w:rFonts w:ascii="Calibri" w:cs="Calibri" w:eastAsia="Calibri" w:hAnsi="Calibri"/>
          <w:b/>
          <w:bCs/>
          <w:color w:val="2F5D8A"/>
          <w:sz w:val="25"/>
          <w:szCs w:val="25"/>
        </w:rPr>
        <w:t xml:space="preserve">6.B Regulatory-innovation craft</w:t>
      </w:r>
    </w:p>
    <w:p>
      <w:pPr>
        <w:spacing w:after="60" w:before="150" w:line="264"/>
      </w:pPr>
      <w:r>
        <w:rPr>
          <w:rFonts w:ascii="Calibri" w:cs="Calibri" w:eastAsia="Calibri" w:hAnsi="Calibri"/>
          <w:b/>
          <w:bCs/>
          <w:color w:val="1F2A44"/>
          <w:sz w:val="21"/>
          <w:szCs w:val="21"/>
        </w:rPr>
        <w:t xml:space="preserve">Q6. What is a regulatory sandbox, really — and what are its limits?</w:t>
      </w:r>
    </w:p>
    <w:p>
      <w:pPr>
        <w:spacing w:after="100" w:line="272"/>
        <w:jc w:val="both"/>
      </w:pPr>
      <w:r>
        <w:rPr>
          <w:rFonts w:ascii="Georgia" w:cs="Georgia" w:eastAsia="Georgia" w:hAnsi="Georgia"/>
          <w:color w:val="1A1A1A"/>
          <w:sz w:val="21"/>
          <w:szCs w:val="21"/>
        </w:rPr>
        <w:t xml:space="preserve">A sandbox is a controlled, time-limited environment where firms test innovations with real users under close supervision, with some rules relaxed and safeguards in place — participant caps, disclosure, an exit plan. The FCA pioneered it for fintech in 2016; it’s now in 50-plus jurisdictions, and the EU AI Act actually mandates a national AI sandbox in every member state by 2026. But I’m clear-eyed about the limits: sandboxes can favour well-resourced incumbents, they generate learning that doesn’t automatically become rules — the graduation problem — and they can become PR if the regulator lacks capacity. So I never propose a sandbox without a plan to codify what it teaches. The sandbox is the experiment; the value is in the learning loop back to the rulebook.</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“A sandbox without a codification plan is a press release; the point is the learning loop, not the pilot.”</w:t>
      </w:r>
    </w:p>
    <w:p>
      <w:pPr>
        <w:spacing w:after="60" w:before="150" w:line="264"/>
      </w:pPr>
      <w:r>
        <w:rPr>
          <w:rFonts w:ascii="Calibri" w:cs="Calibri" w:eastAsia="Calibri" w:hAnsi="Calibri"/>
          <w:b/>
          <w:bCs/>
          <w:color w:val="1F2A44"/>
          <w:sz w:val="21"/>
          <w:szCs w:val="21"/>
        </w:rPr>
        <w:t xml:space="preserve">Q7. Name the principles of agile regulation and tell us when each applies.</w:t>
      </w:r>
    </w:p>
    <w:p>
      <w:pPr>
        <w:spacing w:after="100" w:line="272"/>
        <w:jc w:val="both"/>
      </w:pPr>
      <w:r>
        <w:rPr>
          <w:rFonts w:ascii="Georgia" w:cs="Georgia" w:eastAsia="Georgia" w:hAnsi="Georgia"/>
          <w:color w:val="1A1A1A"/>
          <w:sz w:val="21"/>
          <w:szCs w:val="21"/>
        </w:rPr>
        <w:t xml:space="preserve">The Forum’s toolkit sets out five. Adaptive regulation — regulate, monitor, iterate, with review clauses — for fast-moving tech that would date a fixed rule. Outcome-based regulation — specify the goal, not the method — when you want to leave room for innovation on the ‘how.’ Risk-based regulation — concentrate effort where harm is greatest — when risk is uneven across use-cases, which is exactly the AI Act’s tiering. Collaborative regulation — co- and self-regulation, and alignment across borders — when the state can’t see or reach everything alone. And sandboxes — for high uncertainty where you need real-world evidence fast. The craft isn’t reciting them; it’s matching the instrument to the situation and being honest about the trade-offs.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“The skill isn’t listing the five principles — it’s matching instrument to situation and naming the cost of each.”</w:t>
      </w:r>
    </w:p>
    <w:p>
      <w:pPr>
        <w:spacing w:after="60" w:before="150" w:line="264"/>
      </w:pPr>
      <w:r>
        <w:rPr>
          <w:rFonts w:ascii="Calibri" w:cs="Calibri" w:eastAsia="Calibri" w:hAnsi="Calibri"/>
          <w:b/>
          <w:bCs/>
          <w:color w:val="1F2A44"/>
          <w:sz w:val="21"/>
          <w:szCs w:val="21"/>
        </w:rPr>
        <w:t xml:space="preserve">Q8. Isn’t ‘soft law’ just a way of avoiding real regulation?</w:t>
      </w:r>
    </w:p>
    <w:p>
      <w:pPr>
        <w:spacing w:after="100" w:line="272"/>
        <w:jc w:val="both"/>
      </w:pPr>
      <w:r>
        <w:rPr>
          <w:rFonts w:ascii="Georgia" w:cs="Georgia" w:eastAsia="Georgia" w:hAnsi="Georgia"/>
          <w:color w:val="1A1A1A"/>
          <w:sz w:val="21"/>
          <w:szCs w:val="21"/>
        </w:rPr>
        <w:t xml:space="preserve">No — soft law is how you govern at the speed of technology, and it’s often the R&amp;D phase for hard law. Standards, codes of practice and principles are fast, flexible and build consensus while binding rules catch up. The EU’s voluntary GPAI Code of Practice operationalises the AI Act’s binding obligations; the OECD AI Principles seeded national laws. Regulators increasingly reference technical standards so soft law gets real teeth. The honest caveat is that soft law is weakest exactly where the downside is catastrophic and actors have incentives to defect — bio-risk, say — so I treat it as a spectrum: principles to codes to referenced standards to binding law, and I choose how far along that spectrum the risk profile demands.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“Soft law isn’t the absence of regulation — it’s the on-ramp to it, and often the only thing fast enough.”</w:t>
      </w:r>
    </w:p>
    <w:p>
      <w:pPr>
        <w:spacing w:after="60" w:before="150" w:line="264"/>
      </w:pPr>
      <w:r>
        <w:rPr>
          <w:rFonts w:ascii="Calibri" w:cs="Calibri" w:eastAsia="Calibri" w:hAnsi="Calibri"/>
          <w:b/>
          <w:bCs/>
          <w:color w:val="1F2A44"/>
          <w:sz w:val="21"/>
          <w:szCs w:val="21"/>
        </w:rPr>
        <w:t xml:space="preserve">Q9. How do you regulate something you don’t yet understand?</w:t>
      </w:r>
    </w:p>
    <w:p>
      <w:pPr>
        <w:spacing w:after="100" w:line="272"/>
        <w:jc w:val="both"/>
      </w:pPr>
      <w:r>
        <w:rPr>
          <w:rFonts w:ascii="Georgia" w:cs="Georgia" w:eastAsia="Georgia" w:hAnsi="Georgia"/>
          <w:color w:val="1A1A1A"/>
          <w:sz w:val="21"/>
          <w:szCs w:val="21"/>
        </w:rPr>
        <w:t xml:space="preserve">You don’t pretend to certainty you don’t have — you build institutions for learning. That’s anticipatory governance: regulatory foresight to see it coming, experimentation to generate real evidence, and learning loops that feed evidence back into revised rules. Concretely: horizon-scanning, sandboxes and testbeds, sunset clauses and mandatory review, living guidance updated like software rather than statute. The Collingridge dilemma says early tech is easy to shape but hard to predict, and by the time you understand it, it’s entrenched — so the whole point is to act </w:t>
      </w:r>
      <w:r>
        <w:rPr>
          <w:rFonts w:ascii="Georgia" w:cs="Georgia" w:eastAsia="Georgia" w:hAnsi="Georgia"/>
          <w:i/>
          <w:iCs/>
          <w:color w:val="1A1A1A"/>
          <w:sz w:val="21"/>
          <w:szCs w:val="21"/>
        </w:rPr>
        <w:t xml:space="preserve">within</w:t>
      </w:r>
      <w:r>
        <w:rPr>
          <w:rFonts w:ascii="Georgia" w:cs="Georgia" w:eastAsia="Georgia" w:hAnsi="Georgia"/>
          <w:color w:val="1A1A1A"/>
          <w:sz w:val="21"/>
          <w:szCs w:val="21"/>
        </w:rPr>
        <w:t xml:space="preserve"> that uncertainty using reversible, revisable instruments.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“You replace the illusion of certainty with institutions for learning — foresight, experimentation, revision.”</w:t>
      </w:r>
    </w:p>
    <w:p>
      <w:pPr>
        <w:spacing w:after="60" w:before="150" w:line="264"/>
      </w:pPr>
      <w:r>
        <w:rPr>
          <w:rFonts w:ascii="Calibri" w:cs="Calibri" w:eastAsia="Calibri" w:hAnsi="Calibri"/>
          <w:b/>
          <w:bCs/>
          <w:color w:val="1F2A44"/>
          <w:sz w:val="21"/>
          <w:szCs w:val="21"/>
        </w:rPr>
        <w:t xml:space="preserve">Q10. How would you measure whether a regulatory-innovation initiative actually worked?</w:t>
      </w:r>
    </w:p>
    <w:p>
      <w:pPr>
        <w:spacing w:after="100" w:line="272"/>
        <w:jc w:val="both"/>
      </w:pPr>
      <w:r>
        <w:rPr>
          <w:rFonts w:ascii="Georgia" w:cs="Georgia" w:eastAsia="Georgia" w:hAnsi="Georgia"/>
          <w:color w:val="1A1A1A"/>
          <w:sz w:val="21"/>
          <w:szCs w:val="21"/>
        </w:rPr>
        <w:t xml:space="preserve">I’d avoid vanity metrics — number of convenings, reports published — and measure at three levels. Adoption: did regulators or governments take up the framework, sandbox or standard? Outcome: did it change a real decision — a pilot authorised, a rule revised, a risk mitigated? And system: did it improve interoperability or readiness across jurisdictions, which is what GRIP’s Readiness Index is built to track? I’d define those success measures at design time, not retrofit them, and I’d be willing to report where an initiative didn’t move the needle — credibility with regulators depends on not overclaiming.</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“Measure adoption, outcome and system-level readiness — not convenings held or PDFs shipped.”</w:t>
      </w:r>
    </w:p>
    <w:p>
      <w:pPr>
        <w:pStyle w:val="Heading2"/>
        <w:spacing w:after="100" w:before="220"/>
      </w:pPr>
      <w:r>
        <w:rPr>
          <w:rFonts w:ascii="Calibri" w:cs="Calibri" w:eastAsia="Calibri" w:hAnsi="Calibri"/>
          <w:b/>
          <w:bCs/>
          <w:color w:val="2F5D8A"/>
          <w:sz w:val="25"/>
          <w:szCs w:val="25"/>
        </w:rPr>
        <w:t xml:space="preserve">6.C The WEF model and the role</w:t>
      </w:r>
    </w:p>
    <w:p>
      <w:pPr>
        <w:spacing w:after="60" w:before="150" w:line="264"/>
      </w:pPr>
      <w:r>
        <w:rPr>
          <w:rFonts w:ascii="Calibri" w:cs="Calibri" w:eastAsia="Calibri" w:hAnsi="Calibri"/>
          <w:b/>
          <w:bCs/>
          <w:color w:val="1F2A44"/>
          <w:sz w:val="21"/>
          <w:szCs w:val="21"/>
        </w:rPr>
        <w:t xml:space="preserve">Q11. The Forum can’t make law. So what’s the point of this work?</w:t>
      </w:r>
    </w:p>
    <w:p>
      <w:pPr>
        <w:spacing w:after="100" w:line="272"/>
        <w:jc w:val="both"/>
      </w:pPr>
      <w:r>
        <w:rPr>
          <w:rFonts w:ascii="Georgia" w:cs="Georgia" w:eastAsia="Georgia" w:hAnsi="Georgia"/>
          <w:color w:val="1A1A1A"/>
          <w:sz w:val="21"/>
          <w:szCs w:val="21"/>
        </w:rPr>
        <w:t xml:space="preserve">The Forum’s power is convening, not legislating — and for frontier tech that’s often the more useful power. The binding-law venues are gridlocked or fragmented; what’s missing is trusted space where regulators, companies, scientists and civil society can align </w:t>
      </w:r>
      <w:r>
        <w:rPr>
          <w:rFonts w:ascii="Georgia" w:cs="Georgia" w:eastAsia="Georgia" w:hAnsi="Georgia"/>
          <w:i/>
          <w:iCs/>
          <w:color w:val="1A1A1A"/>
          <w:sz w:val="21"/>
          <w:szCs w:val="21"/>
        </w:rPr>
        <w:t xml:space="preserve">before</w:t>
      </w:r>
      <w:r>
        <w:rPr>
          <w:rFonts w:ascii="Georgia" w:cs="Georgia" w:eastAsia="Georgia" w:hAnsi="Georgia"/>
          <w:color w:val="1A1A1A"/>
          <w:sz w:val="21"/>
          <w:szCs w:val="21"/>
        </w:rPr>
        <w:t xml:space="preserve"> positions harden, and knowledge products that governments choose to adopt through their own accountable processes. My job isn’t to write the rules — it’s to build the conditions in which better rules get made and to make adoption easy: shared frameworks, evidence from pilots, and interoperability across borders. Convening is the comparative advantage precisely where formal authority is fragmented.</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“We don’t make the rules — we build the conditions in which better rules get made and adopted.”</w:t>
      </w:r>
    </w:p>
    <w:p>
      <w:pPr>
        <w:spacing w:after="60" w:before="150" w:line="264"/>
      </w:pPr>
      <w:r>
        <w:rPr>
          <w:rFonts w:ascii="Calibri" w:cs="Calibri" w:eastAsia="Calibri" w:hAnsi="Calibri"/>
          <w:b/>
          <w:bCs/>
          <w:color w:val="1F2A44"/>
          <w:sz w:val="21"/>
          <w:szCs w:val="21"/>
        </w:rPr>
        <w:t xml:space="preserve">Q12. Critics say multistakeholder governance lets corporations write their own rules. Your response?</w:t>
      </w:r>
    </w:p>
    <w:p>
      <w:pPr>
        <w:spacing w:after="100" w:line="272"/>
        <w:jc w:val="both"/>
      </w:pPr>
      <w:r>
        <w:rPr>
          <w:rFonts w:ascii="Georgia" w:cs="Georgia" w:eastAsia="Georgia" w:hAnsi="Georgia"/>
          <w:color w:val="1A1A1A"/>
          <w:sz w:val="21"/>
          <w:szCs w:val="21"/>
        </w:rPr>
        <w:t xml:space="preserve">It’s a fair critique and I’d rather engage it than dodge it. Multistakeholder convening can dilute democratic accountability and over-weight corporate voice if it’s done badly. So the legitimacy has to be earned, not assumed: genuine inclusion — especially the Global South and civil society, not just the largest firms — transparency about who’s in the room and why, and outputs that governments adopt through their own democratic processes rather than in place of them. I see multistakeholder work as a complement to multilateralism, not a substitute. A frontier-tech workstream that’s only industry and rich-world regulators would fail on its own terms.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“Legitimacy in multistakeholder work is earned through inclusion and transparency — it’s a complement to democracy, never a replacement.”</w:t>
      </w:r>
    </w:p>
    <w:p>
      <w:pPr>
        <w:spacing w:after="60" w:before="150" w:line="264"/>
      </w:pPr>
      <w:r>
        <w:rPr>
          <w:rFonts w:ascii="Calibri" w:cs="Calibri" w:eastAsia="Calibri" w:hAnsi="Calibri"/>
          <w:b/>
          <w:bCs/>
          <w:color w:val="1F2A44"/>
          <w:sz w:val="21"/>
          <w:szCs w:val="21"/>
        </w:rPr>
        <w:t xml:space="preserve">Q13. What do you know about GRIP, and how does your workstream fit?</w:t>
      </w:r>
    </w:p>
    <w:p>
      <w:pPr>
        <w:spacing w:after="100" w:line="272"/>
        <w:jc w:val="both"/>
      </w:pPr>
      <w:r>
        <w:rPr>
          <w:rFonts w:ascii="Georgia" w:cs="Georgia" w:eastAsia="Georgia" w:hAnsi="Georgia"/>
          <w:color w:val="1A1A1A"/>
          <w:sz w:val="21"/>
          <w:szCs w:val="21"/>
        </w:rPr>
        <w:t xml:space="preserve">GRIP is the Forum’s Global Regulatory Innovation Platform, launched in 2025 with the UAE, built on the idea that in the Intelligent Age regulation is a strategic lever for competitiveness, not just a brake. It has a two-year roadmap and three deliverables: a Global Regulatory Playbook, a Regulatory Future Readiness Index, and a Global Regulatory Innovation Hub for testing rules before scale — with an initial focus on AI, health and digital finance. My workstream takes that model upstream into the earlier-stage frontier domains — quantum, autonomous systems, biotech, planetary systems — where the rules barely exist. So I’d be extending GRIP’s proven method into the hardest, least-governed frontier, in partnership with the Centre for Frontier Technologies.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“I’d take GRIP’s proven method upstream, into the frontiers where the rulebook is still blank.”</w:t>
      </w:r>
    </w:p>
    <w:p>
      <w:pPr>
        <w:spacing w:after="60" w:before="150" w:line="264"/>
      </w:pPr>
      <w:r>
        <w:rPr>
          <w:rFonts w:ascii="Calibri" w:cs="Calibri" w:eastAsia="Calibri" w:hAnsi="Calibri"/>
          <w:b/>
          <w:bCs/>
          <w:color w:val="1F2A44"/>
          <w:sz w:val="21"/>
          <w:szCs w:val="21"/>
        </w:rPr>
        <w:t xml:space="preserve">Q14. How would you work across Centres without stepping on the AI, cyber and frontier-tech teams?</w:t>
      </w:r>
    </w:p>
    <w:p>
      <w:pPr>
        <w:spacing w:after="100" w:line="272"/>
        <w:jc w:val="both"/>
      </w:pPr>
      <w:r>
        <w:rPr>
          <w:rFonts w:ascii="Georgia" w:cs="Georgia" w:eastAsia="Georgia" w:hAnsi="Georgia"/>
          <w:color w:val="1A1A1A"/>
          <w:sz w:val="21"/>
          <w:szCs w:val="21"/>
        </w:rPr>
        <w:t xml:space="preserve">By defining my value as connective, not competitive. The frontier is converging — AI-bio, AI-quantum, embodied AI — and convergence is exactly what siloed teams miss, so a cross-cutting regulatory-innovation lens is additive to their deep domain work, not a rival to it. Practically: I’d co-own outputs, credit generously, bring the regulatory-innovation craft they don’t specialise in, and make them look good to their own stakeholders. In a matrix you earn the right to convene by being the person who makes everyone else’s work more usable — turning their technical depth into governance that ships.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“In a matrix you don’t win by owning turf — you win by making everyone else’s work more usable.”</w:t>
      </w:r>
    </w:p>
    <w:p>
      <w:pPr>
        <w:spacing w:after="60" w:before="150" w:line="264"/>
      </w:pPr>
      <w:r>
        <w:rPr>
          <w:rFonts w:ascii="Calibri" w:cs="Calibri" w:eastAsia="Calibri" w:hAnsi="Calibri"/>
          <w:b/>
          <w:bCs/>
          <w:color w:val="1F2A44"/>
          <w:sz w:val="21"/>
          <w:szCs w:val="21"/>
        </w:rPr>
        <w:t xml:space="preserve">Q15. What makes a Forum knowledge product actually influential rather than shelf-ware?</w:t>
      </w:r>
    </w:p>
    <w:p>
      <w:pPr>
        <w:spacing w:after="100" w:line="272"/>
        <w:jc w:val="both"/>
      </w:pPr>
      <w:r>
        <w:rPr>
          <w:rFonts w:ascii="Georgia" w:cs="Georgia" w:eastAsia="Georgia" w:hAnsi="Georgia"/>
          <w:color w:val="1A1A1A"/>
          <w:sz w:val="21"/>
          <w:szCs w:val="21"/>
        </w:rPr>
        <w:t xml:space="preserve">Three things. It has to be co-created with the people who’ll use it — regulators and industry in the room from the outline, not just the launch — so they own it. It has to be action-oriented: frameworks, checklists, model provisions and case studies a ministry can pick up on Monday, not just analysis. And it has to be well-timed to a decision window — landing when a government is actually writing the rule. The Forum’s best products, like the Agile Regulation toolkit, work because they’re practical instruments regulators reach for, not essays. Influence is designed in from the scoping stage.</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“Influence is engineered at the scoping stage — co-created, action-oriented, and timed to a live decision.”</w:t>
      </w:r>
    </w:p>
    <w:p>
      <w:pPr>
        <w:pStyle w:val="Heading2"/>
        <w:spacing w:after="100" w:before="220"/>
      </w:pPr>
      <w:r>
        <w:rPr>
          <w:rFonts w:ascii="Calibri" w:cs="Calibri" w:eastAsia="Calibri" w:hAnsi="Calibri"/>
          <w:b/>
          <w:bCs/>
          <w:color w:val="2F5D8A"/>
          <w:sz w:val="25"/>
          <w:szCs w:val="25"/>
        </w:rPr>
        <w:t xml:space="preserve">6.D Strategy and building from zero</w:t>
      </w:r>
    </w:p>
    <w:p>
      <w:pPr>
        <w:spacing w:after="60" w:before="150" w:line="264"/>
      </w:pPr>
      <w:r>
        <w:rPr>
          <w:rFonts w:ascii="Calibri" w:cs="Calibri" w:eastAsia="Calibri" w:hAnsi="Calibri"/>
          <w:b/>
          <w:bCs/>
          <w:color w:val="1F2A44"/>
          <w:sz w:val="21"/>
          <w:szCs w:val="21"/>
        </w:rPr>
        <w:t xml:space="preserve">Q16. Walk us through your first 100 days building this workstream.</w:t>
      </w:r>
    </w:p>
    <w:p>
      <w:pPr>
        <w:spacing w:after="100" w:line="272"/>
        <w:jc w:val="both"/>
      </w:pPr>
      <w:r>
        <w:rPr>
          <w:rFonts w:ascii="Georgia" w:cs="Georgia" w:eastAsia="Georgia" w:hAnsi="Georgia"/>
          <w:color w:val="1A1A1A"/>
          <w:sz w:val="21"/>
          <w:szCs w:val="21"/>
        </w:rPr>
        <w:t xml:space="preserve">Three phases. Days 1–30, listen and map: interview the CFTI, cyber and AI teams and key external regulators; map the existing GRIP assets I can build on; and produce a landscape of where frontier-tech governance gaps are sharpest. Days 31–60, focus and frame: pick two or three beachhead domains where the gap is real, a partner is willing and the Forum has a right to convene — I’d expect quantum-migration governance and AI-bio biosecurity to score high — and draft a strategy note with a clear thesis and success measures. Days 61–100, prove it: stand up one concrete convening or pilot and one knowledge-product outline, so I have early evidence the model works before asking for scale. Throughout, I’d over-invest in internal relationships, because in a matrix the workstream lives or dies on whether colleagues want to build with me.</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“Listen and map, then focus on two or three beachheads, then ship one concrete proof — evidence before scale.”</w:t>
      </w:r>
    </w:p>
    <w:p>
      <w:pPr>
        <w:spacing w:after="60" w:before="150" w:line="264"/>
      </w:pPr>
      <w:r>
        <w:rPr>
          <w:rFonts w:ascii="Calibri" w:cs="Calibri" w:eastAsia="Calibri" w:hAnsi="Calibri"/>
          <w:b/>
          <w:bCs/>
          <w:color w:val="1F2A44"/>
          <w:sz w:val="21"/>
          <w:szCs w:val="21"/>
        </w:rPr>
        <w:t xml:space="preserve">Q17. You can’t cover five frontier domains at once. How do you prioritise?</w:t>
      </w:r>
    </w:p>
    <w:p>
      <w:pPr>
        <w:spacing w:after="100" w:line="272"/>
        <w:jc w:val="both"/>
      </w:pPr>
      <w:r>
        <w:rPr>
          <w:rFonts w:ascii="Georgia" w:cs="Georgia" w:eastAsia="Georgia" w:hAnsi="Georgia"/>
          <w:color w:val="1A1A1A"/>
          <w:sz w:val="21"/>
          <w:szCs w:val="21"/>
        </w:rPr>
        <w:t xml:space="preserve">With an explicit filter, so prioritisation is defensible, not arbitrary. I’d score candidate domains on four criteria: severity and urgency of the governance gap; the Forum’s right and ability to convene there; partner readiness — is a government or Centre willing to move now; and replicability — will a win here transfer to other domains, which is the whole GRIP promise. I’d start narrow and deep on two or three, bank a visible win, then use that credibility and the reusable model to expand. Trying to do all five at once is how a new workstream produces five shallow reports and no impact.</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“Score the gap, the mandate, partner-readiness and replicability — then go narrow and deep before broad.”</w:t>
      </w:r>
    </w:p>
    <w:p>
      <w:pPr>
        <w:spacing w:after="60" w:before="150" w:line="264"/>
      </w:pPr>
      <w:r>
        <w:rPr>
          <w:rFonts w:ascii="Calibri" w:cs="Calibri" w:eastAsia="Calibri" w:hAnsi="Calibri"/>
          <w:b/>
          <w:bCs/>
          <w:color w:val="1F2A44"/>
          <w:sz w:val="21"/>
          <w:szCs w:val="21"/>
        </w:rPr>
        <w:t xml:space="preserve">Q18. How do you turn a roundtable into actual regulatory impact?</w:t>
      </w:r>
    </w:p>
    <w:p>
      <w:pPr>
        <w:spacing w:after="100" w:line="272"/>
        <w:jc w:val="both"/>
      </w:pPr>
      <w:r>
        <w:rPr>
          <w:rFonts w:ascii="Georgia" w:cs="Georgia" w:eastAsia="Georgia" w:hAnsi="Georgia"/>
          <w:color w:val="1A1A1A"/>
          <w:sz w:val="21"/>
          <w:szCs w:val="21"/>
        </w:rPr>
        <w:t xml:space="preserve">By designing backwards from the outcome, not the event. Before any convening I’d ask: what specific decision or commitment do we want a named actor to make, and what would they need to say yes — evidence, political cover, a ready-made instrument? Then the roundtable is engineered to produce that: the right people with authority in the room, a concrete draft on the table rather than an open discussion, and a follow-through mechanism — a pilot, a commitment, a working group with a mandate — so momentum survives the meeting. Dialogue becomes impact only when it’s wired to a decision and someone owns the follow-up.</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“Design backwards from the decision you want made — the convening is the means, never the deliverable.”</w:t>
      </w:r>
    </w:p>
    <w:p>
      <w:pPr>
        <w:spacing w:after="60" w:before="150" w:line="264"/>
      </w:pPr>
      <w:r>
        <w:rPr>
          <w:rFonts w:ascii="Calibri" w:cs="Calibri" w:eastAsia="Calibri" w:hAnsi="Calibri"/>
          <w:b/>
          <w:bCs/>
          <w:color w:val="1F2A44"/>
          <w:sz w:val="21"/>
          <w:szCs w:val="21"/>
        </w:rPr>
        <w:t xml:space="preserve">Q19. What’s your theory for why a governance model can be ‘replicable across jurisdictions’?</w:t>
      </w:r>
    </w:p>
    <w:p>
      <w:pPr>
        <w:spacing w:after="100" w:line="272"/>
        <w:jc w:val="both"/>
      </w:pPr>
      <w:r>
        <w:rPr>
          <w:rFonts w:ascii="Georgia" w:cs="Georgia" w:eastAsia="Georgia" w:hAnsi="Georgia"/>
          <w:color w:val="1A1A1A"/>
          <w:sz w:val="21"/>
          <w:szCs w:val="21"/>
        </w:rPr>
        <w:t xml:space="preserve">Because the regulatory patterns rhyme even when the science doesn’t. A sandbox, a risk tier, an outcome-based safety case, a soft-law-to-hard-law pipeline — these are transferable structures that worked in fintech, then AI, and can work in quantum or biotech, because they solve the same underlying problem: acting under uncertainty. So a ‘replicable model’ isn’t a copy-paste rulebook; it’s a reusable method plus a set of adaptable templates, with the local calibration — risk appetite, legal system, capacity — left to each jurisdiction. That’s exactly why one person who’s expert in the </w:t>
      </w:r>
      <w:r>
        <w:rPr>
          <w:rFonts w:ascii="Georgia" w:cs="Georgia" w:eastAsia="Georgia" w:hAnsi="Georgia"/>
          <w:i/>
          <w:iCs/>
          <w:color w:val="1A1A1A"/>
          <w:sz w:val="21"/>
          <w:szCs w:val="21"/>
        </w:rPr>
        <w:t xml:space="preserve">craft</w:t>
      </w:r>
      <w:r>
        <w:rPr>
          <w:rFonts w:ascii="Georgia" w:cs="Georgia" w:eastAsia="Georgia" w:hAnsi="Georgia"/>
          <w:color w:val="1A1A1A"/>
          <w:sz w:val="21"/>
          <w:szCs w:val="21"/>
        </w:rPr>
        <w:t xml:space="preserve"> can add value across five very different domains.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“You don’t export rules — you export methods; the regulatory patterns rhyme even when the science doesn’t.”</w:t>
      </w:r>
    </w:p>
    <w:p>
      <w:pPr>
        <w:pStyle w:val="Heading2"/>
        <w:spacing w:after="100" w:before="220"/>
      </w:pPr>
      <w:r>
        <w:rPr>
          <w:rFonts w:ascii="Calibri" w:cs="Calibri" w:eastAsia="Calibri" w:hAnsi="Calibri"/>
          <w:b/>
          <w:bCs/>
          <w:color w:val="2F5D8A"/>
          <w:sz w:val="25"/>
          <w:szCs w:val="25"/>
        </w:rPr>
        <w:t xml:space="preserve">6.E Stakeholder, diplomacy and behavioural</w:t>
      </w:r>
    </w:p>
    <w:p>
      <w:pPr>
        <w:spacing w:after="60" w:before="150" w:line="264"/>
      </w:pPr>
      <w:r>
        <w:rPr>
          <w:rFonts w:ascii="Calibri" w:cs="Calibri" w:eastAsia="Calibri" w:hAnsi="Calibri"/>
          <w:b/>
          <w:bCs/>
          <w:color w:val="1F2A44"/>
          <w:sz w:val="21"/>
          <w:szCs w:val="21"/>
        </w:rPr>
        <w:t xml:space="preserve">Q20. You’re in a room with a regulator who wants strict rules and a founder who wants none. How do you move them?</w:t>
      </w:r>
    </w:p>
    <w:p>
      <w:pPr>
        <w:spacing w:after="100" w:line="272"/>
        <w:jc w:val="both"/>
      </w:pPr>
      <w:r>
        <w:rPr>
          <w:rFonts w:ascii="Georgia" w:cs="Georgia" w:eastAsia="Georgia" w:hAnsi="Georgia"/>
          <w:color w:val="1A1A1A"/>
          <w:sz w:val="21"/>
          <w:szCs w:val="21"/>
        </w:rPr>
        <w:t xml:space="preserve">I’d reframe from positions to shared interest. Both actually want the same thing at one level — a market that’s trusted enough to grow — they just fear different failure modes: the regulator fears harm, the founder fears being strangled or stranded by uncertainty. I’d name that explicitly, then offer an instrument that serves both: a sandbox gives the founder a legal path to test and the regulator real evidence and oversight before committing to permanent rules. My job in that room isn’t to split the difference; it’s to find the design where both get their core need met, and to be the trusted broker neither fully is.</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“Move them from positions to the shared interest — a trusted market — then find the instrument that serves both fears.”</w:t>
      </w:r>
    </w:p>
    <w:p>
      <w:pPr>
        <w:spacing w:after="60" w:before="150" w:line="264"/>
      </w:pPr>
      <w:r>
        <w:rPr>
          <w:rFonts w:ascii="Calibri" w:cs="Calibri" w:eastAsia="Calibri" w:hAnsi="Calibri"/>
          <w:b/>
          <w:bCs/>
          <w:color w:val="1F2A44"/>
          <w:sz w:val="21"/>
          <w:szCs w:val="21"/>
        </w:rPr>
        <w:t xml:space="preserve">Q21. How do you build credibility with a senior regulator when you’re not a domain expert?</w:t>
      </w:r>
    </w:p>
    <w:p>
      <w:pPr>
        <w:spacing w:after="100" w:line="272"/>
        <w:jc w:val="both"/>
      </w:pPr>
      <w:r>
        <w:rPr>
          <w:rFonts w:ascii="Georgia" w:cs="Georgia" w:eastAsia="Georgia" w:hAnsi="Georgia"/>
          <w:color w:val="1A1A1A"/>
          <w:sz w:val="21"/>
          <w:szCs w:val="21"/>
        </w:rPr>
        <w:t xml:space="preserve">By being genuinely expert in what I </w:t>
      </w:r>
      <w:r>
        <w:rPr>
          <w:rFonts w:ascii="Georgia" w:cs="Georgia" w:eastAsia="Georgia" w:hAnsi="Georgia"/>
          <w:i/>
          <w:iCs/>
          <w:color w:val="1A1A1A"/>
          <w:sz w:val="21"/>
          <w:szCs w:val="21"/>
        </w:rPr>
        <w:t xml:space="preserve">am</w:t>
      </w:r>
      <w:r>
        <w:rPr>
          <w:rFonts w:ascii="Georgia" w:cs="Georgia" w:eastAsia="Georgia" w:hAnsi="Georgia"/>
          <w:color w:val="1A1A1A"/>
          <w:sz w:val="21"/>
          <w:szCs w:val="21"/>
        </w:rPr>
        <w:t xml:space="preserve"> there to offer — the regulatory-innovation craft and the convening — and honest about what I’m not. Senior regulators don’t need me to know more quantum physics than their scientists; they need someone who can bring the right people together, has seen how other jurisdictions solved analogous problems, and can turn their intent into a workable instrument. Credibility comes from listening first, adding a comparative or design insight they didn’t have, and never overclaiming. The fastest way to lose a regulator is to bluff depth you don’t have; the fastest way to earn one is to make their job easier.</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“Be expert in the craft, humble on the science, and make the regulator’s job easier — credibility follows.”</w:t>
      </w:r>
    </w:p>
    <w:p>
      <w:pPr>
        <w:spacing w:after="60" w:before="150" w:line="264"/>
      </w:pPr>
      <w:r>
        <w:rPr>
          <w:rFonts w:ascii="Calibri" w:cs="Calibri" w:eastAsia="Calibri" w:hAnsi="Calibri"/>
          <w:b/>
          <w:bCs/>
          <w:color w:val="1F2A44"/>
          <w:sz w:val="21"/>
          <w:szCs w:val="21"/>
        </w:rPr>
        <w:t xml:space="preserve">Q22. Tell us about a time you built something from nothing.</w:t>
      </w:r>
    </w:p>
    <w:p>
      <w:pPr>
        <w:spacing w:after="100" w:line="272"/>
        <w:jc w:val="both"/>
      </w:pPr>
      <w:r>
        <w:rPr>
          <w:rFonts w:ascii="Georgia" w:cs="Georgia" w:eastAsia="Georgia" w:hAnsi="Georgia"/>
          <w:color w:val="1A1A1A"/>
          <w:sz w:val="21"/>
          <w:szCs w:val="21"/>
        </w:rPr>
        <w:t xml:space="preserve">[Your STAR story here.] Structure it as: the gap or opportunity nobody owned; how you framed a thesis and won the first believers with limited authority; the scrappy first proof that made it real; how you turned that into a repeatable model and scaled it; and the measurable outcome. Land the transferable point explicitly: ‘that’s the same build-from-zero, earn-the-mandate, prove-then-scale pattern this workstream needs.’ Prepare two versions — one policy/partnership-led, one product/programme-led — and pick based on which panelist is leading.</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“Frame the gap nobody owned, win first believers without authority, prove it small, then make it repeatable.”</w:t>
      </w:r>
    </w:p>
    <w:p>
      <w:pPr>
        <w:spacing w:after="60" w:before="150" w:line="264"/>
      </w:pPr>
      <w:r>
        <w:rPr>
          <w:rFonts w:ascii="Calibri" w:cs="Calibri" w:eastAsia="Calibri" w:hAnsi="Calibri"/>
          <w:b/>
          <w:bCs/>
          <w:color w:val="1F2A44"/>
          <w:sz w:val="21"/>
          <w:szCs w:val="21"/>
        </w:rPr>
        <w:t xml:space="preserve">Q23. How do you make sure the Global South is genuinely in the room, not just cc’d?</w:t>
      </w:r>
    </w:p>
    <w:p>
      <w:pPr>
        <w:spacing w:after="100" w:line="272"/>
        <w:jc w:val="both"/>
      </w:pPr>
      <w:r>
        <w:rPr>
          <w:rFonts w:ascii="Georgia" w:cs="Georgia" w:eastAsia="Georgia" w:hAnsi="Georgia"/>
          <w:color w:val="1A1A1A"/>
          <w:sz w:val="21"/>
          <w:szCs w:val="21"/>
        </w:rPr>
        <w:t xml:space="preserve">By treating it as a design constraint, not a courtesy. Frontier-tech governance built only by wealthy jurisdictions will fail on legitimacy and on substance — the readiness gap, the compute and capacity gap, and the risk of rules that entrench existing advantage are real. So I’d build in Global South co-leadership from scoping, use the C4IR network’s presence in emerging economies, design instruments that work with lower regulatory capacity, and measure representation honestly. Interoperability that ignores most of the world isn’t interoperability. This is also where the Forum’s convening reach is a genuine asset if it’s used deliberately.</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“Inclusion is a design constraint, not a courtesy — rules built by the few fail on both legitimacy and substance.”</w:t>
      </w:r>
    </w:p>
    <w:p>
      <w:pPr>
        <w:spacing w:after="60" w:before="150" w:line="264"/>
      </w:pPr>
      <w:r>
        <w:rPr>
          <w:rFonts w:ascii="Calibri" w:cs="Calibri" w:eastAsia="Calibri" w:hAnsi="Calibri"/>
          <w:b/>
          <w:bCs/>
          <w:color w:val="1F2A44"/>
          <w:sz w:val="21"/>
          <w:szCs w:val="21"/>
        </w:rPr>
        <w:t xml:space="preserve">Q24. Why this role, and why you?</w:t>
      </w:r>
    </w:p>
    <w:p>
      <w:pPr>
        <w:spacing w:after="100" w:line="272"/>
        <w:jc w:val="both"/>
      </w:pPr>
      <w:r>
        <w:rPr>
          <w:rFonts w:ascii="Georgia" w:cs="Georgia" w:eastAsia="Georgia" w:hAnsi="Georgia"/>
          <w:color w:val="1A1A1A"/>
          <w:sz w:val="21"/>
          <w:szCs w:val="21"/>
        </w:rPr>
        <w:t xml:space="preserve">Because the gap between where technology is going and how we govern it is one of the defining problems of the decade, and this seat sits exactly on it — with the Forum’s convening power and GRIP’s live model behind it. Why me: I’m at my best building the connective tissue between technical, policy and business worlds; I’ve [built X from zero / run complex multistakeholder work at scale]; and while I’m not the deepest specialist in any single frontier technology, that’s not the job — the job is designing regulatory approaches that travel across domains, and being a fast, honest translator between the lab, the ministry and the boardroom. That’s the work I’m most energised by.</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“The job isn’t to be the deepest specialist — it’s to be the translator and model-builder who makes governance travel.”</w:t>
      </w:r>
    </w:p>
    <w:p>
      <w:pPr>
        <w:spacing w:after="60" w:before="150" w:line="264"/>
      </w:pPr>
      <w:r>
        <w:rPr>
          <w:rFonts w:ascii="Calibri" w:cs="Calibri" w:eastAsia="Calibri" w:hAnsi="Calibri"/>
          <w:b/>
          <w:bCs/>
          <w:color w:val="1F2A44"/>
          <w:sz w:val="21"/>
          <w:szCs w:val="21"/>
        </w:rPr>
        <w:t xml:space="preserve">Q25. What would you do if a technology’s risks turned out to be far worse than anticipated after you’d championed a light-touch approach?</w:t>
      </w:r>
    </w:p>
    <w:p>
      <w:pPr>
        <w:spacing w:after="100" w:line="272"/>
        <w:jc w:val="both"/>
      </w:pPr>
      <w:r>
        <w:rPr>
          <w:rFonts w:ascii="Georgia" w:cs="Georgia" w:eastAsia="Georgia" w:hAnsi="Georgia"/>
          <w:color w:val="1A1A1A"/>
          <w:sz w:val="21"/>
          <w:szCs w:val="21"/>
        </w:rPr>
        <w:t xml:space="preserve">I’d treat it as exactly why I build reversibility in from the start. Good regulatory innovation isn’t a bet on being right — it’s instruments designed to be revised: staged rollouts, review triggers, sunset clauses, kill-switches on pilots. If evidence turned worse than expected, the adaptive design should let us tighten fast without having burned the option, and I’d own the call publicly and move — credibility with regulators depends on updating visibly on evidence, not defending a prior position. The failure mode to avoid isn’t being wrong early; it’s being locked in and slow to correct.</w:t>
      </w:r>
    </w:p>
    <w:p>
      <w:pPr>
        <w:spacing w:after="130" w:line="262"/>
      </w:pPr>
      <w:r>
        <w:rPr>
          <w:rFonts w:ascii="Georgia" w:cs="Georgia" w:eastAsia="Georgia" w:hAnsi="Georgia"/>
          <w:b/>
          <w:bCs/>
          <w:i/>
          <w:iCs/>
          <w:color w:val="2F5D8A"/>
          <w:sz w:val="19"/>
          <w:szCs w:val="19"/>
        </w:rPr>
        <w:t xml:space="preserve">Signal phrase — </w:t>
      </w:r>
      <w:r>
        <w:rPr>
          <w:rFonts w:ascii="Georgia" w:cs="Georgia" w:eastAsia="Georgia" w:hAnsi="Georgia"/>
          <w:i/>
          <w:iCs/>
          <w:color w:val="55606E"/>
          <w:sz w:val="19"/>
          <w:szCs w:val="19"/>
        </w:rPr>
        <w:t xml:space="preserve">“I don’t bet on being right — I build instruments that let us be wrong safely and correct fast.”</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7 · Case Studies — Consulting-Style Problems</w:t>
      </w:r>
    </w:p>
    <w:p>
      <w:pPr>
        <w:spacing w:after="200" w:line="288"/>
      </w:pPr>
      <w:r>
        <w:rPr>
          <w:rFonts w:ascii="Georgia" w:cs="Georgia" w:eastAsia="Georgia" w:hAnsi="Georgia"/>
          <w:i/>
          <w:iCs/>
          <w:color w:val="55606E"/>
          <w:sz w:val="22"/>
          <w:szCs w:val="22"/>
        </w:rPr>
        <w:t xml:space="preserve">These are the case questions a panel is likely to pose, each with a structured approach, the framework to use aloud, and a model answer. The meta-skill: state your structure first, reason through trade-offs, and land a clear recommendation. Structure over cleverness.</w:t>
      </w:r>
    </w:p>
    <w:p>
      <w:pPr>
        <w:pStyle w:val="Heading2"/>
        <w:spacing w:after="100" w:before="220"/>
      </w:pPr>
      <w:r>
        <w:rPr>
          <w:rFonts w:ascii="Calibri" w:cs="Calibri" w:eastAsia="Calibri" w:hAnsi="Calibri"/>
          <w:b/>
          <w:bCs/>
          <w:color w:val="2F5D8A"/>
          <w:sz w:val="25"/>
          <w:szCs w:val="25"/>
        </w:rPr>
        <w:t xml:space="preserve">7.1 Case A — Design a sandbox for autonomous delivery in a member state</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“A member government wants to allow autonomous sidewalk-delivery robots but its laws don’t contemplate them. They ask the Forum to help design a regulatory sandbox. Walk us through it.”</w:t>
      </w:r>
    </w:p>
    <w:p>
      <w:pPr>
        <w:pStyle w:val="Heading3"/>
        <w:spacing w:after="70" w:before="160"/>
      </w:pPr>
      <w:r>
        <w:rPr>
          <w:rFonts w:ascii="Calibri" w:cs="Calibri" w:eastAsia="Calibri" w:hAnsi="Calibri"/>
          <w:b/>
          <w:bCs/>
          <w:color w:val="1F2A44"/>
          <w:sz w:val="22"/>
          <w:szCs w:val="22"/>
        </w:rPr>
        <w:t xml:space="preserve">Structure it aloud first</w:t>
      </w:r>
    </w:p>
    <w:p>
      <w:pPr>
        <w:pStyle w:val="ListParagraph"/>
        <w:numPr>
          <w:ilvl w:val="0"/>
          <w:numId w:val="2"/>
        </w:numPr>
        <w:spacing w:after="70" w:line="268"/>
      </w:pPr>
      <w:r>
        <w:rPr>
          <w:rFonts w:ascii="Georgia" w:cs="Georgia" w:eastAsia="Georgia" w:hAnsi="Georgia"/>
          <w:b/>
          <w:bCs/>
          <w:color w:val="1A1A1A"/>
          <w:sz w:val="21"/>
          <w:szCs w:val="21"/>
        </w:rPr>
        <w:t xml:space="preserve">Objective and success measures</w:t>
      </w:r>
      <w:r>
        <w:rPr>
          <w:rFonts w:ascii="Georgia" w:cs="Georgia" w:eastAsia="Georgia" w:hAnsi="Georgia"/>
          <w:color w:val="1A1A1A"/>
          <w:sz w:val="21"/>
          <w:szCs w:val="21"/>
        </w:rPr>
        <w:t xml:space="preserve"> — what is the government actually trying to learn/achieve (safe deployment? evidence for permanent rules? investment?), and how will we know it worked.</w:t>
      </w:r>
    </w:p>
    <w:p>
      <w:pPr>
        <w:pStyle w:val="ListParagraph"/>
        <w:numPr>
          <w:ilvl w:val="0"/>
          <w:numId w:val="2"/>
        </w:numPr>
        <w:spacing w:after="70" w:line="268"/>
      </w:pPr>
      <w:r>
        <w:rPr>
          <w:rFonts w:ascii="Georgia" w:cs="Georgia" w:eastAsia="Georgia" w:hAnsi="Georgia"/>
          <w:b/>
          <w:bCs/>
          <w:color w:val="1A1A1A"/>
          <w:sz w:val="21"/>
          <w:szCs w:val="21"/>
        </w:rPr>
        <w:t xml:space="preserve">Scope and eligibility</w:t>
      </w:r>
      <w:r>
        <w:rPr>
          <w:rFonts w:ascii="Georgia" w:cs="Georgia" w:eastAsia="Georgia" w:hAnsi="Georgia"/>
          <w:color w:val="1A1A1A"/>
          <w:sz w:val="21"/>
          <w:szCs w:val="21"/>
        </w:rPr>
        <w:t xml:space="preserve"> — which robots, which pavements, which operators; caps on numbers and geography (geofencing).</w:t>
      </w:r>
    </w:p>
    <w:p>
      <w:pPr>
        <w:pStyle w:val="ListParagraph"/>
        <w:numPr>
          <w:ilvl w:val="0"/>
          <w:numId w:val="2"/>
        </w:numPr>
        <w:spacing w:after="70" w:line="268"/>
      </w:pPr>
      <w:r>
        <w:rPr>
          <w:rFonts w:ascii="Georgia" w:cs="Georgia" w:eastAsia="Georgia" w:hAnsi="Georgia"/>
          <w:b/>
          <w:bCs/>
          <w:color w:val="1A1A1A"/>
          <w:sz w:val="21"/>
          <w:szCs w:val="21"/>
        </w:rPr>
        <w:t xml:space="preserve">Relaxations and safeguards</w:t>
      </w:r>
      <w:r>
        <w:rPr>
          <w:rFonts w:ascii="Georgia" w:cs="Georgia" w:eastAsia="Georgia" w:hAnsi="Georgia"/>
          <w:color w:val="1A1A1A"/>
          <w:sz w:val="21"/>
          <w:szCs w:val="21"/>
        </w:rPr>
        <w:t xml:space="preserve"> — which rules are waived, and the guardrails in exchange: insurance, incident reporting, speed/weight limits, human oversight, public notice, data-sharing.</w:t>
      </w:r>
    </w:p>
    <w:p>
      <w:pPr>
        <w:pStyle w:val="ListParagraph"/>
        <w:numPr>
          <w:ilvl w:val="0"/>
          <w:numId w:val="2"/>
        </w:numPr>
        <w:spacing w:after="70" w:line="268"/>
      </w:pPr>
      <w:r>
        <w:rPr>
          <w:rFonts w:ascii="Georgia" w:cs="Georgia" w:eastAsia="Georgia" w:hAnsi="Georgia"/>
          <w:b/>
          <w:bCs/>
          <w:color w:val="1A1A1A"/>
          <w:sz w:val="21"/>
          <w:szCs w:val="21"/>
        </w:rPr>
        <w:t xml:space="preserve">Governance and duration</w:t>
      </w:r>
      <w:r>
        <w:rPr>
          <w:rFonts w:ascii="Georgia" w:cs="Georgia" w:eastAsia="Georgia" w:hAnsi="Georgia"/>
          <w:color w:val="1A1A1A"/>
          <w:sz w:val="21"/>
          <w:szCs w:val="21"/>
        </w:rPr>
        <w:t xml:space="preserve"> — who supervises, time limit, evaluation gates, and the exit/graduation path into permanent rules.</w:t>
      </w:r>
    </w:p>
    <w:p>
      <w:pPr>
        <w:pStyle w:val="ListParagraph"/>
        <w:numPr>
          <w:ilvl w:val="0"/>
          <w:numId w:val="2"/>
        </w:numPr>
        <w:spacing w:after="70" w:line="268"/>
      </w:pPr>
      <w:r>
        <w:rPr>
          <w:rFonts w:ascii="Georgia" w:cs="Georgia" w:eastAsia="Georgia" w:hAnsi="Georgia"/>
          <w:b/>
          <w:bCs/>
          <w:color w:val="1A1A1A"/>
          <w:sz w:val="21"/>
          <w:szCs w:val="21"/>
        </w:rPr>
        <w:t xml:space="preserve">Codification plan</w:t>
      </w:r>
      <w:r>
        <w:rPr>
          <w:rFonts w:ascii="Georgia" w:cs="Georgia" w:eastAsia="Georgia" w:hAnsi="Georgia"/>
          <w:color w:val="1A1A1A"/>
          <w:sz w:val="21"/>
          <w:szCs w:val="21"/>
        </w:rPr>
        <w:t xml:space="preserve"> — how sandbox learning becomes regulation (the step most people forget).</w:t>
      </w:r>
    </w:p>
    <w:p>
      <w:pPr>
        <w:pStyle w:val="Heading3"/>
        <w:spacing w:after="70" w:before="160"/>
      </w:pPr>
      <w:r>
        <w:rPr>
          <w:rFonts w:ascii="Calibri" w:cs="Calibri" w:eastAsia="Calibri" w:hAnsi="Calibri"/>
          <w:b/>
          <w:bCs/>
          <w:color w:val="1F2A44"/>
          <w:sz w:val="22"/>
          <w:szCs w:val="22"/>
        </w:rPr>
        <w:t xml:space="preserve">Model answer (compressed)</w:t>
      </w:r>
    </w:p>
    <w:p>
      <w:pPr>
        <w:spacing w:after="140" w:line="276"/>
        <w:jc w:val="both"/>
      </w:pPr>
      <w:r>
        <w:rPr>
          <w:rFonts w:ascii="Georgia" w:cs="Georgia" w:eastAsia="Georgia" w:hAnsi="Georgia"/>
          <w:color w:val="1A1A1A"/>
          <w:sz w:val="21"/>
          <w:szCs w:val="21"/>
        </w:rPr>
        <w:t xml:space="preserve">I’d start by pinning the objective — most governments say ‘innovation’ but really need </w:t>
      </w:r>
      <w:r>
        <w:rPr>
          <w:rFonts w:ascii="Georgia" w:cs="Georgia" w:eastAsia="Georgia" w:hAnsi="Georgia"/>
          <w:i/>
          <w:iCs/>
          <w:color w:val="1A1A1A"/>
          <w:sz w:val="21"/>
          <w:szCs w:val="21"/>
        </w:rPr>
        <w:t xml:space="preserve">evidence to write permanent rules</w:t>
      </w:r>
      <w:r>
        <w:rPr>
          <w:rFonts w:ascii="Georgia" w:cs="Georgia" w:eastAsia="Georgia" w:hAnsi="Georgia"/>
          <w:color w:val="1A1A1A"/>
          <w:sz w:val="21"/>
          <w:szCs w:val="21"/>
        </w:rPr>
        <w:t xml:space="preserve">, so I’d design the sandbox as an evidence-generation engine. Eligibility: a defined class of low-speed, weight-limited robots, a handful of operators, geofenced to specific districts with clear signage. In exchange for relaxing the vehicle/pavement rules that don’t fit, I’d require mandatory insurance, real-time incident reporting, a data-sharing agreement so the regulator sees what’s happening, and a human-oversight requirement. A named supervisor, a 12-month term, and evaluation gates at 3/6/12 months. Critically, I’d write the codification plan up front: the sandbox produces a safety-case template and draft permanent rules, so the learning graduates into law rather than evaporating. And I’d bring the city, insurers and disability-access advocates into the design — pavements are shared space, and legitimacy depends on the people who use them being in the room. Trade-off I’d name: move fast enough to matter, but not so fast that an early incident kills public trust in the whole category.</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Reusable sandbox framework — “O-SEE-C”:</w:t>
            </w:r>
            <w:r>
              <w:rPr>
                <w:rFonts w:ascii="Georgia" w:cs="Georgia" w:eastAsia="Georgia" w:hAnsi="Georgia"/>
                <w:color w:val="1F2A44"/>
                <w:sz w:val="20"/>
                <w:szCs w:val="20"/>
              </w:rPr>
              <w:t xml:space="preserve"> Objective · Scope &amp; eligibility · Exemptions · safEguards · Codification. Use it for any sandbox case in any domain.</w:t>
            </w:r>
          </w:p>
        </w:tc>
      </w:tr>
    </w:tbl>
    <w:p>
      <w:pPr>
        <w:spacing w:after="80"/>
      </w:pPr>
    </w:p>
    <w:p>
      <w:pPr>
        <w:pStyle w:val="Heading2"/>
        <w:spacing w:after="100" w:before="220"/>
      </w:pPr>
      <w:r>
        <w:rPr>
          <w:rFonts w:ascii="Calibri" w:cs="Calibri" w:eastAsia="Calibri" w:hAnsi="Calibri"/>
          <w:b/>
          <w:bCs/>
          <w:color w:val="2F5D8A"/>
          <w:sz w:val="25"/>
          <w:szCs w:val="25"/>
        </w:rPr>
        <w:t xml:space="preserve">7.2 Case B — Three jurisdictions diverge on AI; what’s the Forum’s play?</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“The EU, US and China are heading toward incompatible AI rules. Compliance is fragmenting. What can the Forum realistically do?”</w:t>
      </w:r>
    </w:p>
    <w:p>
      <w:pPr>
        <w:pStyle w:val="Heading3"/>
        <w:spacing w:after="70" w:before="160"/>
      </w:pPr>
      <w:r>
        <w:rPr>
          <w:rFonts w:ascii="Calibri" w:cs="Calibri" w:eastAsia="Calibri" w:hAnsi="Calibri"/>
          <w:b/>
          <w:bCs/>
          <w:color w:val="1F2A44"/>
          <w:sz w:val="22"/>
          <w:szCs w:val="22"/>
        </w:rPr>
        <w:t xml:space="preserve">Approach</w:t>
      </w:r>
    </w:p>
    <w:p>
      <w:pPr>
        <w:spacing w:after="140" w:line="276"/>
        <w:jc w:val="both"/>
      </w:pPr>
      <w:r>
        <w:rPr>
          <w:rFonts w:ascii="Georgia" w:cs="Georgia" w:eastAsia="Georgia" w:hAnsi="Georgia"/>
          <w:color w:val="1A1A1A"/>
          <w:sz w:val="21"/>
          <w:szCs w:val="21"/>
        </w:rPr>
        <w:t xml:space="preserve">Diagnose honestly, then find the achievable win. Full harmonisation is off the table — the three models reflect genuinely different values (rights, markets, control), and no convener can override that. So I’d aim not at </w:t>
      </w:r>
      <w:r>
        <w:rPr>
          <w:rFonts w:ascii="Georgia" w:cs="Georgia" w:eastAsia="Georgia" w:hAnsi="Georgia"/>
          <w:i/>
          <w:iCs/>
          <w:color w:val="1A1A1A"/>
          <w:sz w:val="21"/>
          <w:szCs w:val="21"/>
        </w:rPr>
        <w:t xml:space="preserve">identical rules</w:t>
      </w:r>
      <w:r>
        <w:rPr>
          <w:rFonts w:ascii="Georgia" w:cs="Georgia" w:eastAsia="Georgia" w:hAnsi="Georgia"/>
          <w:color w:val="1A1A1A"/>
          <w:sz w:val="21"/>
          <w:szCs w:val="21"/>
        </w:rPr>
        <w:t xml:space="preserve"> but at </w:t>
      </w:r>
      <w:r>
        <w:rPr>
          <w:rFonts w:ascii="Georgia" w:cs="Georgia" w:eastAsia="Georgia" w:hAnsi="Georgia"/>
          <w:b/>
          <w:bCs/>
          <w:color w:val="1A1A1A"/>
          <w:sz w:val="21"/>
          <w:szCs w:val="21"/>
        </w:rPr>
        <w:t xml:space="preserve">interoperability</w:t>
      </w:r>
      <w:r>
        <w:rPr>
          <w:rFonts w:ascii="Georgia" w:cs="Georgia" w:eastAsia="Georgia" w:hAnsi="Georgia"/>
          <w:color w:val="1A1A1A"/>
          <w:sz w:val="21"/>
          <w:szCs w:val="21"/>
        </w:rPr>
        <w:t xml:space="preserve">: rules different in form but compatible in effect. Three moves. </w:t>
      </w:r>
      <w:r>
        <w:rPr>
          <w:rFonts w:ascii="Georgia" w:cs="Georgia" w:eastAsia="Georgia" w:hAnsi="Georgia"/>
          <w:b/>
          <w:bCs/>
          <w:color w:val="1A1A1A"/>
          <w:sz w:val="21"/>
          <w:szCs w:val="21"/>
        </w:rPr>
        <w:t xml:space="preserve">First, target the technical layer where alignment is realistic</w:t>
      </w:r>
      <w:r>
        <w:rPr>
          <w:rFonts w:ascii="Georgia" w:cs="Georgia" w:eastAsia="Georgia" w:hAnsi="Georgia"/>
          <w:color w:val="1A1A1A"/>
          <w:sz w:val="21"/>
          <w:szCs w:val="21"/>
        </w:rPr>
        <w:t xml:space="preserve"> — shared standards, evaluation methods and terminology (via ISO/IEC, NIST-style frameworks, the G7 process) — because engineers agree more easily than legislators. </w:t>
      </w:r>
      <w:r>
        <w:rPr>
          <w:rFonts w:ascii="Georgia" w:cs="Georgia" w:eastAsia="Georgia" w:hAnsi="Georgia"/>
          <w:b/>
          <w:bCs/>
          <w:color w:val="1A1A1A"/>
          <w:sz w:val="21"/>
          <w:szCs w:val="21"/>
        </w:rPr>
        <w:t xml:space="preserve">Second, build a crosswalk</w:t>
      </w:r>
      <w:r>
        <w:rPr>
          <w:rFonts w:ascii="Georgia" w:cs="Georgia" w:eastAsia="Georgia" w:hAnsi="Georgia"/>
          <w:color w:val="1A1A1A"/>
          <w:sz w:val="21"/>
          <w:szCs w:val="21"/>
        </w:rPr>
        <w:t xml:space="preserve"> — a practical mapping so a firm compliant in one regime knows what it still needs elsewhere, cutting fragmentation cost even without harmonised law; this is a natural GRIP playbook. </w:t>
      </w:r>
      <w:r>
        <w:rPr>
          <w:rFonts w:ascii="Georgia" w:cs="Georgia" w:eastAsia="Georgia" w:hAnsi="Georgia"/>
          <w:b/>
          <w:bCs/>
          <w:color w:val="1A1A1A"/>
          <w:sz w:val="21"/>
          <w:szCs w:val="21"/>
        </w:rPr>
        <w:t xml:space="preserve">Third, convene the coalition of the willing</w:t>
      </w:r>
      <w:r>
        <w:rPr>
          <w:rFonts w:ascii="Georgia" w:cs="Georgia" w:eastAsia="Georgia" w:hAnsi="Georgia"/>
          <w:color w:val="1A1A1A"/>
          <w:sz w:val="21"/>
          <w:szCs w:val="21"/>
        </w:rPr>
        <w:t xml:space="preserve"> — a plurilateral group of like-minded regulators to align where they can, rather than waiting for universal consensus. I’d be explicit about the limit: the Forum can raise the floor and reduce friction, but it can’t make Beijing and Brussels agree on values, and pretending otherwise would cost credibility.</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Framework — the interoperability ladder:</w:t>
            </w:r>
            <w:r>
              <w:rPr>
                <w:rFonts w:ascii="Georgia" w:cs="Georgia" w:eastAsia="Georgia" w:hAnsi="Georgia"/>
                <w:color w:val="1F2A44"/>
                <w:sz w:val="20"/>
                <w:szCs w:val="20"/>
              </w:rPr>
              <w:t xml:space="preserve"> shared </w:t>
            </w:r>
            <w:r>
              <w:rPr>
                <w:rFonts w:ascii="Georgia" w:cs="Georgia" w:eastAsia="Georgia" w:hAnsi="Georgia"/>
                <w:i/>
                <w:iCs/>
                <w:color w:val="1F2A44"/>
                <w:sz w:val="20"/>
                <w:szCs w:val="20"/>
              </w:rPr>
              <w:t xml:space="preserve">terminology</w:t>
            </w:r>
            <w:r>
              <w:rPr>
                <w:rFonts w:ascii="Georgia" w:cs="Georgia" w:eastAsia="Georgia" w:hAnsi="Georgia"/>
                <w:color w:val="1F2A44"/>
                <w:sz w:val="20"/>
                <w:szCs w:val="20"/>
              </w:rPr>
              <w:t xml:space="preserve"> → shared </w:t>
            </w:r>
            <w:r>
              <w:rPr>
                <w:rFonts w:ascii="Georgia" w:cs="Georgia" w:eastAsia="Georgia" w:hAnsi="Georgia"/>
                <w:i/>
                <w:iCs/>
                <w:color w:val="1F2A44"/>
                <w:sz w:val="20"/>
                <w:szCs w:val="20"/>
              </w:rPr>
              <w:t xml:space="preserve">standards/metrics</w:t>
            </w:r>
            <w:r>
              <w:rPr>
                <w:rFonts w:ascii="Georgia" w:cs="Georgia" w:eastAsia="Georgia" w:hAnsi="Georgia"/>
                <w:color w:val="1F2A44"/>
                <w:sz w:val="20"/>
                <w:szCs w:val="20"/>
              </w:rPr>
              <w:t xml:space="preserve"> → </w:t>
            </w:r>
            <w:r>
              <w:rPr>
                <w:rFonts w:ascii="Georgia" w:cs="Georgia" w:eastAsia="Georgia" w:hAnsi="Georgia"/>
                <w:i/>
                <w:iCs/>
                <w:color w:val="1F2A44"/>
                <w:sz w:val="20"/>
                <w:szCs w:val="20"/>
              </w:rPr>
              <w:t xml:space="preserve">mutual recognition</w:t>
            </w:r>
            <w:r>
              <w:rPr>
                <w:rFonts w:ascii="Georgia" w:cs="Georgia" w:eastAsia="Georgia" w:hAnsi="Georgia"/>
                <w:color w:val="1F2A44"/>
                <w:sz w:val="20"/>
                <w:szCs w:val="20"/>
              </w:rPr>
              <w:t xml:space="preserve"> of conformity assessments → </w:t>
            </w:r>
            <w:r>
              <w:rPr>
                <w:rFonts w:ascii="Georgia" w:cs="Georgia" w:eastAsia="Georgia" w:hAnsi="Georgia"/>
                <w:i/>
                <w:iCs/>
                <w:color w:val="1F2A44"/>
                <w:sz w:val="20"/>
                <w:szCs w:val="20"/>
              </w:rPr>
              <w:t xml:space="preserve">minimum common baselines</w:t>
            </w:r>
            <w:r>
              <w:rPr>
                <w:rFonts w:ascii="Georgia" w:cs="Georgia" w:eastAsia="Georgia" w:hAnsi="Georgia"/>
                <w:color w:val="1F2A44"/>
                <w:sz w:val="20"/>
                <w:szCs w:val="20"/>
              </w:rPr>
              <w:t xml:space="preserve"> → (rarely) harmonised law. Aim as high as the politics allows, no higher.</w:t>
            </w:r>
          </w:p>
        </w:tc>
      </w:tr>
    </w:tbl>
    <w:p>
      <w:pPr>
        <w:spacing w:after="80"/>
      </w:pPr>
    </w:p>
    <w:p>
      <w:pPr>
        <w:pStyle w:val="Heading2"/>
        <w:spacing w:after="100" w:before="220"/>
      </w:pPr>
      <w:r>
        <w:rPr>
          <w:rFonts w:ascii="Calibri" w:cs="Calibri" w:eastAsia="Calibri" w:hAnsi="Calibri"/>
          <w:b/>
          <w:bCs/>
          <w:color w:val="2F5D8A"/>
          <w:sz w:val="25"/>
          <w:szCs w:val="25"/>
        </w:rPr>
        <w:t xml:space="preserve">7.3 Case C — Stand up the frontier-tech workstream from zero</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“You’ve got the job and a blank sheet. What do you build in year one?”</w:t>
      </w:r>
    </w:p>
    <w:p>
      <w:pPr>
        <w:pStyle w:val="Heading3"/>
        <w:spacing w:after="70" w:before="160"/>
      </w:pPr>
      <w:r>
        <w:rPr>
          <w:rFonts w:ascii="Calibri" w:cs="Calibri" w:eastAsia="Calibri" w:hAnsi="Calibri"/>
          <w:b/>
          <w:bCs/>
          <w:color w:val="1F2A44"/>
          <w:sz w:val="22"/>
          <w:szCs w:val="22"/>
        </w:rPr>
        <w:t xml:space="preserve">Model answer</w:t>
      </w:r>
    </w:p>
    <w:p>
      <w:pPr>
        <w:spacing w:after="140" w:line="276"/>
        <w:jc w:val="both"/>
      </w:pPr>
      <w:r>
        <w:rPr>
          <w:rFonts w:ascii="Georgia" w:cs="Georgia" w:eastAsia="Georgia" w:hAnsi="Georgia"/>
          <w:color w:val="1A1A1A"/>
          <w:sz w:val="21"/>
          <w:szCs w:val="21"/>
        </w:rPr>
        <w:t xml:space="preserve">I’d run listen-map / focus-frame / prove-scale (the 100-day plan), then in the back half of year one convert the beachheads into assets. Concretely, by end of year one I’d want: (1) a </w:t>
      </w:r>
      <w:r>
        <w:rPr>
          <w:rFonts w:ascii="Georgia" w:cs="Georgia" w:eastAsia="Georgia" w:hAnsi="Georgia"/>
          <w:b/>
          <w:bCs/>
          <w:color w:val="1A1A1A"/>
          <w:sz w:val="21"/>
          <w:szCs w:val="21"/>
        </w:rPr>
        <w:t xml:space="preserve">strategy and thesis</w:t>
      </w:r>
      <w:r>
        <w:rPr>
          <w:rFonts w:ascii="Georgia" w:cs="Georgia" w:eastAsia="Georgia" w:hAnsi="Georgia"/>
          <w:color w:val="1A1A1A"/>
          <w:sz w:val="21"/>
          <w:szCs w:val="21"/>
        </w:rPr>
        <w:t xml:space="preserve"> signed off across Centres, with explicit success measures; (2) </w:t>
      </w:r>
      <w:r>
        <w:rPr>
          <w:rFonts w:ascii="Georgia" w:cs="Georgia" w:eastAsia="Georgia" w:hAnsi="Georgia"/>
          <w:b/>
          <w:bCs/>
          <w:color w:val="1A1A1A"/>
          <w:sz w:val="21"/>
          <w:szCs w:val="21"/>
        </w:rPr>
        <w:t xml:space="preserve">two beachhead domains</w:t>
      </w:r>
      <w:r>
        <w:rPr>
          <w:rFonts w:ascii="Georgia" w:cs="Georgia" w:eastAsia="Georgia" w:hAnsi="Georgia"/>
          <w:color w:val="1A1A1A"/>
          <w:sz w:val="21"/>
          <w:szCs w:val="21"/>
        </w:rPr>
        <w:t xml:space="preserve"> chosen against a transparent filter — gap severity, mandate to convene, partner readiness, replicability — with quantum-to-PQC migration governance and AI-bio biosecurity as my leading candidates; (3) one </w:t>
      </w:r>
      <w:r>
        <w:rPr>
          <w:rFonts w:ascii="Georgia" w:cs="Georgia" w:eastAsia="Georgia" w:hAnsi="Georgia"/>
          <w:b/>
          <w:bCs/>
          <w:color w:val="1A1A1A"/>
          <w:sz w:val="21"/>
          <w:szCs w:val="21"/>
        </w:rPr>
        <w:t xml:space="preserve">flagship convening</w:t>
      </w:r>
      <w:r>
        <w:rPr>
          <w:rFonts w:ascii="Georgia" w:cs="Georgia" w:eastAsia="Georgia" w:hAnsi="Georgia"/>
          <w:color w:val="1A1A1A"/>
          <w:sz w:val="21"/>
          <w:szCs w:val="21"/>
        </w:rPr>
        <w:t xml:space="preserve"> per beachhead wired to a concrete decision; (4) one </w:t>
      </w:r>
      <w:r>
        <w:rPr>
          <w:rFonts w:ascii="Georgia" w:cs="Georgia" w:eastAsia="Georgia" w:hAnsi="Georgia"/>
          <w:b/>
          <w:bCs/>
          <w:color w:val="1A1A1A"/>
          <w:sz w:val="21"/>
          <w:szCs w:val="21"/>
        </w:rPr>
        <w:t xml:space="preserve">knowledge product</w:t>
      </w:r>
      <w:r>
        <w:rPr>
          <w:rFonts w:ascii="Georgia" w:cs="Georgia" w:eastAsia="Georgia" w:hAnsi="Georgia"/>
          <w:color w:val="1A1A1A"/>
          <w:sz w:val="21"/>
          <w:szCs w:val="21"/>
        </w:rPr>
        <w:t xml:space="preserve"> — a playbook or readiness diagnostic — co-created and launched; and (5) a </w:t>
      </w:r>
      <w:r>
        <w:rPr>
          <w:rFonts w:ascii="Georgia" w:cs="Georgia" w:eastAsia="Georgia" w:hAnsi="Georgia"/>
          <w:b/>
          <w:bCs/>
          <w:color w:val="1A1A1A"/>
          <w:sz w:val="21"/>
          <w:szCs w:val="21"/>
        </w:rPr>
        <w:t xml:space="preserve">reusable model</w:t>
      </w:r>
      <w:r>
        <w:rPr>
          <w:rFonts w:ascii="Georgia" w:cs="Georgia" w:eastAsia="Georgia" w:hAnsi="Georgia"/>
          <w:color w:val="1A1A1A"/>
          <w:sz w:val="21"/>
          <w:szCs w:val="21"/>
        </w:rPr>
        <w:t xml:space="preserve"> documented so the third and fourth domains cost less than the first. The discipline is sequencing: evidence before scale, depth before breadth, and internal coalition before external ambition. I’d rather over-deliver on two domains than float five.</w:t>
      </w:r>
    </w:p>
    <w:tbl>
      <w:tblPr>
        <w:tblW w:type="dxa" w:w="9360"/>
        <w:tblBorders>
          <w:top w:val="single" w:color="C9D3E0" w:sz="2"/>
          <w:left w:val="none"/>
          <w:bottom w:val="single" w:color="C9D3E0" w:sz="2"/>
          <w:right w:val="none"/>
          <w:insideH w:val="single" w:color="C9D3E0" w:sz="2"/>
          <w:insideV w:val="single" w:color="C9D3E0" w:sz="2"/>
        </w:tblBorders>
      </w:tblPr>
      <w:tblGrid>
        <w:gridCol w:w="2760"/>
        <w:gridCol w:w="3300"/>
        <w:gridCol w:w="3300"/>
      </w:tblGrid>
      <w:tr>
        <w:trPr>
          <w:tblHeader/>
        </w:trPr>
        <w:tc>
          <w:tcPr>
            <w:tcW w:type="dxa" w:w="276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Prioritisation filter</w:t>
            </w:r>
          </w:p>
        </w:tc>
        <w:tc>
          <w:tcPr>
            <w:tcW w:type="dxa" w:w="33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Quantum / PQC migration</w:t>
            </w:r>
          </w:p>
        </w:tc>
        <w:tc>
          <w:tcPr>
            <w:tcW w:type="dxa" w:w="3300"/>
            <w:shd w:fill="1F2A44" w:val="clear"/>
            <w:tcMar>
              <w:top w:type="dxa" w:w="60"/>
              <w:left w:type="dxa" w:w="90"/>
              <w:bottom w:type="dxa" w:w="60"/>
              <w:right w:type="dxa" w:w="90"/>
            </w:tcMar>
          </w:tcPr>
          <w:p>
            <w:r>
              <w:rPr>
                <w:rFonts w:ascii="Calibri" w:cs="Calibri" w:eastAsia="Calibri" w:hAnsi="Calibri"/>
                <w:b/>
                <w:bCs/>
                <w:color w:val="FFFFFF"/>
                <w:sz w:val="18"/>
                <w:szCs w:val="18"/>
              </w:rPr>
              <w:t xml:space="preserve">AI-bio biosecurity</w:t>
            </w:r>
          </w:p>
        </w:tc>
      </w:tr>
      <w:tr>
        <w:tc>
          <w:tcPr>
            <w:tcW w:type="dxa" w:w="2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Gap severity &amp; urgency</w:t>
            </w:r>
          </w:p>
        </w:tc>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 migration deadlines looming, ‘harvest now’ live.</w:t>
            </w:r>
          </w:p>
        </w:tc>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Very high — catastrophic-risk tail, screening gap widening.</w:t>
            </w:r>
          </w:p>
        </w:tc>
      </w:tr>
      <w:tr>
        <w:tc>
          <w:tcPr>
            <w:tcW w:type="dxa" w:w="2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Forum’s right to convene</w:t>
            </w:r>
          </w:p>
        </w:tc>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Strong — cross-industry, cross-government.</w:t>
            </w:r>
          </w:p>
        </w:tc>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Strong but sensitive — needs security actors.</w:t>
            </w:r>
          </w:p>
        </w:tc>
      </w:tr>
      <w:tr>
        <w:tc>
          <w:tcPr>
            <w:tcW w:type="dxa" w:w="276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Partner readiness</w:t>
            </w:r>
          </w:p>
        </w:tc>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 governments already mandating migration.</w:t>
            </w:r>
          </w:p>
        </w:tc>
        <w:tc>
          <w:tcPr>
            <w:tcW w:type="dxa" w:w="3300"/>
            <w:shd w:fill="FFFFFF"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Medium — fragmented, security-classified.</w:t>
            </w:r>
          </w:p>
        </w:tc>
      </w:tr>
      <w:tr>
        <w:tc>
          <w:tcPr>
            <w:tcW w:type="dxa" w:w="276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Replicability</w:t>
            </w:r>
          </w:p>
        </w:tc>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 a clean anticipatory-governance template.</w:t>
            </w:r>
          </w:p>
        </w:tc>
        <w:tc>
          <w:tcPr>
            <w:tcW w:type="dxa" w:w="3300"/>
            <w:shd w:fill="F4F7FB" w:val="clear"/>
            <w:tcMar>
              <w:top w:type="dxa" w:w="55"/>
              <w:left w:type="dxa" w:w="90"/>
              <w:bottom w:type="dxa" w:w="55"/>
              <w:right w:type="dxa" w:w="90"/>
            </w:tcMar>
          </w:tcPr>
          <w:p>
            <w:pPr>
              <w:spacing w:line="250"/>
            </w:pPr>
            <w:r>
              <w:rPr>
                <w:rFonts w:ascii="Georgia" w:cs="Georgia" w:eastAsia="Georgia" w:hAnsi="Georgia"/>
                <w:color w:val="1A1A1A"/>
                <w:sz w:val="18"/>
                <w:szCs w:val="18"/>
              </w:rPr>
              <w:t xml:space="preserve">High — collaborative-screening model transfers.</w:t>
            </w:r>
          </w:p>
        </w:tc>
      </w:tr>
    </w:tbl>
    <w:p>
      <w:pPr>
        <w:spacing w:after="80"/>
      </w:pPr>
    </w:p>
    <w:p>
      <w:pPr>
        <w:pStyle w:val="Heading2"/>
        <w:spacing w:after="100" w:before="220"/>
      </w:pPr>
      <w:r>
        <w:rPr>
          <w:rFonts w:ascii="Calibri" w:cs="Calibri" w:eastAsia="Calibri" w:hAnsi="Calibri"/>
          <w:b/>
          <w:bCs/>
          <w:color w:val="2F5D8A"/>
          <w:sz w:val="25"/>
          <w:szCs w:val="25"/>
        </w:rPr>
        <w:t xml:space="preserve">7.4 Case D — A bio-AI incident hits the news</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“A startup used an AI tool to design a dangerous novel protein and ordered synthesis before anyone caught it. Media storm. Governments want to act fast. How does the Forum respond — and how do you stop an overreaction that kills the whole field?”</w:t>
      </w:r>
    </w:p>
    <w:p>
      <w:pPr>
        <w:pStyle w:val="Heading3"/>
        <w:spacing w:after="70" w:before="160"/>
      </w:pPr>
      <w:r>
        <w:rPr>
          <w:rFonts w:ascii="Calibri" w:cs="Calibri" w:eastAsia="Calibri" w:hAnsi="Calibri"/>
          <w:b/>
          <w:bCs/>
          <w:color w:val="1F2A44"/>
          <w:sz w:val="22"/>
          <w:szCs w:val="22"/>
        </w:rPr>
        <w:t xml:space="preserve">Approach — the crisis-governance balance</w:t>
      </w:r>
    </w:p>
    <w:p>
      <w:pPr>
        <w:spacing w:after="140" w:line="276"/>
        <w:jc w:val="both"/>
      </w:pPr>
      <w:r>
        <w:rPr>
          <w:rFonts w:ascii="Georgia" w:cs="Georgia" w:eastAsia="Georgia" w:hAnsi="Georgia"/>
          <w:color w:val="1A1A1A"/>
          <w:sz w:val="21"/>
          <w:szCs w:val="21"/>
        </w:rPr>
        <w:t xml:space="preserve">Two failure modes to steer between: paralysis (do nothing, lose trust) and overreaction (blanket bans that push research underground and punish the responsible majority). My response: </w:t>
      </w:r>
      <w:r>
        <w:rPr>
          <w:rFonts w:ascii="Georgia" w:cs="Georgia" w:eastAsia="Georgia" w:hAnsi="Georgia"/>
          <w:b/>
          <w:bCs/>
          <w:color w:val="1A1A1A"/>
          <w:sz w:val="21"/>
          <w:szCs w:val="21"/>
        </w:rPr>
        <w:t xml:space="preserve">First, convene fast and credibly</w:t>
      </w:r>
      <w:r>
        <w:rPr>
          <w:rFonts w:ascii="Georgia" w:cs="Georgia" w:eastAsia="Georgia" w:hAnsi="Georgia"/>
          <w:color w:val="1A1A1A"/>
          <w:sz w:val="21"/>
          <w:szCs w:val="21"/>
        </w:rPr>
        <w:t xml:space="preserve"> — the Forum’s value in a crisis is a trusted, neutral table where synthesis providers, AI developers, biosecurity agencies and regulators can coordinate a proportionate response within days, not months. </w:t>
      </w:r>
      <w:r>
        <w:rPr>
          <w:rFonts w:ascii="Georgia" w:cs="Georgia" w:eastAsia="Georgia" w:hAnsi="Georgia"/>
          <w:b/>
          <w:bCs/>
          <w:color w:val="1A1A1A"/>
          <w:sz w:val="21"/>
          <w:szCs w:val="21"/>
        </w:rPr>
        <w:t xml:space="preserve">Second, target the actual failure point</w:t>
      </w:r>
      <w:r>
        <w:rPr>
          <w:rFonts w:ascii="Georgia" w:cs="Georgia" w:eastAsia="Georgia" w:hAnsi="Georgia"/>
          <w:color w:val="1A1A1A"/>
          <w:sz w:val="21"/>
          <w:szCs w:val="21"/>
        </w:rPr>
        <w:t xml:space="preserve"> — the gap between generative design tools and sequence-based screening — with concrete, adoptable measures: strengthened screening standards, know-your-customer for synthesis, and safeguards at the AI-model layer, rather than a sweeping ban on protein design. </w:t>
      </w:r>
      <w:r>
        <w:rPr>
          <w:rFonts w:ascii="Georgia" w:cs="Georgia" w:eastAsia="Georgia" w:hAnsi="Georgia"/>
          <w:b/>
          <w:bCs/>
          <w:color w:val="1A1A1A"/>
          <w:sz w:val="21"/>
          <w:szCs w:val="21"/>
        </w:rPr>
        <w:t xml:space="preserve">Third, protect the responsible majority</w:t>
      </w:r>
      <w:r>
        <w:rPr>
          <w:rFonts w:ascii="Georgia" w:cs="Georgia" w:eastAsia="Georgia" w:hAnsi="Georgia"/>
          <w:color w:val="1A1A1A"/>
          <w:sz w:val="21"/>
          <w:szCs w:val="21"/>
        </w:rPr>
        <w:t xml:space="preserve"> by making the good actors visibly part of the solution, so regulation lands on the failure mode, not the field. </w:t>
      </w:r>
      <w:r>
        <w:rPr>
          <w:rFonts w:ascii="Georgia" w:cs="Georgia" w:eastAsia="Georgia" w:hAnsi="Georgia"/>
          <w:b/>
          <w:bCs/>
          <w:color w:val="1A1A1A"/>
          <w:sz w:val="21"/>
          <w:szCs w:val="21"/>
        </w:rPr>
        <w:t xml:space="preserve">Fourth, feed it into durable governance</w:t>
      </w:r>
      <w:r>
        <w:rPr>
          <w:rFonts w:ascii="Georgia" w:cs="Georgia" w:eastAsia="Georgia" w:hAnsi="Georgia"/>
          <w:color w:val="1A1A1A"/>
          <w:sz w:val="21"/>
          <w:szCs w:val="21"/>
        </w:rPr>
        <w:t xml:space="preserve"> — use the incident’s political energy to harden voluntary screening norms toward binding standards. I’d name the honest tension: this is the one area where I lean </w:t>
      </w:r>
      <w:r>
        <w:rPr>
          <w:rFonts w:ascii="Georgia" w:cs="Georgia" w:eastAsia="Georgia" w:hAnsi="Georgia"/>
          <w:i/>
          <w:iCs/>
          <w:color w:val="1A1A1A"/>
          <w:sz w:val="21"/>
          <w:szCs w:val="21"/>
        </w:rPr>
        <w:t xml:space="preserve">toward</w:t>
      </w:r>
      <w:r>
        <w:rPr>
          <w:rFonts w:ascii="Georgia" w:cs="Georgia" w:eastAsia="Georgia" w:hAnsi="Georgia"/>
          <w:color w:val="1A1A1A"/>
          <w:sz w:val="21"/>
          <w:szCs w:val="21"/>
        </w:rPr>
        <w:t xml:space="preserve"> precaution, because the downside is catastrophic and irreversible — but precaution aimed at the mechanism, not a moratorium on knowledge.</w:t>
      </w:r>
    </w:p>
    <w:tbl>
      <w:tblPr>
        <w:tblW w:type="pct" w:w="100%"/>
        <w:tblBorders>
          <w:top w:val="single" w:color="2F5D8A" w:sz="4"/>
          <w:left w:val="single" w:color="2F5D8A" w:sz="24"/>
          <w:bottom w:val="single" w:color="2F5D8A" w:sz="4"/>
          <w:right w:val="single" w:color="2F5D8A" w:sz="4"/>
          <w:insideH w:val="none"/>
          <w:insideV w:val="none"/>
        </w:tblBorders>
      </w:tblPr>
      <w:tblGrid>
        <w:gridCol w:w="9360"/>
      </w:tblGrid>
      <w:tr>
        <w:tc>
          <w:tcPr>
            <w:tcW w:type="dxa" w:w="9360"/>
            <w:shd w:fill="EEF3F9" w:val="clear"/>
            <w:tcMar>
              <w:top w:type="dxa" w:w="120"/>
              <w:left w:type="dxa" w:w="200"/>
              <w:bottom w:type="dxa" w:w="120"/>
              <w:right w:type="dxa" w:w="200"/>
            </w:tcMar>
          </w:tcPr>
          <w:p>
            <w:pPr>
              <w:spacing w:after="0" w:line="264"/>
            </w:pPr>
            <w:r>
              <w:rPr>
                <w:rFonts w:ascii="Georgia" w:cs="Georgia" w:eastAsia="Georgia" w:hAnsi="Georgia"/>
                <w:b/>
                <w:bCs/>
                <w:color w:val="1F2A44"/>
                <w:sz w:val="20"/>
                <w:szCs w:val="20"/>
              </w:rPr>
              <w:t xml:space="preserve">Crisis framework — “C-TAP”:</w:t>
            </w:r>
            <w:r>
              <w:rPr>
                <w:rFonts w:ascii="Georgia" w:cs="Georgia" w:eastAsia="Georgia" w:hAnsi="Georgia"/>
                <w:color w:val="1F2A44"/>
                <w:sz w:val="20"/>
                <w:szCs w:val="20"/>
              </w:rPr>
              <w:t xml:space="preserve"> Convene fast · Target the true failure point · Absorb the responsible majority into the fix · Persist it into durable rules. Balance = neither paralysis nor overreaction.</w:t>
            </w:r>
          </w:p>
        </w:tc>
      </w:tr>
    </w:tbl>
    <w:p>
      <w:pPr>
        <w:spacing w:after="80"/>
      </w:pPr>
    </w:p>
    <w:p>
      <w:pPr>
        <w:pStyle w:val="Heading2"/>
        <w:spacing w:after="100" w:before="220"/>
      </w:pPr>
      <w:r>
        <w:rPr>
          <w:rFonts w:ascii="Calibri" w:cs="Calibri" w:eastAsia="Calibri" w:hAnsi="Calibri"/>
          <w:b/>
          <w:bCs/>
          <w:color w:val="2F5D8A"/>
          <w:sz w:val="25"/>
          <w:szCs w:val="25"/>
        </w:rPr>
        <w:t xml:space="preserve">7.5 Case E — Scope a flagship knowledge product</w:t>
      </w:r>
    </w:p>
    <w:p>
      <w:pPr>
        <w:spacing w:after="140" w:line="276"/>
        <w:jc w:val="both"/>
      </w:pPr>
      <w:r>
        <w:rPr>
          <w:rFonts w:ascii="Georgia" w:cs="Georgia" w:eastAsia="Georgia" w:hAnsi="Georgia"/>
          <w:b/>
          <w:bCs/>
          <w:color w:val="1A1A1A"/>
          <w:sz w:val="21"/>
          <w:szCs w:val="21"/>
        </w:rPr>
        <w:t xml:space="preserve">Prompt:</w:t>
      </w:r>
      <w:r>
        <w:rPr>
          <w:rFonts w:ascii="Georgia" w:cs="Georgia" w:eastAsia="Georgia" w:hAnsi="Georgia"/>
          <w:color w:val="1A1A1A"/>
          <w:sz w:val="21"/>
          <w:szCs w:val="21"/>
        </w:rPr>
        <w:t xml:space="preserve"> “Design a Forum report that would genuinely move frontier-tech regulation. What is it, and how do you make sure it isn’t shelf-ware?”</w:t>
      </w:r>
    </w:p>
    <w:p>
      <w:pPr>
        <w:pStyle w:val="Heading3"/>
        <w:spacing w:after="70" w:before="160"/>
      </w:pPr>
      <w:r>
        <w:rPr>
          <w:rFonts w:ascii="Calibri" w:cs="Calibri" w:eastAsia="Calibri" w:hAnsi="Calibri"/>
          <w:b/>
          <w:bCs/>
          <w:color w:val="1F2A44"/>
          <w:sz w:val="22"/>
          <w:szCs w:val="22"/>
        </w:rPr>
        <w:t xml:space="preserve">Model answer</w:t>
      </w:r>
    </w:p>
    <w:p>
      <w:pPr>
        <w:spacing w:after="140" w:line="276"/>
        <w:jc w:val="both"/>
      </w:pPr>
      <w:r>
        <w:rPr>
          <w:rFonts w:ascii="Georgia" w:cs="Georgia" w:eastAsia="Georgia" w:hAnsi="Georgia"/>
          <w:color w:val="1A1A1A"/>
          <w:sz w:val="21"/>
          <w:szCs w:val="21"/>
        </w:rPr>
        <w:t xml:space="preserve">I’d build a </w:t>
      </w:r>
      <w:r>
        <w:rPr>
          <w:rFonts w:ascii="Georgia" w:cs="Georgia" w:eastAsia="Georgia" w:hAnsi="Georgia"/>
          <w:b/>
          <w:bCs/>
          <w:color w:val="1A1A1A"/>
          <w:sz w:val="21"/>
          <w:szCs w:val="21"/>
        </w:rPr>
        <w:t xml:space="preserve">Frontier Governance Readiness Playbook</w:t>
      </w:r>
      <w:r>
        <w:rPr>
          <w:rFonts w:ascii="Georgia" w:cs="Georgia" w:eastAsia="Georgia" w:hAnsi="Georgia"/>
          <w:color w:val="1A1A1A"/>
          <w:sz w:val="21"/>
          <w:szCs w:val="21"/>
        </w:rPr>
        <w:t xml:space="preserve"> — extending GRIP’s Readiness Index into the frontier domains — because the format forces the two things that make products influential: a </w:t>
      </w:r>
      <w:r>
        <w:rPr>
          <w:rFonts w:ascii="Georgia" w:cs="Georgia" w:eastAsia="Georgia" w:hAnsi="Georgia"/>
          <w:i/>
          <w:iCs/>
          <w:color w:val="1A1A1A"/>
          <w:sz w:val="21"/>
          <w:szCs w:val="21"/>
        </w:rPr>
        <w:t xml:space="preserve">diagnostic</w:t>
      </w:r>
      <w:r>
        <w:rPr>
          <w:rFonts w:ascii="Georgia" w:cs="Georgia" w:eastAsia="Georgia" w:hAnsi="Georgia"/>
          <w:color w:val="1A1A1A"/>
          <w:sz w:val="21"/>
          <w:szCs w:val="21"/>
        </w:rPr>
        <w:t xml:space="preserve"> that lets governments benchmark themselves (which creates demand and a little competitive pressure to improve) and a </w:t>
      </w:r>
      <w:r>
        <w:rPr>
          <w:rFonts w:ascii="Georgia" w:cs="Georgia" w:eastAsia="Georgia" w:hAnsi="Georgia"/>
          <w:i/>
          <w:iCs/>
          <w:color w:val="1A1A1A"/>
          <w:sz w:val="21"/>
          <w:szCs w:val="21"/>
        </w:rPr>
        <w:t xml:space="preserve">toolkit</w:t>
      </w:r>
      <w:r>
        <w:rPr>
          <w:rFonts w:ascii="Georgia" w:cs="Georgia" w:eastAsia="Georgia" w:hAnsi="Georgia"/>
          <w:color w:val="1A1A1A"/>
          <w:sz w:val="21"/>
          <w:szCs w:val="21"/>
        </w:rPr>
        <w:t xml:space="preserve"> of adaptable instruments — model sandbox designs, risk-tiering templates, a soft-law-to-hard-law pathway — that a ministry can actually use. To keep it off the shelf: co-create it with a working group of regulators and technologists from the outline stage so they own it; make every section action-oriented — checklists and model provisions, not essays; time the launch to a live decision window and a Forum moment; and pair it with the convening and C4IR-network follow-through that turns a document into adoption. Influence is designed in at scoping — a report that’s written to be </w:t>
      </w:r>
      <w:r>
        <w:rPr>
          <w:rFonts w:ascii="Georgia" w:cs="Georgia" w:eastAsia="Georgia" w:hAnsi="Georgia"/>
          <w:i/>
          <w:iCs/>
          <w:color w:val="1A1A1A"/>
          <w:sz w:val="21"/>
          <w:szCs w:val="21"/>
        </w:rPr>
        <w:t xml:space="preserve">used</w:t>
      </w:r>
      <w:r>
        <w:rPr>
          <w:rFonts w:ascii="Georgia" w:cs="Georgia" w:eastAsia="Georgia" w:hAnsi="Georgia"/>
          <w:color w:val="1A1A1A"/>
          <w:sz w:val="21"/>
          <w:szCs w:val="21"/>
        </w:rPr>
        <w:t xml:space="preserve">, tested with its users before launch, and wired to a distribution channel that reaches the desks that write rules.</w:t>
      </w:r>
    </w:p>
    <w:p>
      <w:r>
        <w:br w:type="page"/>
      </w:r>
    </w:p>
    <w:p>
      <w:pPr>
        <w:pStyle w:val="Heading1"/>
        <w:pBdr>
          <w:bottom w:val="single" w:color="2F5D8A" w:sz="12" w:space="6"/>
        </w:pBdr>
        <w:spacing w:after="140" w:before="260"/>
      </w:pPr>
      <w:r>
        <w:rPr>
          <w:rFonts w:ascii="Calibri" w:cs="Calibri" w:eastAsia="Calibri" w:hAnsi="Calibri"/>
          <w:b/>
          <w:bCs/>
          <w:color w:val="1F2A44"/>
          <w:sz w:val="30"/>
          <w:szCs w:val="30"/>
        </w:rPr>
        <w:t xml:space="preserve">8 · Glossary</w:t>
      </w:r>
    </w:p>
    <w:p>
      <w:pPr>
        <w:spacing w:after="200" w:line="288"/>
      </w:pPr>
      <w:r>
        <w:rPr>
          <w:rFonts w:ascii="Georgia" w:cs="Georgia" w:eastAsia="Georgia" w:hAnsi="Georgia"/>
          <w:i/>
          <w:iCs/>
          <w:color w:val="55606E"/>
          <w:sz w:val="22"/>
          <w:szCs w:val="22"/>
        </w:rPr>
        <w:t xml:space="preserve">The working vocabulary of frontier-tech regulatory innovation. Fluency with these terms is the fastest signal that you belong in the conversation.</w:t>
      </w:r>
    </w:p>
    <w:p>
      <w:pPr>
        <w:spacing w:after="140" w:line="276"/>
        <w:jc w:val="both"/>
      </w:pPr>
      <w:r>
        <w:rPr>
          <w:rFonts w:ascii="Georgia" w:cs="Georgia" w:eastAsia="Georgia" w:hAnsi="Georgia"/>
          <w:b/>
          <w:bCs/>
          <w:color w:val="1A1A1A"/>
          <w:sz w:val="21"/>
          <w:szCs w:val="21"/>
        </w:rPr>
        <w:t xml:space="preserve">Adaptive regulation.</w:t>
      </w:r>
      <w:r>
        <w:rPr>
          <w:rFonts w:ascii="Georgia" w:cs="Georgia" w:eastAsia="Georgia" w:hAnsi="Georgia"/>
          <w:color w:val="1A1A1A"/>
          <w:sz w:val="21"/>
          <w:szCs w:val="21"/>
        </w:rPr>
        <w:t xml:space="preserve"> Rules designed to be revised as evidence accumulates; ‘regulate, monitor, iterate,’ with review clauses and feedback loops.</w:t>
      </w:r>
    </w:p>
    <w:p>
      <w:pPr>
        <w:spacing w:after="140" w:line="276"/>
        <w:jc w:val="both"/>
      </w:pPr>
      <w:r>
        <w:rPr>
          <w:rFonts w:ascii="Georgia" w:cs="Georgia" w:eastAsia="Georgia" w:hAnsi="Georgia"/>
          <w:b/>
          <w:bCs/>
          <w:color w:val="1A1A1A"/>
          <w:sz w:val="21"/>
          <w:szCs w:val="21"/>
        </w:rPr>
        <w:t xml:space="preserve">Agile governance.</w:t>
      </w:r>
      <w:r>
        <w:rPr>
          <w:rFonts w:ascii="Georgia" w:cs="Georgia" w:eastAsia="Georgia" w:hAnsi="Georgia"/>
          <w:color w:val="1A1A1A"/>
          <w:sz w:val="21"/>
          <w:szCs w:val="21"/>
        </w:rPr>
        <w:t xml:space="preserve"> The Forum’s umbrella term for adaptive, responsive, human-centred policy-making that keeps pace with technological change.</w:t>
      </w:r>
    </w:p>
    <w:p>
      <w:pPr>
        <w:spacing w:after="140" w:line="276"/>
        <w:jc w:val="both"/>
      </w:pPr>
      <w:r>
        <w:rPr>
          <w:rFonts w:ascii="Georgia" w:cs="Georgia" w:eastAsia="Georgia" w:hAnsi="Georgia"/>
          <w:b/>
          <w:bCs/>
          <w:color w:val="1A1A1A"/>
          <w:sz w:val="21"/>
          <w:szCs w:val="21"/>
        </w:rPr>
        <w:t xml:space="preserve">Anticipatory governance.</w:t>
      </w:r>
      <w:r>
        <w:rPr>
          <w:rFonts w:ascii="Georgia" w:cs="Georgia" w:eastAsia="Georgia" w:hAnsi="Georgia"/>
          <w:color w:val="1A1A1A"/>
          <w:sz w:val="21"/>
          <w:szCs w:val="21"/>
        </w:rPr>
        <w:t xml:space="preserve"> Acting on emerging technologies before their impacts are certain, via foresight, experimentation and learning.</w:t>
      </w:r>
    </w:p>
    <w:p>
      <w:pPr>
        <w:spacing w:after="140" w:line="276"/>
        <w:jc w:val="both"/>
      </w:pPr>
      <w:r>
        <w:rPr>
          <w:rFonts w:ascii="Georgia" w:cs="Georgia" w:eastAsia="Georgia" w:hAnsi="Georgia"/>
          <w:b/>
          <w:bCs/>
          <w:color w:val="1A1A1A"/>
          <w:sz w:val="21"/>
          <w:szCs w:val="21"/>
        </w:rPr>
        <w:t xml:space="preserve">Artemis Accords.</w:t>
      </w:r>
      <w:r>
        <w:rPr>
          <w:rFonts w:ascii="Georgia" w:cs="Georgia" w:eastAsia="Georgia" w:hAnsi="Georgia"/>
          <w:color w:val="1A1A1A"/>
          <w:sz w:val="21"/>
          <w:szCs w:val="21"/>
        </w:rPr>
        <w:t xml:space="preserve"> US-led set of principles for civil space exploration and resource use; a soft-law effort filling gaps left by the Outer Space Treaty.</w:t>
      </w:r>
    </w:p>
    <w:p>
      <w:pPr>
        <w:spacing w:after="140" w:line="276"/>
        <w:jc w:val="both"/>
      </w:pPr>
      <w:r>
        <w:rPr>
          <w:rFonts w:ascii="Georgia" w:cs="Georgia" w:eastAsia="Georgia" w:hAnsi="Georgia"/>
          <w:b/>
          <w:bCs/>
          <w:color w:val="1A1A1A"/>
          <w:sz w:val="21"/>
          <w:szCs w:val="21"/>
        </w:rPr>
        <w:t xml:space="preserve">Biological Weapons Convention (BWC).</w:t>
      </w:r>
      <w:r>
        <w:rPr>
          <w:rFonts w:ascii="Georgia" w:cs="Georgia" w:eastAsia="Georgia" w:hAnsi="Georgia"/>
          <w:color w:val="1A1A1A"/>
          <w:sz w:val="21"/>
          <w:szCs w:val="21"/>
        </w:rPr>
        <w:t xml:space="preserve"> The treaty banning biological weapons; notable for lacking a verification mechanism.</w:t>
      </w:r>
    </w:p>
    <w:p>
      <w:pPr>
        <w:spacing w:after="140" w:line="276"/>
        <w:jc w:val="both"/>
      </w:pPr>
      <w:r>
        <w:rPr>
          <w:rFonts w:ascii="Georgia" w:cs="Georgia" w:eastAsia="Georgia" w:hAnsi="Georgia"/>
          <w:b/>
          <w:bCs/>
          <w:color w:val="1A1A1A"/>
          <w:sz w:val="21"/>
          <w:szCs w:val="21"/>
        </w:rPr>
        <w:t xml:space="preserve">Brussels effect.</w:t>
      </w:r>
      <w:r>
        <w:rPr>
          <w:rFonts w:ascii="Georgia" w:cs="Georgia" w:eastAsia="Georgia" w:hAnsi="Georgia"/>
          <w:color w:val="1A1A1A"/>
          <w:sz w:val="21"/>
          <w:szCs w:val="21"/>
        </w:rPr>
        <w:t xml:space="preserve"> The tendency of EU regulation to become a de facto global standard through market access (Anu Bradford).</w:t>
      </w:r>
    </w:p>
    <w:p>
      <w:pPr>
        <w:spacing w:after="140" w:line="276"/>
        <w:jc w:val="both"/>
      </w:pPr>
      <w:r>
        <w:rPr>
          <w:rFonts w:ascii="Georgia" w:cs="Georgia" w:eastAsia="Georgia" w:hAnsi="Georgia"/>
          <w:b/>
          <w:bCs/>
          <w:color w:val="1A1A1A"/>
          <w:sz w:val="21"/>
          <w:szCs w:val="21"/>
        </w:rPr>
        <w:t xml:space="preserve">Carbon dioxide removal (CDR).</w:t>
      </w:r>
      <w:r>
        <w:rPr>
          <w:rFonts w:ascii="Georgia" w:cs="Georgia" w:eastAsia="Georgia" w:hAnsi="Georgia"/>
          <w:color w:val="1A1A1A"/>
          <w:sz w:val="21"/>
          <w:szCs w:val="21"/>
        </w:rPr>
        <w:t xml:space="preserve"> Geoengineering that removes CO2 from the atmosphere; generally seen as more governable than SRM.</w:t>
      </w:r>
    </w:p>
    <w:p>
      <w:pPr>
        <w:spacing w:after="140" w:line="276"/>
        <w:jc w:val="both"/>
      </w:pPr>
      <w:r>
        <w:rPr>
          <w:rFonts w:ascii="Georgia" w:cs="Georgia" w:eastAsia="Georgia" w:hAnsi="Georgia"/>
          <w:b/>
          <w:bCs/>
          <w:color w:val="1A1A1A"/>
          <w:sz w:val="21"/>
          <w:szCs w:val="21"/>
        </w:rPr>
        <w:t xml:space="preserve">Cartagena / Nagoya Protocols.</w:t>
      </w:r>
      <w:r>
        <w:rPr>
          <w:rFonts w:ascii="Georgia" w:cs="Georgia" w:eastAsia="Georgia" w:hAnsi="Georgia"/>
          <w:color w:val="1A1A1A"/>
          <w:sz w:val="21"/>
          <w:szCs w:val="21"/>
        </w:rPr>
        <w:t xml:space="preserve"> Biosafety (living modified organisms) and access-and-benefit-sharing protocols under the Convention on Biological Diversity.</w:t>
      </w:r>
    </w:p>
    <w:p>
      <w:pPr>
        <w:spacing w:after="140" w:line="276"/>
        <w:jc w:val="both"/>
      </w:pPr>
      <w:r>
        <w:rPr>
          <w:rFonts w:ascii="Georgia" w:cs="Georgia" w:eastAsia="Georgia" w:hAnsi="Georgia"/>
          <w:b/>
          <w:bCs/>
          <w:color w:val="1A1A1A"/>
          <w:sz w:val="21"/>
          <w:szCs w:val="21"/>
        </w:rPr>
        <w:t xml:space="preserve">C4IR.</w:t>
      </w:r>
      <w:r>
        <w:rPr>
          <w:rFonts w:ascii="Georgia" w:cs="Georgia" w:eastAsia="Georgia" w:hAnsi="Georgia"/>
          <w:color w:val="1A1A1A"/>
          <w:sz w:val="21"/>
          <w:szCs w:val="21"/>
        </w:rPr>
        <w:t xml:space="preserve"> The Forum’s Centre for the Fourth Industrial Revolution and its global network of government-hosted centres.</w:t>
      </w:r>
    </w:p>
    <w:p>
      <w:pPr>
        <w:spacing w:after="140" w:line="276"/>
        <w:jc w:val="both"/>
      </w:pPr>
      <w:r>
        <w:rPr>
          <w:rFonts w:ascii="Georgia" w:cs="Georgia" w:eastAsia="Georgia" w:hAnsi="Georgia"/>
          <w:b/>
          <w:bCs/>
          <w:color w:val="1A1A1A"/>
          <w:sz w:val="21"/>
          <w:szCs w:val="21"/>
        </w:rPr>
        <w:t xml:space="preserve">Collingridge dilemma.</w:t>
      </w:r>
      <w:r>
        <w:rPr>
          <w:rFonts w:ascii="Georgia" w:cs="Georgia" w:eastAsia="Georgia" w:hAnsi="Georgia"/>
          <w:color w:val="1A1A1A"/>
          <w:sz w:val="21"/>
          <w:szCs w:val="21"/>
        </w:rPr>
        <w:t xml:space="preserve"> Early tech is easy to shape but hard to predict; once understood, it is entrenched and hard to change.</w:t>
      </w:r>
    </w:p>
    <w:p>
      <w:pPr>
        <w:spacing w:after="140" w:line="276"/>
        <w:jc w:val="both"/>
      </w:pPr>
      <w:r>
        <w:rPr>
          <w:rFonts w:ascii="Georgia" w:cs="Georgia" w:eastAsia="Georgia" w:hAnsi="Georgia"/>
          <w:b/>
          <w:bCs/>
          <w:color w:val="1A1A1A"/>
          <w:sz w:val="21"/>
          <w:szCs w:val="21"/>
        </w:rPr>
        <w:t xml:space="preserve">Collaborative regulation.</w:t>
      </w:r>
      <w:r>
        <w:rPr>
          <w:rFonts w:ascii="Georgia" w:cs="Georgia" w:eastAsia="Georgia" w:hAnsi="Georgia"/>
          <w:color w:val="1A1A1A"/>
          <w:sz w:val="21"/>
          <w:szCs w:val="21"/>
        </w:rPr>
        <w:t xml:space="preserve"> Co-regulation and self-regulation with industry, plus alignment across regulators and borders.</w:t>
      </w:r>
    </w:p>
    <w:p>
      <w:pPr>
        <w:spacing w:after="140" w:line="276"/>
        <w:jc w:val="both"/>
      </w:pPr>
      <w:r>
        <w:rPr>
          <w:rFonts w:ascii="Georgia" w:cs="Georgia" w:eastAsia="Georgia" w:hAnsi="Georgia"/>
          <w:b/>
          <w:bCs/>
          <w:color w:val="1A1A1A"/>
          <w:sz w:val="21"/>
          <w:szCs w:val="21"/>
        </w:rPr>
        <w:t xml:space="preserve">Council of Europe AI Convention.</w:t>
      </w:r>
      <w:r>
        <w:rPr>
          <w:rFonts w:ascii="Georgia" w:cs="Georgia" w:eastAsia="Georgia" w:hAnsi="Georgia"/>
          <w:color w:val="1A1A1A"/>
          <w:sz w:val="21"/>
          <w:szCs w:val="21"/>
        </w:rPr>
        <w:t xml:space="preserve"> The first binding international treaty on AI, rights-anchored and open beyond Europe.</w:t>
      </w:r>
    </w:p>
    <w:p>
      <w:pPr>
        <w:spacing w:after="140" w:line="276"/>
        <w:jc w:val="both"/>
      </w:pPr>
      <w:r>
        <w:rPr>
          <w:rFonts w:ascii="Georgia" w:cs="Georgia" w:eastAsia="Georgia" w:hAnsi="Georgia"/>
          <w:b/>
          <w:bCs/>
          <w:color w:val="1A1A1A"/>
          <w:sz w:val="21"/>
          <w:szCs w:val="21"/>
        </w:rPr>
        <w:t xml:space="preserve">DURC.</w:t>
      </w:r>
      <w:r>
        <w:rPr>
          <w:rFonts w:ascii="Georgia" w:cs="Georgia" w:eastAsia="Georgia" w:hAnsi="Georgia"/>
          <w:color w:val="1A1A1A"/>
          <w:sz w:val="21"/>
          <w:szCs w:val="21"/>
        </w:rPr>
        <w:t xml:space="preserve"> Dual-use research of concern — life-science research that could be misused to cause harm.</w:t>
      </w:r>
    </w:p>
    <w:p>
      <w:pPr>
        <w:spacing w:after="140" w:line="276"/>
        <w:jc w:val="both"/>
      </w:pPr>
      <w:r>
        <w:rPr>
          <w:rFonts w:ascii="Georgia" w:cs="Georgia" w:eastAsia="Georgia" w:hAnsi="Georgia"/>
          <w:b/>
          <w:bCs/>
          <w:color w:val="1A1A1A"/>
          <w:sz w:val="21"/>
          <w:szCs w:val="21"/>
        </w:rPr>
        <w:t xml:space="preserve">EU AI Act.</w:t>
      </w:r>
      <w:r>
        <w:rPr>
          <w:rFonts w:ascii="Georgia" w:cs="Georgia" w:eastAsia="Georgia" w:hAnsi="Georgia"/>
          <w:color w:val="1A1A1A"/>
          <w:sz w:val="21"/>
          <w:szCs w:val="21"/>
        </w:rPr>
        <w:t xml:space="preserve"> The first comprehensive horizontal AI law; risk-tiered, with specific duties for general-purpose models.</w:t>
      </w:r>
    </w:p>
    <w:p>
      <w:pPr>
        <w:spacing w:after="140" w:line="276"/>
        <w:jc w:val="both"/>
      </w:pPr>
      <w:r>
        <w:rPr>
          <w:rFonts w:ascii="Georgia" w:cs="Georgia" w:eastAsia="Georgia" w:hAnsi="Georgia"/>
          <w:b/>
          <w:bCs/>
          <w:color w:val="1A1A1A"/>
          <w:sz w:val="21"/>
          <w:szCs w:val="21"/>
        </w:rPr>
        <w:t xml:space="preserve">Foundation model / GPAI.</w:t>
      </w:r>
      <w:r>
        <w:rPr>
          <w:rFonts w:ascii="Georgia" w:cs="Georgia" w:eastAsia="Georgia" w:hAnsi="Georgia"/>
          <w:color w:val="1A1A1A"/>
          <w:sz w:val="21"/>
          <w:szCs w:val="21"/>
        </w:rPr>
        <w:t xml:space="preserve"> A large, broadly capable model adaptable to many tasks; general-purpose AI in EU terminology.</w:t>
      </w:r>
    </w:p>
    <w:p>
      <w:pPr>
        <w:spacing w:after="140" w:line="276"/>
        <w:jc w:val="both"/>
      </w:pPr>
      <w:r>
        <w:rPr>
          <w:rFonts w:ascii="Georgia" w:cs="Georgia" w:eastAsia="Georgia" w:hAnsi="Georgia"/>
          <w:b/>
          <w:bCs/>
          <w:color w:val="1A1A1A"/>
          <w:sz w:val="21"/>
          <w:szCs w:val="21"/>
        </w:rPr>
        <w:t xml:space="preserve">Forum-shopping.</w:t>
      </w:r>
      <w:r>
        <w:rPr>
          <w:rFonts w:ascii="Georgia" w:cs="Georgia" w:eastAsia="Georgia" w:hAnsi="Georgia"/>
          <w:color w:val="1A1A1A"/>
          <w:sz w:val="21"/>
          <w:szCs w:val="21"/>
        </w:rPr>
        <w:t xml:space="preserve"> Actors choosing the most favourable jurisdiction or venue to exploit regulatory gaps.</w:t>
      </w:r>
    </w:p>
    <w:p>
      <w:pPr>
        <w:spacing w:after="140" w:line="276"/>
        <w:jc w:val="both"/>
      </w:pPr>
      <w:r>
        <w:rPr>
          <w:rFonts w:ascii="Georgia" w:cs="Georgia" w:eastAsia="Georgia" w:hAnsi="Georgia"/>
          <w:b/>
          <w:bCs/>
          <w:color w:val="1A1A1A"/>
          <w:sz w:val="21"/>
          <w:szCs w:val="21"/>
        </w:rPr>
        <w:t xml:space="preserve">Harvest now, decrypt later.</w:t>
      </w:r>
      <w:r>
        <w:rPr>
          <w:rFonts w:ascii="Georgia" w:cs="Georgia" w:eastAsia="Georgia" w:hAnsi="Georgia"/>
          <w:color w:val="1A1A1A"/>
          <w:sz w:val="21"/>
          <w:szCs w:val="21"/>
        </w:rPr>
        <w:t xml:space="preserve"> Stealing encrypted data today to decrypt once quantum computers can break current cryptography.</w:t>
      </w:r>
    </w:p>
    <w:p>
      <w:pPr>
        <w:spacing w:after="140" w:line="276"/>
        <w:jc w:val="both"/>
      </w:pPr>
      <w:r>
        <w:rPr>
          <w:rFonts w:ascii="Georgia" w:cs="Georgia" w:eastAsia="Georgia" w:hAnsi="Georgia"/>
          <w:b/>
          <w:bCs/>
          <w:color w:val="1A1A1A"/>
          <w:sz w:val="21"/>
          <w:szCs w:val="21"/>
        </w:rPr>
        <w:t xml:space="preserve">Interoperability (regulatory).</w:t>
      </w:r>
      <w:r>
        <w:rPr>
          <w:rFonts w:ascii="Georgia" w:cs="Georgia" w:eastAsia="Georgia" w:hAnsi="Georgia"/>
          <w:color w:val="1A1A1A"/>
          <w:sz w:val="21"/>
          <w:szCs w:val="21"/>
        </w:rPr>
        <w:t xml:space="preserve"> Rules different in form but compatible in effect, enabling cross-border function without harmonised law.</w:t>
      </w:r>
    </w:p>
    <w:p>
      <w:pPr>
        <w:spacing w:after="140" w:line="276"/>
        <w:jc w:val="both"/>
      </w:pPr>
      <w:r>
        <w:rPr>
          <w:rFonts w:ascii="Georgia" w:cs="Georgia" w:eastAsia="Georgia" w:hAnsi="Georgia"/>
          <w:b/>
          <w:bCs/>
          <w:color w:val="1A1A1A"/>
          <w:sz w:val="21"/>
          <w:szCs w:val="21"/>
        </w:rPr>
        <w:t xml:space="preserve">Machine-readable/executable regulation.</w:t>
      </w:r>
      <w:r>
        <w:rPr>
          <w:rFonts w:ascii="Georgia" w:cs="Georgia" w:eastAsia="Georgia" w:hAnsi="Georgia"/>
          <w:color w:val="1A1A1A"/>
          <w:sz w:val="21"/>
          <w:szCs w:val="21"/>
        </w:rPr>
        <w:t xml:space="preserve"> Rules published as code so compliance can be automated and supervision made continuous.</w:t>
      </w:r>
    </w:p>
    <w:p>
      <w:pPr>
        <w:spacing w:after="140" w:line="276"/>
        <w:jc w:val="both"/>
      </w:pPr>
      <w:r>
        <w:rPr>
          <w:rFonts w:ascii="Georgia" w:cs="Georgia" w:eastAsia="Georgia" w:hAnsi="Georgia"/>
          <w:b/>
          <w:bCs/>
          <w:color w:val="1A1A1A"/>
          <w:sz w:val="21"/>
          <w:szCs w:val="21"/>
        </w:rPr>
        <w:t xml:space="preserve">Multistakeholder governance.</w:t>
      </w:r>
      <w:r>
        <w:rPr>
          <w:rFonts w:ascii="Georgia" w:cs="Georgia" w:eastAsia="Georgia" w:hAnsi="Georgia"/>
          <w:color w:val="1A1A1A"/>
          <w:sz w:val="21"/>
          <w:szCs w:val="21"/>
        </w:rPr>
        <w:t xml:space="preserve"> Governance by convening states, business, academia and civil society together; the Forum’s core method.</w:t>
      </w:r>
    </w:p>
    <w:p>
      <w:pPr>
        <w:spacing w:after="140" w:line="276"/>
        <w:jc w:val="both"/>
      </w:pPr>
      <w:r>
        <w:rPr>
          <w:rFonts w:ascii="Georgia" w:cs="Georgia" w:eastAsia="Georgia" w:hAnsi="Georgia"/>
          <w:b/>
          <w:bCs/>
          <w:color w:val="1A1A1A"/>
          <w:sz w:val="21"/>
          <w:szCs w:val="21"/>
        </w:rPr>
        <w:t xml:space="preserve">Mutual recognition.</w:t>
      </w:r>
      <w:r>
        <w:rPr>
          <w:rFonts w:ascii="Georgia" w:cs="Georgia" w:eastAsia="Georgia" w:hAnsi="Georgia"/>
          <w:color w:val="1A1A1A"/>
          <w:sz w:val="21"/>
          <w:szCs w:val="21"/>
        </w:rPr>
        <w:t xml:space="preserve"> Jurisdictions accepting each other’s conformity assessments to reduce duplication.</w:t>
      </w:r>
    </w:p>
    <w:p>
      <w:pPr>
        <w:spacing w:after="140" w:line="276"/>
        <w:jc w:val="both"/>
      </w:pPr>
      <w:r>
        <w:rPr>
          <w:rFonts w:ascii="Georgia" w:cs="Georgia" w:eastAsia="Georgia" w:hAnsi="Georgia"/>
          <w:b/>
          <w:bCs/>
          <w:color w:val="1A1A1A"/>
          <w:sz w:val="21"/>
          <w:szCs w:val="21"/>
        </w:rPr>
        <w:t xml:space="preserve">Outcome-based regulation.</w:t>
      </w:r>
      <w:r>
        <w:rPr>
          <w:rFonts w:ascii="Georgia" w:cs="Georgia" w:eastAsia="Georgia" w:hAnsi="Georgia"/>
          <w:color w:val="1A1A1A"/>
          <w:sz w:val="21"/>
          <w:szCs w:val="21"/>
        </w:rPr>
        <w:t xml:space="preserve"> Specifying the result to achieve rather than the method or technology to use.</w:t>
      </w:r>
    </w:p>
    <w:p>
      <w:pPr>
        <w:spacing w:after="140" w:line="276"/>
        <w:jc w:val="both"/>
      </w:pPr>
      <w:r>
        <w:rPr>
          <w:rFonts w:ascii="Georgia" w:cs="Georgia" w:eastAsia="Georgia" w:hAnsi="Georgia"/>
          <w:b/>
          <w:bCs/>
          <w:color w:val="1A1A1A"/>
          <w:sz w:val="21"/>
          <w:szCs w:val="21"/>
        </w:rPr>
        <w:t xml:space="preserve">Outer Space Treaty (1967).</w:t>
      </w:r>
      <w:r>
        <w:rPr>
          <w:rFonts w:ascii="Georgia" w:cs="Georgia" w:eastAsia="Georgia" w:hAnsi="Georgia"/>
          <w:color w:val="1A1A1A"/>
          <w:sz w:val="21"/>
          <w:szCs w:val="21"/>
        </w:rPr>
        <w:t xml:space="preserve"> The foundational space-law framework: benefit of all, no national appropriation, state responsibility.</w:t>
      </w:r>
    </w:p>
    <w:p>
      <w:pPr>
        <w:spacing w:after="140" w:line="276"/>
        <w:jc w:val="both"/>
      </w:pPr>
      <w:r>
        <w:rPr>
          <w:rFonts w:ascii="Georgia" w:cs="Georgia" w:eastAsia="Georgia" w:hAnsi="Georgia"/>
          <w:b/>
          <w:bCs/>
          <w:color w:val="1A1A1A"/>
          <w:sz w:val="21"/>
          <w:szCs w:val="21"/>
        </w:rPr>
        <w:t xml:space="preserve">Pacing problem.</w:t>
      </w:r>
      <w:r>
        <w:rPr>
          <w:rFonts w:ascii="Georgia" w:cs="Georgia" w:eastAsia="Georgia" w:hAnsi="Georgia"/>
          <w:color w:val="1A1A1A"/>
          <w:sz w:val="21"/>
          <w:szCs w:val="21"/>
        </w:rPr>
        <w:t xml:space="preserve"> Technology advances exponentially while law advances incrementally; the gap between them.</w:t>
      </w:r>
    </w:p>
    <w:p>
      <w:pPr>
        <w:spacing w:after="140" w:line="276"/>
        <w:jc w:val="both"/>
      </w:pPr>
      <w:r>
        <w:rPr>
          <w:rFonts w:ascii="Georgia" w:cs="Georgia" w:eastAsia="Georgia" w:hAnsi="Georgia"/>
          <w:b/>
          <w:bCs/>
          <w:color w:val="1A1A1A"/>
          <w:sz w:val="21"/>
          <w:szCs w:val="21"/>
        </w:rPr>
        <w:t xml:space="preserve">Permissionless innovation.</w:t>
      </w:r>
      <w:r>
        <w:rPr>
          <w:rFonts w:ascii="Georgia" w:cs="Georgia" w:eastAsia="Georgia" w:hAnsi="Georgia"/>
          <w:color w:val="1A1A1A"/>
          <w:sz w:val="21"/>
          <w:szCs w:val="21"/>
        </w:rPr>
        <w:t xml:space="preserve"> Allow innovation by default and intervene only on evidence of harm; contrast with precaution.</w:t>
      </w:r>
    </w:p>
    <w:p>
      <w:pPr>
        <w:spacing w:after="140" w:line="276"/>
        <w:jc w:val="both"/>
      </w:pPr>
      <w:r>
        <w:rPr>
          <w:rFonts w:ascii="Georgia" w:cs="Georgia" w:eastAsia="Georgia" w:hAnsi="Georgia"/>
          <w:b/>
          <w:bCs/>
          <w:color w:val="1A1A1A"/>
          <w:sz w:val="21"/>
          <w:szCs w:val="21"/>
        </w:rPr>
        <w:t xml:space="preserve">Post-quantum cryptography (PQC).</w:t>
      </w:r>
      <w:r>
        <w:rPr>
          <w:rFonts w:ascii="Georgia" w:cs="Georgia" w:eastAsia="Georgia" w:hAnsi="Georgia"/>
          <w:color w:val="1A1A1A"/>
          <w:sz w:val="21"/>
          <w:szCs w:val="21"/>
        </w:rPr>
        <w:t xml:space="preserve"> Encryption resistant to quantum attack; first NIST standards finalised 2024 (ML-KEM, ML-DSA, SLH-DSA).</w:t>
      </w:r>
    </w:p>
    <w:p>
      <w:pPr>
        <w:spacing w:after="140" w:line="276"/>
        <w:jc w:val="both"/>
      </w:pPr>
      <w:r>
        <w:rPr>
          <w:rFonts w:ascii="Georgia" w:cs="Georgia" w:eastAsia="Georgia" w:hAnsi="Georgia"/>
          <w:b/>
          <w:bCs/>
          <w:color w:val="1A1A1A"/>
          <w:sz w:val="21"/>
          <w:szCs w:val="21"/>
        </w:rPr>
        <w:t xml:space="preserve">Precautionary principle.</w:t>
      </w:r>
      <w:r>
        <w:rPr>
          <w:rFonts w:ascii="Georgia" w:cs="Georgia" w:eastAsia="Georgia" w:hAnsi="Georgia"/>
          <w:color w:val="1A1A1A"/>
          <w:sz w:val="21"/>
          <w:szCs w:val="21"/>
        </w:rPr>
        <w:t xml:space="preserve"> Requiring proof of safety before deployment where potential harm is serious; dominant in the EU.</w:t>
      </w:r>
    </w:p>
    <w:p>
      <w:pPr>
        <w:spacing w:after="140" w:line="276"/>
        <w:jc w:val="both"/>
      </w:pPr>
      <w:r>
        <w:rPr>
          <w:rFonts w:ascii="Georgia" w:cs="Georgia" w:eastAsia="Georgia" w:hAnsi="Georgia"/>
          <w:b/>
          <w:bCs/>
          <w:color w:val="1A1A1A"/>
          <w:sz w:val="21"/>
          <w:szCs w:val="21"/>
        </w:rPr>
        <w:t xml:space="preserve">Regulatory foresight.</w:t>
      </w:r>
      <w:r>
        <w:rPr>
          <w:rFonts w:ascii="Georgia" w:cs="Georgia" w:eastAsia="Georgia" w:hAnsi="Georgia"/>
          <w:color w:val="1A1A1A"/>
          <w:sz w:val="21"/>
          <w:szCs w:val="21"/>
        </w:rPr>
        <w:t xml:space="preserve"> Systematic horizon-scanning and scenario work to anticipate emerging technologies.</w:t>
      </w:r>
    </w:p>
    <w:p>
      <w:pPr>
        <w:spacing w:after="140" w:line="276"/>
        <w:jc w:val="both"/>
      </w:pPr>
      <w:r>
        <w:rPr>
          <w:rFonts w:ascii="Georgia" w:cs="Georgia" w:eastAsia="Georgia" w:hAnsi="Georgia"/>
          <w:b/>
          <w:bCs/>
          <w:color w:val="1A1A1A"/>
          <w:sz w:val="21"/>
          <w:szCs w:val="21"/>
        </w:rPr>
        <w:t xml:space="preserve">Regulatory sandbox.</w:t>
      </w:r>
      <w:r>
        <w:rPr>
          <w:rFonts w:ascii="Georgia" w:cs="Georgia" w:eastAsia="Georgia" w:hAnsi="Georgia"/>
          <w:color w:val="1A1A1A"/>
          <w:sz w:val="21"/>
          <w:szCs w:val="21"/>
        </w:rPr>
        <w:t xml:space="preserve"> A controlled, time-limited environment to test innovations with real users under relaxed rules and supervision.</w:t>
      </w:r>
    </w:p>
    <w:p>
      <w:pPr>
        <w:spacing w:after="140" w:line="276"/>
        <w:jc w:val="both"/>
      </w:pPr>
      <w:r>
        <w:rPr>
          <w:rFonts w:ascii="Georgia" w:cs="Georgia" w:eastAsia="Georgia" w:hAnsi="Georgia"/>
          <w:b/>
          <w:bCs/>
          <w:color w:val="1A1A1A"/>
          <w:sz w:val="21"/>
          <w:szCs w:val="21"/>
        </w:rPr>
        <w:t xml:space="preserve">RegTech / SupTech.</w:t>
      </w:r>
      <w:r>
        <w:rPr>
          <w:rFonts w:ascii="Georgia" w:cs="Georgia" w:eastAsia="Georgia" w:hAnsi="Georgia"/>
          <w:color w:val="1A1A1A"/>
          <w:sz w:val="21"/>
          <w:szCs w:val="21"/>
        </w:rPr>
        <w:t xml:space="preserve"> Technology that helps the regulated comply (RegTech) or helps the supervisor regulate (SupTech).</w:t>
      </w:r>
    </w:p>
    <w:p>
      <w:pPr>
        <w:spacing w:after="140" w:line="276"/>
        <w:jc w:val="both"/>
      </w:pPr>
      <w:r>
        <w:rPr>
          <w:rFonts w:ascii="Georgia" w:cs="Georgia" w:eastAsia="Georgia" w:hAnsi="Georgia"/>
          <w:b/>
          <w:bCs/>
          <w:color w:val="1A1A1A"/>
          <w:sz w:val="21"/>
          <w:szCs w:val="21"/>
        </w:rPr>
        <w:t xml:space="preserve">Risk-based regulation.</w:t>
      </w:r>
      <w:r>
        <w:rPr>
          <w:rFonts w:ascii="Georgia" w:cs="Georgia" w:eastAsia="Georgia" w:hAnsi="Georgia"/>
          <w:color w:val="1A1A1A"/>
          <w:sz w:val="21"/>
          <w:szCs w:val="21"/>
        </w:rPr>
        <w:t xml:space="preserve"> Concentrating regulatory effort where potential harm is greatest; e.g. the AI Act’s tiers.</w:t>
      </w:r>
    </w:p>
    <w:p>
      <w:pPr>
        <w:spacing w:after="140" w:line="276"/>
        <w:jc w:val="both"/>
      </w:pPr>
      <w:r>
        <w:rPr>
          <w:rFonts w:ascii="Georgia" w:cs="Georgia" w:eastAsia="Georgia" w:hAnsi="Georgia"/>
          <w:b/>
          <w:bCs/>
          <w:color w:val="1A1A1A"/>
          <w:sz w:val="21"/>
          <w:szCs w:val="21"/>
        </w:rPr>
        <w:t xml:space="preserve">Safety case.</w:t>
      </w:r>
      <w:r>
        <w:rPr>
          <w:rFonts w:ascii="Georgia" w:cs="Georgia" w:eastAsia="Georgia" w:hAnsi="Georgia"/>
          <w:color w:val="1A1A1A"/>
          <w:sz w:val="21"/>
          <w:szCs w:val="21"/>
        </w:rPr>
        <w:t xml:space="preserve"> A structured, evidence-based argument that a system is acceptably safe; used for automated vehicles.</w:t>
      </w:r>
    </w:p>
    <w:p>
      <w:pPr>
        <w:spacing w:after="140" w:line="276"/>
        <w:jc w:val="both"/>
      </w:pPr>
      <w:r>
        <w:rPr>
          <w:rFonts w:ascii="Georgia" w:cs="Georgia" w:eastAsia="Georgia" w:hAnsi="Georgia"/>
          <w:b/>
          <w:bCs/>
          <w:color w:val="1A1A1A"/>
          <w:sz w:val="21"/>
          <w:szCs w:val="21"/>
        </w:rPr>
        <w:t xml:space="preserve">SAE Levels 0–5.</w:t>
      </w:r>
      <w:r>
        <w:rPr>
          <w:rFonts w:ascii="Georgia" w:cs="Georgia" w:eastAsia="Georgia" w:hAnsi="Georgia"/>
          <w:color w:val="1A1A1A"/>
          <w:sz w:val="21"/>
          <w:szCs w:val="21"/>
        </w:rPr>
        <w:t xml:space="preserve"> The standard scale of driving automation, from no automation (0) to full autonomy (5).</w:t>
      </w:r>
    </w:p>
    <w:p>
      <w:pPr>
        <w:spacing w:after="140" w:line="276"/>
        <w:jc w:val="both"/>
      </w:pPr>
      <w:r>
        <w:rPr>
          <w:rFonts w:ascii="Georgia" w:cs="Georgia" w:eastAsia="Georgia" w:hAnsi="Georgia"/>
          <w:b/>
          <w:bCs/>
          <w:color w:val="1A1A1A"/>
          <w:sz w:val="21"/>
          <w:szCs w:val="21"/>
        </w:rPr>
        <w:t xml:space="preserve">Small yard, high fence.</w:t>
      </w:r>
      <w:r>
        <w:rPr>
          <w:rFonts w:ascii="Georgia" w:cs="Georgia" w:eastAsia="Georgia" w:hAnsi="Georgia"/>
          <w:color w:val="1A1A1A"/>
          <w:sz w:val="21"/>
          <w:szCs w:val="21"/>
        </w:rPr>
        <w:t xml:space="preserve"> Restricting a narrow set of critical technologies tightly while keeping the rest open.</w:t>
      </w:r>
    </w:p>
    <w:p>
      <w:pPr>
        <w:spacing w:after="140" w:line="276"/>
        <w:jc w:val="both"/>
      </w:pPr>
      <w:r>
        <w:rPr>
          <w:rFonts w:ascii="Georgia" w:cs="Georgia" w:eastAsia="Georgia" w:hAnsi="Georgia"/>
          <w:b/>
          <w:bCs/>
          <w:color w:val="1A1A1A"/>
          <w:sz w:val="21"/>
          <w:szCs w:val="21"/>
        </w:rPr>
        <w:t xml:space="preserve">Soft law.</w:t>
      </w:r>
      <w:r>
        <w:rPr>
          <w:rFonts w:ascii="Georgia" w:cs="Georgia" w:eastAsia="Georgia" w:hAnsi="Georgia"/>
          <w:color w:val="1A1A1A"/>
          <w:sz w:val="21"/>
          <w:szCs w:val="21"/>
        </w:rPr>
        <w:t xml:space="preserve"> Non-binding instruments — standards, codes, principles — often a precursor to binding regulation.</w:t>
      </w:r>
    </w:p>
    <w:p>
      <w:pPr>
        <w:spacing w:after="140" w:line="276"/>
        <w:jc w:val="both"/>
      </w:pPr>
      <w:r>
        <w:rPr>
          <w:rFonts w:ascii="Georgia" w:cs="Georgia" w:eastAsia="Georgia" w:hAnsi="Georgia"/>
          <w:b/>
          <w:bCs/>
          <w:color w:val="1A1A1A"/>
          <w:sz w:val="21"/>
          <w:szCs w:val="21"/>
        </w:rPr>
        <w:t xml:space="preserve">Solar radiation modification (SRM).</w:t>
      </w:r>
      <w:r>
        <w:rPr>
          <w:rFonts w:ascii="Georgia" w:cs="Georgia" w:eastAsia="Georgia" w:hAnsi="Georgia"/>
          <w:color w:val="1A1A1A"/>
          <w:sz w:val="21"/>
          <w:szCs w:val="21"/>
        </w:rPr>
        <w:t xml:space="preserve"> Reflecting sunlight to cool the planet; cheap, fast, contested, and largely ungoverned.</w:t>
      </w:r>
    </w:p>
    <w:p>
      <w:pPr>
        <w:spacing w:after="140" w:line="276"/>
        <w:jc w:val="both"/>
      </w:pPr>
      <w:r>
        <w:rPr>
          <w:rFonts w:ascii="Georgia" w:cs="Georgia" w:eastAsia="Georgia" w:hAnsi="Georgia"/>
          <w:b/>
          <w:bCs/>
          <w:color w:val="1A1A1A"/>
          <w:sz w:val="21"/>
          <w:szCs w:val="21"/>
        </w:rPr>
        <w:t xml:space="preserve">Sunset clause.</w:t>
      </w:r>
      <w:r>
        <w:rPr>
          <w:rFonts w:ascii="Georgia" w:cs="Georgia" w:eastAsia="Georgia" w:hAnsi="Georgia"/>
          <w:color w:val="1A1A1A"/>
          <w:sz w:val="21"/>
          <w:szCs w:val="21"/>
        </w:rPr>
        <w:t xml:space="preserve"> A provision that makes a rule expire unless actively renewed; a tool of adaptive regulation.</w:t>
      </w:r>
    </w:p>
    <w:p>
      <w:pPr>
        <w:spacing w:after="140" w:line="276"/>
        <w:jc w:val="both"/>
      </w:pPr>
      <w:r>
        <w:rPr>
          <w:rFonts w:ascii="Georgia" w:cs="Georgia" w:eastAsia="Georgia" w:hAnsi="Georgia"/>
          <w:b/>
          <w:bCs/>
          <w:color w:val="1A1A1A"/>
          <w:sz w:val="21"/>
          <w:szCs w:val="21"/>
        </w:rPr>
        <w:t xml:space="preserve">Synthetic biology.</w:t>
      </w:r>
      <w:r>
        <w:rPr>
          <w:rFonts w:ascii="Georgia" w:cs="Georgia" w:eastAsia="Georgia" w:hAnsi="Georgia"/>
          <w:color w:val="1A1A1A"/>
          <w:sz w:val="21"/>
          <w:szCs w:val="21"/>
        </w:rPr>
        <w:t xml:space="preserve"> Engineering biology like software — designing and constructing new biological parts and systems.</w:t>
      </w:r>
    </w:p>
    <w:p>
      <w:pPr>
        <w:spacing w:after="140" w:line="276"/>
        <w:jc w:val="both"/>
      </w:pPr>
      <w:r>
        <w:rPr>
          <w:rFonts w:ascii="Georgia" w:cs="Georgia" w:eastAsia="Georgia" w:hAnsi="Georgia"/>
          <w:b/>
          <w:bCs/>
          <w:color w:val="1A1A1A"/>
          <w:sz w:val="21"/>
          <w:szCs w:val="21"/>
        </w:rPr>
        <w:t xml:space="preserve">Systemic-risk GPAI.</w:t>
      </w:r>
      <w:r>
        <w:rPr>
          <w:rFonts w:ascii="Georgia" w:cs="Georgia" w:eastAsia="Georgia" w:hAnsi="Georgia"/>
          <w:color w:val="1A1A1A"/>
          <w:sz w:val="21"/>
          <w:szCs w:val="21"/>
        </w:rPr>
        <w:t xml:space="preserve"> General-purpose AI models judged capable enough to pose society-wide risks, triggering extra EU duties.</w:t>
      </w:r>
    </w:p>
    <w:p>
      <w:pPr>
        <w:spacing w:after="140" w:line="276"/>
        <w:jc w:val="both"/>
      </w:pPr>
      <w:r>
        <w:rPr>
          <w:rFonts w:ascii="Georgia" w:cs="Georgia" w:eastAsia="Georgia" w:hAnsi="Georgia"/>
          <w:b/>
          <w:bCs/>
          <w:color w:val="1A1A1A"/>
          <w:sz w:val="21"/>
          <w:szCs w:val="21"/>
        </w:rPr>
        <w:t xml:space="preserve">Techno-nationalism.</w:t>
      </w:r>
      <w:r>
        <w:rPr>
          <w:rFonts w:ascii="Georgia" w:cs="Georgia" w:eastAsia="Georgia" w:hAnsi="Georgia"/>
          <w:color w:val="1A1A1A"/>
          <w:sz w:val="21"/>
          <w:szCs w:val="21"/>
        </w:rPr>
        <w:t xml:space="preserve"> Treating frontier technologies as strategic national assets via industrial policy and export controls.</w:t>
      </w:r>
    </w:p>
    <w:p>
      <w:pPr>
        <w:spacing w:after="140" w:line="276"/>
        <w:jc w:val="both"/>
      </w:pPr>
      <w:r>
        <w:rPr>
          <w:rFonts w:ascii="Georgia" w:cs="Georgia" w:eastAsia="Georgia" w:hAnsi="Georgia"/>
          <w:b/>
          <w:bCs/>
          <w:color w:val="1A1A1A"/>
          <w:sz w:val="21"/>
          <w:szCs w:val="21"/>
        </w:rPr>
        <w:t xml:space="preserve">UNECE WP.29 / GRVA.</w:t>
      </w:r>
      <w:r>
        <w:rPr>
          <w:rFonts w:ascii="Georgia" w:cs="Georgia" w:eastAsia="Georgia" w:hAnsi="Georgia"/>
          <w:color w:val="1A1A1A"/>
          <w:sz w:val="21"/>
          <w:szCs w:val="21"/>
        </w:rPr>
        <w:t xml:space="preserve"> The UN world forum (and its working party) that harmonises vehicle and automated-driving regulations.</w:t>
      </w:r>
    </w:p>
    <w:sectPr>
      <w:footerReference w:type="default" r:id="rId7"/>
      <w:pgSz w:w="12240" w:h="15840" w:orient="portrait"/>
      <w:pgMar w:top="1180" w:right="1440" w:bottom="11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3E0" w:sz="4" w:space="6"/>
      </w:pBdr>
      <w:tabs>
        <w:tab w:val="right" w:pos="9360"/>
      </w:tabs>
    </w:pPr>
    <w:r>
      <w:rPr>
        <w:rFonts w:ascii="Calibri" w:cs="Calibri" w:eastAsia="Calibri" w:hAnsi="Calibri"/>
        <w:color w:val="55606E"/>
        <w:sz w:val="15"/>
        <w:szCs w:val="15"/>
      </w:rPr>
      <w:t xml:space="preserve">Frontier Technology &amp; Regulatory Innovation — Interview Dossier</w:t>
    </w:r>
    <w:r>
      <w:rPr>
        <w:sz w:val="15"/>
        <w:szCs w:val="15"/>
      </w:rPr>
      <w:t xml:space="preserve">	</w:t>
    </w:r>
    <w:r>
      <w:rPr>
        <w:rFonts w:ascii="Calibri" w:cs="Calibri" w:eastAsia="Calibri" w:hAnsi="Calibri"/>
        <w:color w:val="55606E"/>
        <w:sz w:val="15"/>
        <w:szCs w:val="15"/>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Frontier Technology &amp; Regulatory Innovation — Interview Dossier</dc:title>
  <dc:creator>Interview Preparation</dc:creator>
  <dc:description>Interview preparation dossier for Policy Lead, GRIP, World Economic Forum.</dc:description>
  <cp:lastModifiedBy>Un-named</cp:lastModifiedBy>
  <cp:revision>1</cp:revision>
  <dcterms:created xsi:type="dcterms:W3CDTF">2026-09-01T16:17:03.770Z</dcterms:created>
  <dcterms:modified xsi:type="dcterms:W3CDTF">2026-09-01T16:17:03.770Z</dcterms:modified>
</cp:coreProperties>
</file>

<file path=docProps/custom.xml><?xml version="1.0" encoding="utf-8"?>
<Properties xmlns="http://schemas.openxmlformats.org/officeDocument/2006/custom-properties" xmlns:vt="http://schemas.openxmlformats.org/officeDocument/2006/docPropsVTypes"/>
</file>