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Calibri" w:cs="Calibri" w:eastAsia="Calibri" w:hAnsi="Calibri"/>
          <w:b/>
          <w:bCs/>
          <w:color w:val="2F5D8A"/>
          <w:spacing w:val="50"/>
          <w:sz w:val="24"/>
          <w:szCs w:val="24"/>
        </w:rPr>
        <w:t xml:space="preserve">INTERVIEW PREPARATION · PART A</w:t>
      </w:r>
    </w:p>
    <w:p>
      <w:pPr>
        <w:pBdr>
          <w:bottom w:val="single" w:color="2F5D8A" w:sz="14" w:space="10"/>
        </w:pBdr>
        <w:spacing w:before="40"/>
      </w:pPr>
    </w:p>
    <w:p>
      <w:pPr>
        <w:spacing w:before="300"/>
      </w:pPr>
      <w:r>
        <w:rPr>
          <w:rFonts w:ascii="Calibri" w:cs="Calibri" w:eastAsia="Calibri" w:hAnsi="Calibri"/>
          <w:b/>
          <w:bCs/>
          <w:color w:val="1F2A44"/>
          <w:sz w:val="56"/>
          <w:szCs w:val="56"/>
        </w:rPr>
        <w:t xml:space="preserve">Frontier Technology Governance</w:t>
      </w:r>
    </w:p>
    <w:p>
      <w:pPr>
        <w:spacing w:after="240"/>
      </w:pPr>
      <w:r>
        <w:rPr>
          <w:rFonts w:ascii="Calibri" w:cs="Calibri" w:eastAsia="Calibri" w:hAnsi="Calibri"/>
          <w:i/>
          <w:iCs/>
          <w:color w:val="2F5D8A"/>
          <w:sz w:val="34"/>
          <w:szCs w:val="34"/>
        </w:rPr>
        <w:t xml:space="preserve">Knowledge Base</w:t>
      </w:r>
    </w:p>
    <w:p>
      <w:pPr>
        <w:spacing w:after="40"/>
      </w:pPr>
      <w:r>
        <w:rPr>
          <w:rFonts w:ascii="Calibri" w:cs="Calibri" w:eastAsia="Calibri" w:hAnsi="Calibri"/>
          <w:b/>
          <w:bCs/>
          <w:color w:val="1F2A44"/>
          <w:sz w:val="26"/>
          <w:szCs w:val="26"/>
        </w:rPr>
        <w:t xml:space="preserve">Policy Lead, Global Regulatory Innovation Platform (GRIP)</w:t>
      </w:r>
    </w:p>
    <w:p>
      <w:pPr>
        <w:spacing w:after="480"/>
      </w:pPr>
      <w:r>
        <w:rPr>
          <w:rFonts w:ascii="Georgia" w:cs="Georgia" w:eastAsia="Georgia" w:hAnsi="Georgia"/>
          <w:color w:val="55606E"/>
          <w:sz w:val="21"/>
          <w:szCs w:val="21"/>
        </w:rPr>
        <w:t xml:space="preserve">World Economic Forum · Geneva</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Part A of two. Foundational concepts, the ecosystem, key technologies (quantum as the flagship), governance approaches, and barriers and geopolitics. Interview questions and case preparation are in Part B.</w:t>
            </w:r>
          </w:p>
        </w:tc>
      </w:tr>
    </w:tbl>
    <w:p>
      <w:r>
        <w:br w:type="page"/>
      </w:r>
    </w:p>
    <w:p>
      <w:pPr>
        <w:spacing w:after="160"/>
      </w:pPr>
      <w:r>
        <w:rPr>
          <w:rFonts w:ascii="Calibri" w:cs="Calibri" w:eastAsia="Calibri" w:hAnsi="Calibri"/>
          <w:b/>
          <w:bCs/>
          <w:color w:val="1F2A44"/>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Georgia" w:cs="Georgia" w:eastAsia="Georgia" w:hAnsi="Georgia"/>
          <w:i/>
          <w:iCs/>
          <w:color w:val="55606E"/>
          <w:sz w:val="16"/>
          <w:szCs w:val="16"/>
        </w:rPr>
        <w:t xml:space="preserve">In Word, right-click the contents and choose Update Field to populate page numbers.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How to Use This Dossier</w:t>
      </w:r>
    </w:p>
    <w:p>
      <w:pPr>
        <w:spacing w:after="200" w:line="288"/>
      </w:pPr>
      <w:r>
        <w:rPr>
          <w:rFonts w:ascii="Georgia" w:cs="Georgia" w:eastAsia="Georgia" w:hAnsi="Georgia"/>
          <w:i/>
          <w:iCs/>
          <w:color w:val="55606E"/>
          <w:sz w:val="22"/>
          <w:szCs w:val="22"/>
        </w:rPr>
        <w:t xml:space="preserve">This is the knowledge base: the concepts, actors, technologies and debates a person with ten years in frontier-technology governance would carry in their head. Interview questions and case preparation are in the companion volume (Part B).</w:t>
      </w:r>
    </w:p>
    <w:p>
      <w:pPr>
        <w:spacing w:after="140" w:line="276"/>
        <w:jc w:val="both"/>
      </w:pPr>
      <w:r>
        <w:rPr>
          <w:rFonts w:ascii="Georgia" w:cs="Georgia" w:eastAsia="Georgia" w:hAnsi="Georgia"/>
          <w:color w:val="1A1A1A"/>
          <w:sz w:val="21"/>
          <w:szCs w:val="21"/>
        </w:rPr>
        <w:t xml:space="preserve">The structure mirrors the way an expert organises the field, from the ground up. Each concept is explained once, in the place where it belongs, and cross-referenced elsewhere. Read it in order the first time; afterwards, use the section numbers to revise.</w:t>
      </w:r>
    </w:p>
    <w:tbl>
      <w:tblPr>
        <w:tblW w:type="dxa" w:w="9360"/>
        <w:tblBorders>
          <w:top w:val="single" w:color="C9D3E0" w:sz="2"/>
          <w:left w:val="none"/>
          <w:bottom w:val="single" w:color="C9D3E0" w:sz="2"/>
          <w:right w:val="none"/>
          <w:insideH w:val="single" w:color="C9D3E0" w:sz="2"/>
          <w:insideV w:val="single" w:color="C9D3E0" w:sz="2"/>
        </w:tblBorders>
      </w:tblPr>
      <w:tblGrid>
        <w:gridCol w:w="2300"/>
        <w:gridCol w:w="3900"/>
        <w:gridCol w:w="3160"/>
      </w:tblGrid>
      <w:tr>
        <w:trPr>
          <w:tblHeader/>
        </w:trPr>
        <w:tc>
          <w:tcPr>
            <w:tcW w:type="dxa" w:w="2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Part</w:t>
            </w:r>
          </w:p>
        </w:tc>
        <w:tc>
          <w:tcPr>
            <w:tcW w:type="dxa" w:w="3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gives you</w:t>
            </w:r>
          </w:p>
        </w:tc>
        <w:tc>
          <w:tcPr>
            <w:tcW w:type="dxa" w:w="3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Why it matters in the interview</w:t>
            </w:r>
          </w:p>
        </w:tc>
      </w:tr>
      <w:tr>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Part I · Foundational Concepts</w:t>
            </w:r>
          </w:p>
        </w:tc>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vocabulary of frontier technology, technology maturity, governance and regulatory innovation; what ‘integrating regulatory thinking early’ actually means.</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Lets you answer any definitional or conceptual question precisely, and frame problems the way the panel does.</w:t>
            </w:r>
          </w:p>
        </w:tc>
      </w:tr>
      <w:tr>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Part II · The Ecosystem</w:t>
            </w:r>
          </w:p>
        </w:tc>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Forum as an institution, its frontier-technology teams and what each has produced, and the external actors around each technology.</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Shows you understand how the Forum works and what already exists before you propose anything.</w:t>
            </w:r>
          </w:p>
        </w:tc>
      </w:tr>
      <w:tr>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Part III · Key Technologies</w:t>
            </w:r>
          </w:p>
        </w:tc>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Deep primers: quantum (flagship), autonomous mobility and robotics, biotechnology; lighter treatment of space and AI as a convergence layer.</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Gives you the technical fluency to be credible with the teams you would partner with.</w:t>
            </w:r>
          </w:p>
        </w:tc>
      </w:tr>
      <w:tr>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Part IV · Governance Approaches</w:t>
            </w:r>
          </w:p>
        </w:tc>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instruments governments use, and the instruments the Forum uses (principles, frameworks, toolkits, blueprints, pilots, communities).</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Lets you speak about ‘innovative regulatory approaches’ without claiming the Forum regulates.</w:t>
            </w:r>
          </w:p>
        </w:tc>
      </w:tr>
      <w:tr>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Part V · Barriers and Tensions</w:t>
            </w:r>
          </w:p>
        </w:tc>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Why responsible scaling of frontier technologies stalls, and the geopolitics that shapes it.</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material for any ‘what is the real problem here?’ question.</w:t>
            </w:r>
          </w:p>
        </w:tc>
      </w:tr>
      <w:tr>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Glossary</w:t>
            </w:r>
          </w:p>
        </w:tc>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Every term used in the dossier, defined once.</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Fast revision.</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The Role, Correctly Scoped</w:t>
      </w:r>
    </w:p>
    <w:p>
      <w:pPr>
        <w:pStyle w:val="Heading2"/>
        <w:spacing w:after="100" w:before="220"/>
      </w:pPr>
      <w:r>
        <w:rPr>
          <w:rFonts w:ascii="Calibri" w:cs="Calibri" w:eastAsia="Calibri" w:hAnsi="Calibri"/>
          <w:b/>
          <w:bCs/>
          <w:color w:val="2F5D8A"/>
          <w:sz w:val="25"/>
          <w:szCs w:val="25"/>
        </w:rPr>
        <w:t xml:space="preserve">What the role is</w:t>
      </w:r>
    </w:p>
    <w:p>
      <w:pPr>
        <w:spacing w:after="140" w:line="276"/>
        <w:jc w:val="both"/>
      </w:pPr>
      <w:r>
        <w:rPr>
          <w:rFonts w:ascii="Georgia" w:cs="Georgia" w:eastAsia="Georgia" w:hAnsi="Georgia"/>
          <w:color w:val="1A1A1A"/>
          <w:sz w:val="21"/>
          <w:szCs w:val="21"/>
        </w:rPr>
        <w:t xml:space="preserve">The post is Policy Lead, Global Regulatory Innovation Platform (GRIP), based in Geneva, temporary to May 2027, reporting to the Head of Digital Inclusion. The JD asks you to build and lead a new cross-cutting workstream that connects GRIP with the Forum’s frontier-technology initiatives (quantum technologies, autonomous mobility and robotics, biotechnology, planetary systems, and future domains). Read carefully, the mandate reduces to five verbs:</w:t>
      </w:r>
    </w:p>
    <w:tbl>
      <w:tblPr>
        <w:tblW w:type="dxa" w:w="9360"/>
        <w:tblBorders>
          <w:top w:val="single" w:color="C9D3E0" w:sz="2"/>
          <w:left w:val="none"/>
          <w:bottom w:val="single" w:color="C9D3E0" w:sz="2"/>
          <w:right w:val="none"/>
          <w:insideH w:val="single" w:color="C9D3E0" w:sz="2"/>
          <w:insideV w:val="single" w:color="C9D3E0" w:sz="2"/>
        </w:tblBorders>
      </w:tblPr>
      <w:tblGrid>
        <w:gridCol w:w="1500"/>
        <w:gridCol w:w="4700"/>
        <w:gridCol w:w="3160"/>
      </w:tblGrid>
      <w:tr>
        <w:trPr>
          <w:tblHeader/>
        </w:trPr>
        <w:tc>
          <w:tcPr>
            <w:tcW w:type="dxa" w:w="1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Verb</w:t>
            </w:r>
          </w:p>
        </w:tc>
        <w:tc>
          <w:tcPr>
            <w:tcW w:type="dxa" w:w="4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means in practice</w:t>
            </w:r>
          </w:p>
        </w:tc>
        <w:tc>
          <w:tcPr>
            <w:tcW w:type="dxa" w:w="3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JD language it comes from</w:t>
            </w:r>
          </w:p>
        </w:tc>
      </w:tr>
      <w:tr>
        <w:tc>
          <w:tcPr>
            <w:tcW w:type="dxa" w:w="1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Connect</w:t>
            </w:r>
          </w:p>
        </w:tc>
        <w:tc>
          <w:tcPr>
            <w:tcW w:type="dxa" w:w="4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Be the working bridge between GRIP and each frontier-technology team, so governance expertise and technology expertise meet inside the same programmes.</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‘Primary liaison between GRIP and CFTI and industry teams’</w:t>
            </w:r>
          </w:p>
        </w:tc>
      </w:tr>
      <w:tr>
        <w:tc>
          <w:tcPr>
            <w:tcW w:type="dxa" w:w="1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Integrate</w:t>
            </w:r>
          </w:p>
        </w:tc>
        <w:tc>
          <w:tcPr>
            <w:tcW w:type="dxa" w:w="4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Bring regulatory and governance questions into a technology programme at design stage, rather than after the technology has matured.</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‘Integrate regulatory thinking early in technology development and programme design’</w:t>
            </w:r>
          </w:p>
        </w:tc>
      </w:tr>
      <w:tr>
        <w:tc>
          <w:tcPr>
            <w:tcW w:type="dxa" w:w="1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Convene</w:t>
            </w:r>
          </w:p>
        </w:tc>
        <w:tc>
          <w:tcPr>
            <w:tcW w:type="dxa" w:w="4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 a standing community of regulators, governments, companies (including Chief Legal and Chief Compliance Officers), academia and civil society around each technology.</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 a robust and engaged multistakeholder community’; working groups, roundtables, high-level dialogues</w:t>
            </w:r>
          </w:p>
        </w:tc>
      </w:tr>
      <w:tr>
        <w:tc>
          <w:tcPr>
            <w:tcW w:type="dxa" w:w="1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Translate</w:t>
            </w:r>
          </w:p>
        </w:tc>
        <w:tc>
          <w:tcPr>
            <w:tcW w:type="dxa" w:w="4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Turn technical developments into practical governance insight that governments and industry can act on, through knowledge products.</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‘Translate emerging technological developments into practical regulatory and governance insights’</w:t>
            </w:r>
          </w:p>
        </w:tc>
      </w:tr>
      <w:tr>
        <w:tc>
          <w:tcPr>
            <w:tcW w:type="dxa" w:w="1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Codify</w:t>
            </w:r>
          </w:p>
        </w:tc>
        <w:tc>
          <w:tcPr>
            <w:tcW w:type="dxa" w:w="4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Turn what works with one team into a method the other teams, and other jurisdictions, can reuse.</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‘Create a scalable model for regulatory innovation… replicated across industries and jurisdictions’</w:t>
            </w:r>
          </w:p>
        </w:tc>
      </w:tr>
    </w:tbl>
    <w:p>
      <w:pPr>
        <w:spacing w:after="80"/>
      </w:pPr>
    </w:p>
    <w:p>
      <w:pPr>
        <w:pStyle w:val="Heading2"/>
        <w:spacing w:after="100" w:before="220"/>
      </w:pPr>
      <w:r>
        <w:rPr>
          <w:rFonts w:ascii="Calibri" w:cs="Calibri" w:eastAsia="Calibri" w:hAnsi="Calibri"/>
          <w:b/>
          <w:bCs/>
          <w:color w:val="2F5D8A"/>
          <w:sz w:val="25"/>
          <w:szCs w:val="25"/>
        </w:rPr>
        <w:t xml:space="preserve">What the role is not</w:t>
      </w:r>
    </w:p>
    <w:p>
      <w:pPr>
        <w:pStyle w:val="ListParagraph"/>
        <w:numPr>
          <w:ilvl w:val="0"/>
          <w:numId w:val="1"/>
        </w:numPr>
        <w:spacing w:after="70" w:line="268"/>
      </w:pPr>
      <w:r>
        <w:rPr>
          <w:rFonts w:ascii="Georgia" w:cs="Georgia" w:eastAsia="Georgia" w:hAnsi="Georgia"/>
          <w:b/>
          <w:bCs/>
          <w:color w:val="1A1A1A"/>
          <w:sz w:val="21"/>
          <w:szCs w:val="21"/>
        </w:rPr>
        <w:t xml:space="preserve">Not writing regulation.</w:t>
      </w:r>
      <w:r>
        <w:rPr>
          <w:rFonts w:ascii="Georgia" w:cs="Georgia" w:eastAsia="Georgia" w:hAnsi="Georgia"/>
          <w:color w:val="1A1A1A"/>
          <w:sz w:val="21"/>
          <w:szCs w:val="21"/>
        </w:rPr>
        <w:t xml:space="preserve"> The Forum has no legislative or regulatory authority. Governments and regulators make rules; the Forum convenes, co-designs frameworks and principles, and synthesises what is working across jurisdictions.</w:t>
      </w:r>
    </w:p>
    <w:p>
      <w:pPr>
        <w:pStyle w:val="ListParagraph"/>
        <w:numPr>
          <w:ilvl w:val="0"/>
          <w:numId w:val="1"/>
        </w:numPr>
        <w:spacing w:after="70" w:line="268"/>
      </w:pPr>
      <w:r>
        <w:rPr>
          <w:rFonts w:ascii="Georgia" w:cs="Georgia" w:eastAsia="Georgia" w:hAnsi="Georgia"/>
          <w:b/>
          <w:bCs/>
          <w:color w:val="1A1A1A"/>
          <w:sz w:val="21"/>
          <w:szCs w:val="21"/>
        </w:rPr>
        <w:t xml:space="preserve">Not designing or running regulatory sandboxes.</w:t>
      </w:r>
      <w:r>
        <w:rPr>
          <w:rFonts w:ascii="Georgia" w:cs="Georgia" w:eastAsia="Georgia" w:hAnsi="Georgia"/>
          <w:color w:val="1A1A1A"/>
          <w:sz w:val="21"/>
          <w:szCs w:val="21"/>
        </w:rPr>
        <w:t xml:space="preserve"> Sandboxes are government instruments. You should understand them well (Part I, §5) because regulators will discuss them, but building them is not the job.</w:t>
      </w:r>
    </w:p>
    <w:p>
      <w:pPr>
        <w:pStyle w:val="ListParagraph"/>
        <w:numPr>
          <w:ilvl w:val="0"/>
          <w:numId w:val="1"/>
        </w:numPr>
        <w:spacing w:after="70" w:line="268"/>
      </w:pPr>
      <w:r>
        <w:rPr>
          <w:rFonts w:ascii="Georgia" w:cs="Georgia" w:eastAsia="Georgia" w:hAnsi="Georgia"/>
          <w:b/>
          <w:bCs/>
          <w:color w:val="1A1A1A"/>
          <w:sz w:val="21"/>
          <w:szCs w:val="21"/>
        </w:rPr>
        <w:t xml:space="preserve">Not producing GRIP’s flagship outputs.</w:t>
      </w:r>
      <w:r>
        <w:rPr>
          <w:rFonts w:ascii="Georgia" w:cs="Georgia" w:eastAsia="Georgia" w:hAnsi="Georgia"/>
          <w:color w:val="1A1A1A"/>
          <w:sz w:val="21"/>
          <w:szCs w:val="21"/>
        </w:rPr>
        <w:t xml:space="preserve"> GRIP’s Regulatory Future Readiness Index and its paper on regulatory innovation are owned by the core GRIP team and close to delivery. They are context for your work, not your deliverables.</w:t>
      </w:r>
    </w:p>
    <w:p>
      <w:pPr>
        <w:pStyle w:val="ListParagraph"/>
        <w:numPr>
          <w:ilvl w:val="0"/>
          <w:numId w:val="1"/>
        </w:numPr>
        <w:spacing w:after="70" w:line="268"/>
      </w:pPr>
      <w:r>
        <w:rPr>
          <w:rFonts w:ascii="Georgia" w:cs="Georgia" w:eastAsia="Georgia" w:hAnsi="Georgia"/>
          <w:b/>
          <w:bCs/>
          <w:color w:val="1A1A1A"/>
          <w:sz w:val="21"/>
          <w:szCs w:val="21"/>
        </w:rPr>
        <w:t xml:space="preserve">Not a technical research role.</w:t>
      </w:r>
      <w:r>
        <w:rPr>
          <w:rFonts w:ascii="Georgia" w:cs="Georgia" w:eastAsia="Georgia" w:hAnsi="Georgia"/>
          <w:color w:val="1A1A1A"/>
          <w:sz w:val="21"/>
          <w:szCs w:val="21"/>
        </w:rPr>
        <w:t xml:space="preserve"> You are not expected to out-know the quantum or biotech teams on the science. You are expected to understand it well enough to see the governance questions it raises, and to earn their trust.</w:t>
      </w:r>
    </w:p>
    <w:p>
      <w:pPr>
        <w:pStyle w:val="Heading2"/>
        <w:spacing w:after="100" w:before="220"/>
      </w:pPr>
      <w:r>
        <w:rPr>
          <w:rFonts w:ascii="Calibri" w:cs="Calibri" w:eastAsia="Calibri" w:hAnsi="Calibri"/>
          <w:b/>
          <w:bCs/>
          <w:color w:val="2F5D8A"/>
          <w:sz w:val="25"/>
          <w:szCs w:val="25"/>
        </w:rPr>
        <w:t xml:space="preserve">GRIP in one paragraph</w:t>
      </w:r>
    </w:p>
    <w:p>
      <w:pPr>
        <w:spacing w:after="140" w:line="276"/>
        <w:jc w:val="both"/>
      </w:pPr>
      <w:r>
        <w:rPr>
          <w:rFonts w:ascii="Georgia" w:cs="Georgia" w:eastAsia="Georgia" w:hAnsi="Georgia"/>
          <w:color w:val="1A1A1A"/>
          <w:sz w:val="21"/>
          <w:szCs w:val="21"/>
        </w:rPr>
        <w:t xml:space="preserve">GRIP was launched in July 2025 by the Forum with the UAE’s General Secretariat of the Cabinet. Its premise is that the gap between fast-moving technology and slow-moving regulatory systems has become a competitiveness and trust problem, and that governments should treat regulatory capability as strategic infrastructure rather than only as a brake on risk. Its initial sector focus has been AI, health and digital finance. The frontier-technology workstream extends that platform into the domains where regulatory frameworks are least developed and where the Forum already has technology teams, communities and bodies of work to build on.</w:t>
      </w:r>
    </w:p>
    <w:p>
      <w:pPr>
        <w:pStyle w:val="Heading2"/>
        <w:spacing w:after="100" w:before="220"/>
      </w:pPr>
      <w:r>
        <w:rPr>
          <w:rFonts w:ascii="Calibri" w:cs="Calibri" w:eastAsia="Calibri" w:hAnsi="Calibri"/>
          <w:b/>
          <w:bCs/>
          <w:color w:val="2F5D8A"/>
          <w:sz w:val="25"/>
          <w:szCs w:val="25"/>
        </w:rPr>
        <w:t xml:space="preserve">Where you sit: the matrix</w:t>
      </w:r>
    </w:p>
    <w:tbl>
      <w:tblPr>
        <w:tblW w:type="dxa" w:w="9360"/>
        <w:tblBorders>
          <w:top w:val="single" w:color="C9D3E0" w:sz="2"/>
          <w:left w:val="none"/>
          <w:bottom w:val="single" w:color="C9D3E0" w:sz="2"/>
          <w:right w:val="none"/>
          <w:insideH w:val="single" w:color="C9D3E0" w:sz="2"/>
          <w:insideV w:val="single" w:color="C9D3E0" w:sz="2"/>
        </w:tblBorders>
      </w:tblPr>
      <w:tblGrid>
        <w:gridCol w:w="3000"/>
        <w:gridCol w:w="6360"/>
      </w:tblGrid>
      <w:tr>
        <w:trPr>
          <w:tblHeader/>
        </w:trPr>
        <w:tc>
          <w:tcPr>
            <w:tcW w:type="dxa" w:w="3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Part of the Forum</w:t>
            </w:r>
          </w:p>
        </w:tc>
        <w:tc>
          <w:tcPr>
            <w:tcW w:type="dxa" w:w="63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Relationship to your workstream</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GRIP (your home, under the Head of Digital Inclusion)</w:t>
            </w:r>
          </w:p>
        </w:tc>
        <w:tc>
          <w:tcPr>
            <w:tcW w:type="dxa" w:w="6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Provides the regulatory-innovation mandate, government relationships (including the UAE partnership) and the regulator community.</w:t>
            </w:r>
          </w:p>
        </w:tc>
      </w:tr>
      <w:tr>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Centre for Frontier Technologies and Innovation (CFTI) and its technology teams</w:t>
            </w:r>
          </w:p>
        </w:tc>
        <w:tc>
          <w:tcPr>
            <w:tcW w:type="dxa" w:w="6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Your primary partners: quantum; autonomous mobility and robotics; biotechnology; planetary systems. They own the technology agendas and communities; you bring the governance lens.</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Centre for AI Excellence</w:t>
            </w:r>
          </w:p>
        </w:tc>
        <w:tc>
          <w:tcPr>
            <w:tcW w:type="dxa" w:w="6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Owns AI; the natural partner wherever AI converges with another frontier technology (physical AI, AI-designed biology, quantum and AI).</w:t>
            </w:r>
          </w:p>
        </w:tc>
      </w:tr>
      <w:tr>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Centre for Cybersecurity</w:t>
            </w:r>
          </w:p>
        </w:tc>
        <w:tc>
          <w:tcPr>
            <w:tcW w:type="dxa" w:w="6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natural partner on quantum security and the post-quantum cryptography transition.</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Communities (Chief Legal Officers, Chief Compliance Officers, Global Future Councils, Technology Pioneers)</w:t>
            </w:r>
          </w:p>
        </w:tc>
        <w:tc>
          <w:tcPr>
            <w:tcW w:type="dxa" w:w="6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industry-side voices on how regulation lands in practice; the JD names CLOs and CCOs explicitly.</w:t>
            </w:r>
          </w:p>
        </w:tc>
      </w:tr>
      <w:tr>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C4IR network (including the Abu Dhabi Centre for Frontier Technologies, focused on quantum, robotics and space)</w:t>
            </w:r>
          </w:p>
        </w:tc>
        <w:tc>
          <w:tcPr>
            <w:tcW w:type="dxa" w:w="6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in-country partners through which frameworks are piloted with governments.</w:t>
            </w:r>
          </w:p>
        </w:tc>
      </w:tr>
    </w:tbl>
    <w:p>
      <w:pPr>
        <w:spacing w:after="80"/>
      </w:pPr>
    </w:p>
    <w:p>
      <w:pPr>
        <w:pStyle w:val="Heading2"/>
        <w:spacing w:after="100" w:before="220"/>
      </w:pPr>
      <w:r>
        <w:rPr>
          <w:rFonts w:ascii="Calibri" w:cs="Calibri" w:eastAsia="Calibri" w:hAnsi="Calibri"/>
          <w:b/>
          <w:bCs/>
          <w:color w:val="2F5D8A"/>
          <w:sz w:val="25"/>
          <w:szCs w:val="25"/>
        </w:rPr>
        <w:t xml:space="preserve">Why quantum is the natural first collaboration</w:t>
      </w:r>
    </w:p>
    <w:p>
      <w:pPr>
        <w:spacing w:after="140" w:line="276"/>
        <w:jc w:val="both"/>
      </w:pPr>
      <w:r>
        <w:rPr>
          <w:rFonts w:ascii="Georgia" w:cs="Georgia" w:eastAsia="Georgia" w:hAnsi="Georgia"/>
          <w:color w:val="1A1A1A"/>
          <w:sz w:val="21"/>
          <w:szCs w:val="21"/>
        </w:rPr>
        <w:t xml:space="preserve">Quantum is a strong starting point, and understanding why will help you in the panel:</w:t>
      </w:r>
    </w:p>
    <w:p>
      <w:pPr>
        <w:pStyle w:val="ListParagraph"/>
        <w:numPr>
          <w:ilvl w:val="0"/>
          <w:numId w:val="2"/>
        </w:numPr>
        <w:spacing w:after="70" w:line="268"/>
      </w:pPr>
      <w:r>
        <w:rPr>
          <w:rFonts w:ascii="Georgia" w:cs="Georgia" w:eastAsia="Georgia" w:hAnsi="Georgia"/>
          <w:b/>
          <w:bCs/>
          <w:color w:val="1A1A1A"/>
          <w:sz w:val="21"/>
          <w:szCs w:val="21"/>
        </w:rPr>
        <w:t xml:space="preserve">It has a hard regulatory clock.</w:t>
      </w:r>
      <w:r>
        <w:rPr>
          <w:rFonts w:ascii="Georgia" w:cs="Georgia" w:eastAsia="Georgia" w:hAnsi="Georgia"/>
          <w:color w:val="1A1A1A"/>
          <w:sz w:val="21"/>
          <w:szCs w:val="21"/>
        </w:rPr>
        <w:t xml:space="preserve"> The transition to post-quantum cryptography now has published government deadlines (2030 and 2035 in the US, EU and UK; Part III, §1.7). Few frontier technologies have such a concrete, near-term governance question.</w:t>
      </w:r>
    </w:p>
    <w:p>
      <w:pPr>
        <w:pStyle w:val="ListParagraph"/>
        <w:numPr>
          <w:ilvl w:val="0"/>
          <w:numId w:val="2"/>
        </w:numPr>
        <w:spacing w:after="70" w:line="268"/>
      </w:pPr>
      <w:r>
        <w:rPr>
          <w:rFonts w:ascii="Georgia" w:cs="Georgia" w:eastAsia="Georgia" w:hAnsi="Georgia"/>
          <w:b/>
          <w:bCs/>
          <w:color w:val="1A1A1A"/>
          <w:sz w:val="21"/>
          <w:szCs w:val="21"/>
        </w:rPr>
        <w:t xml:space="preserve">The Forum’s quantum team has already done regulatory-facing work.</w:t>
      </w:r>
      <w:r>
        <w:rPr>
          <w:rFonts w:ascii="Georgia" w:cs="Georgia" w:eastAsia="Georgia" w:hAnsi="Georgia"/>
          <w:color w:val="1A1A1A"/>
          <w:sz w:val="21"/>
          <w:szCs w:val="21"/>
        </w:rPr>
        <w:t xml:space="preserve"> Its 2024 white paper with the UK Financial Conduct Authority, Quantum Security for the Financial Sector: Informing Global Regulatory Approaches, set out guiding principles and a roadmap for regulators. There is a precedent to build on, and a regulator relationship to extend.</w:t>
      </w:r>
    </w:p>
    <w:p>
      <w:pPr>
        <w:pStyle w:val="ListParagraph"/>
        <w:numPr>
          <w:ilvl w:val="0"/>
          <w:numId w:val="2"/>
        </w:numPr>
        <w:spacing w:after="70" w:line="268"/>
      </w:pPr>
      <w:r>
        <w:rPr>
          <w:rFonts w:ascii="Georgia" w:cs="Georgia" w:eastAsia="Georgia" w:hAnsi="Georgia"/>
          <w:b/>
          <w:bCs/>
          <w:color w:val="1A1A1A"/>
          <w:sz w:val="21"/>
          <w:szCs w:val="21"/>
        </w:rPr>
        <w:t xml:space="preserve">There is a visible fragmentation problem.</w:t>
      </w:r>
      <w:r>
        <w:rPr>
          <w:rFonts w:ascii="Georgia" w:cs="Georgia" w:eastAsia="Georgia" w:hAnsi="Georgia"/>
          <w:color w:val="1A1A1A"/>
          <w:sz w:val="21"/>
          <w:szCs w:val="21"/>
        </w:rPr>
        <w:t xml:space="preserve"> Jurisdictions are setting different migration timelines and requirements, which is exactly the kind of cross-border coherence problem GRIP exists to address.</w:t>
      </w:r>
    </w:p>
    <w:p>
      <w:pPr>
        <w:pStyle w:val="ListParagraph"/>
        <w:numPr>
          <w:ilvl w:val="0"/>
          <w:numId w:val="2"/>
        </w:numPr>
        <w:spacing w:after="70" w:line="268"/>
      </w:pPr>
      <w:r>
        <w:rPr>
          <w:rFonts w:ascii="Georgia" w:cs="Georgia" w:eastAsia="Georgia" w:hAnsi="Georgia"/>
          <w:b/>
          <w:bCs/>
          <w:color w:val="1A1A1A"/>
          <w:sz w:val="21"/>
          <w:szCs w:val="21"/>
        </w:rPr>
        <w:t xml:space="preserve">There is an existing body of frameworks to extend.</w:t>
      </w:r>
      <w:r>
        <w:rPr>
          <w:rFonts w:ascii="Georgia" w:cs="Georgia" w:eastAsia="Georgia" w:hAnsi="Georgia"/>
          <w:color w:val="1A1A1A"/>
          <w:sz w:val="21"/>
          <w:szCs w:val="21"/>
        </w:rPr>
        <w:t xml:space="preserve"> The Quantum Computing Governance Principles (2022), the Quantum Readiness Toolkit (2023) and the Quantum Economy Blueprint (2024, piloted with C4IR Saudi Arabia) give you a foundation, not a blank page.</w:t>
      </w:r>
    </w:p>
    <w:p>
      <w:pPr>
        <w:pStyle w:val="ListParagraph"/>
        <w:numPr>
          <w:ilvl w:val="0"/>
          <w:numId w:val="2"/>
        </w:numPr>
        <w:spacing w:after="70" w:line="268"/>
      </w:pPr>
      <w:r>
        <w:rPr>
          <w:rFonts w:ascii="Georgia" w:cs="Georgia" w:eastAsia="Georgia" w:hAnsi="Georgia"/>
          <w:b/>
          <w:bCs/>
          <w:color w:val="1A1A1A"/>
          <w:sz w:val="21"/>
          <w:szCs w:val="21"/>
        </w:rPr>
        <w:t xml:space="preserve">It is geographically aligned with GRIP’s partners.</w:t>
      </w:r>
      <w:r>
        <w:rPr>
          <w:rFonts w:ascii="Georgia" w:cs="Georgia" w:eastAsia="Georgia" w:hAnsi="Georgia"/>
          <w:color w:val="1A1A1A"/>
          <w:sz w:val="21"/>
          <w:szCs w:val="21"/>
        </w:rPr>
        <w:t xml:space="preserve"> The new Abu Dhabi Centre for Frontier Technologies lists quantum as a focus area.</w:t>
      </w:r>
    </w:p>
    <w:p>
      <w:pPr>
        <w:pStyle w:val="Heading2"/>
        <w:spacing w:after="100" w:before="220"/>
      </w:pPr>
      <w:r>
        <w:rPr>
          <w:rFonts w:ascii="Calibri" w:cs="Calibri" w:eastAsia="Calibri" w:hAnsi="Calibri"/>
          <w:b/>
          <w:bCs/>
          <w:color w:val="2F5D8A"/>
          <w:sz w:val="25"/>
          <w:szCs w:val="25"/>
        </w:rPr>
        <w:t xml:space="preserve">What success could look like by May 2027</w:t>
      </w:r>
    </w:p>
    <w:p>
      <w:pPr>
        <w:spacing w:after="140" w:line="276"/>
        <w:jc w:val="both"/>
      </w:pPr>
      <w:r>
        <w:rPr>
          <w:rFonts w:ascii="Georgia" w:cs="Georgia" w:eastAsia="Georgia" w:hAnsi="Georgia"/>
          <w:color w:val="1A1A1A"/>
          <w:sz w:val="21"/>
          <w:szCs w:val="21"/>
        </w:rPr>
        <w:t xml:space="preserve">This is an inference from the JD, not information from the Forum; use it as a hypothesis to test with your interviewers. By the end of the contract, a successful workstream would plausibly have: a collaboration model tested with the quantum team and extended to at least one other frontier-technology team; a standing community of regulators and industry legal and compliance leaders engaged on frontier-technology governance; one or two co-produced knowledge products that governments or companies have visibly used; and a documented method that the Forum can keep using after the temporary role ends.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Part I · Foundational Concepts</w:t>
      </w:r>
    </w:p>
    <w:p>
      <w:pPr>
        <w:spacing w:after="200" w:line="288"/>
      </w:pPr>
      <w:r>
        <w:rPr>
          <w:rFonts w:ascii="Georgia" w:cs="Georgia" w:eastAsia="Georgia" w:hAnsi="Georgia"/>
          <w:i/>
          <w:iCs/>
          <w:color w:val="55606E"/>
          <w:sz w:val="22"/>
          <w:szCs w:val="22"/>
        </w:rPr>
        <w:t xml:space="preserve">The base layer. These are the concepts every later part builds on: what a frontier technology is, how technologies mature, what governance and regulation actually mean, why frontier technologies strain them, what ‘regulatory innovation’ covers, and what it means to integrate regulatory thinking early.</w:t>
      </w:r>
    </w:p>
    <w:p>
      <w:pPr>
        <w:pStyle w:val="Heading2"/>
        <w:spacing w:after="100" w:before="220"/>
      </w:pPr>
      <w:r>
        <w:rPr>
          <w:rFonts w:ascii="Calibri" w:cs="Calibri" w:eastAsia="Calibri" w:hAnsi="Calibri"/>
          <w:b/>
          <w:bCs/>
          <w:color w:val="2F5D8A"/>
          <w:sz w:val="25"/>
          <w:szCs w:val="25"/>
        </w:rPr>
        <w:t xml:space="preserve">1. The vocabulary of frontier technology</w:t>
      </w:r>
    </w:p>
    <w:p>
      <w:pPr>
        <w:spacing w:after="140" w:line="276"/>
        <w:jc w:val="both"/>
      </w:pPr>
      <w:r>
        <w:rPr>
          <w:rFonts w:ascii="Georgia" w:cs="Georgia" w:eastAsia="Georgia" w:hAnsi="Georgia"/>
          <w:color w:val="1A1A1A"/>
          <w:sz w:val="21"/>
          <w:szCs w:val="21"/>
        </w:rPr>
        <w:t xml:space="preserve">These terms are often used interchangeably. Using them precisely is one of the fastest ways to sound like an insider.</w:t>
      </w:r>
    </w:p>
    <w:tbl>
      <w:tblPr>
        <w:tblW w:type="dxa" w:w="9360"/>
        <w:tblBorders>
          <w:top w:val="single" w:color="C9D3E0" w:sz="2"/>
          <w:left w:val="none"/>
          <w:bottom w:val="single" w:color="C9D3E0" w:sz="2"/>
          <w:right w:val="none"/>
          <w:insideH w:val="single" w:color="C9D3E0" w:sz="2"/>
          <w:insideV w:val="single" w:color="C9D3E0" w:sz="2"/>
        </w:tblBorders>
      </w:tblPr>
      <w:tblGrid>
        <w:gridCol w:w="1700"/>
        <w:gridCol w:w="3100"/>
        <w:gridCol w:w="2000"/>
        <w:gridCol w:w="2560"/>
      </w:tblGrid>
      <w:tr>
        <w:trPr>
          <w:tblHeader/>
        </w:trPr>
        <w:tc>
          <w:tcPr>
            <w:tcW w:type="dxa" w:w="1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Term</w:t>
            </w:r>
          </w:p>
        </w:tc>
        <w:tc>
          <w:tcPr>
            <w:tcW w:type="dxa" w:w="3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Definition</w:t>
            </w:r>
          </w:p>
        </w:tc>
        <w:tc>
          <w:tcPr>
            <w:tcW w:type="dxa" w:w="2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Example</w:t>
            </w:r>
          </w:p>
        </w:tc>
        <w:tc>
          <w:tcPr>
            <w:tcW w:type="dxa" w:w="2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Why it matters for governance</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Emerging technology</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technology still developing, not yet widely adopted, with uncertain eventual impact.</w:t>
            </w:r>
          </w:p>
        </w:tc>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Most of the list below.</w:t>
            </w:r>
          </w:p>
        </w:tc>
        <w:tc>
          <w:tcPr>
            <w:tcW w:type="dxa" w:w="2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Broad umbrella; says nothing about risk or scale.</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Frontier technology</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leading edge of emerging technology: the most advanced, highest-potential, highest-uncertainty fields. Used by UNCTAD and WIPO, and by the Forum.</w:t>
            </w:r>
          </w:p>
        </w:tc>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advanced AI, synthetic biology, humanoid robotics.</w:t>
            </w:r>
          </w:p>
        </w:tc>
        <w:tc>
          <w:tcPr>
            <w:tcW w:type="dxa" w:w="2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Where rules are thinnest and where the Forum’s frontier-technology teams work.</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General-purpose technology (GPT)</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technology that spreads across the whole economy, keeps improving, and spawns complementary innovations.</w:t>
            </w:r>
          </w:p>
        </w:tc>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Electricity, computing, AI.</w:t>
            </w:r>
          </w:p>
        </w:tc>
        <w:tc>
          <w:tcPr>
            <w:tcW w:type="dxa" w:w="2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Horizontal technologies resist sector-by-sector rules.</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Deep tech</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Technology rooted in a scientific or engineering breakthrough rather than a business-model innovation. Long timelines, high capital, high technical risk.</w:t>
            </w:r>
          </w:p>
        </w:tc>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hardware, fusion, gene editing.</w:t>
            </w:r>
          </w:p>
        </w:tc>
        <w:tc>
          <w:tcPr>
            <w:tcW w:type="dxa" w:w="2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Governance questions arrive years before products do.</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Dual-use technology</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technology with both beneficial civilian and harmful (often military or weapons) applications.</w:t>
            </w:r>
          </w:p>
        </w:tc>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computing (cryptanalysis), synthetic biology, drones.</w:t>
            </w:r>
          </w:p>
        </w:tc>
        <w:tc>
          <w:tcPr>
            <w:tcW w:type="dxa" w:w="2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Brings in export controls and security agencies alongside civilian regulators.</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Exponential technology</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One whose performance or cost improves at a compounding rate.</w:t>
            </w:r>
          </w:p>
        </w:tc>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Genome sequencing costs; AI compute.</w:t>
            </w:r>
          </w:p>
        </w:tc>
        <w:tc>
          <w:tcPr>
            <w:tcW w:type="dxa" w:w="2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source of the ‘pacing problem’ (§4).</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Convergence</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combination of two or more frontier technologies into new capabilities.</w:t>
            </w:r>
          </w:p>
        </w:tc>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AI-designed proteins; AI-controlled robots (‘physical AI’).</w:t>
            </w:r>
          </w:p>
        </w:tc>
        <w:tc>
          <w:tcPr>
            <w:tcW w:type="dxa" w:w="2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Falls between regulators and between Forum teams; a core reason for a cross-cutting workstream.</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Fourth Industrial Revolution (4IR)</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Forum’s term (Klaus Schwab, 2016) for the fusion of physical, digital and biological technologies.</w:t>
            </w:r>
          </w:p>
        </w:tc>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Origin of the C4IR network’s name.</w:t>
            </w:r>
          </w:p>
        </w:tc>
        <w:tc>
          <w:tcPr>
            <w:tcW w:type="dxa" w:w="2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Useful to recognise; the Forum now more often speaks of the ‘Intelligent Age’.</w:t>
            </w:r>
          </w:p>
        </w:tc>
      </w:tr>
    </w:tbl>
    <w:p>
      <w:pPr>
        <w:spacing w:after="80"/>
      </w:pPr>
    </w:p>
    <w:p>
      <w:pPr>
        <w:pStyle w:val="Heading2"/>
        <w:spacing w:after="100" w:before="220"/>
      </w:pPr>
      <w:r>
        <w:rPr>
          <w:rFonts w:ascii="Calibri" w:cs="Calibri" w:eastAsia="Calibri" w:hAnsi="Calibri"/>
          <w:b/>
          <w:bCs/>
          <w:color w:val="2F5D8A"/>
          <w:sz w:val="25"/>
          <w:szCs w:val="25"/>
        </w:rPr>
        <w:t xml:space="preserve">2. How technologies mature and diffuse</w:t>
      </w:r>
    </w:p>
    <w:p>
      <w:pPr>
        <w:spacing w:after="140" w:line="276"/>
        <w:jc w:val="both"/>
      </w:pPr>
      <w:r>
        <w:rPr>
          <w:rFonts w:ascii="Georgia" w:cs="Georgia" w:eastAsia="Georgia" w:hAnsi="Georgia"/>
          <w:color w:val="1A1A1A"/>
          <w:sz w:val="21"/>
          <w:szCs w:val="21"/>
        </w:rPr>
        <w:t xml:space="preserve">Governance has to meet a technology at the right point in its life. Five models give you the language to say where a technology is and what that implies.</w:t>
      </w:r>
    </w:p>
    <w:p>
      <w:pPr>
        <w:pStyle w:val="Heading3"/>
        <w:spacing w:after="70" w:before="160"/>
      </w:pPr>
      <w:r>
        <w:rPr>
          <w:rFonts w:ascii="Calibri" w:cs="Calibri" w:eastAsia="Calibri" w:hAnsi="Calibri"/>
          <w:b/>
          <w:bCs/>
          <w:color w:val="1F2A44"/>
          <w:sz w:val="22"/>
          <w:szCs w:val="22"/>
        </w:rPr>
        <w:t xml:space="preserve">2.1 Technology Readiness Levels (TRL 1–9)</w:t>
      </w:r>
    </w:p>
    <w:p>
      <w:pPr>
        <w:spacing w:after="140" w:line="276"/>
        <w:jc w:val="both"/>
      </w:pPr>
      <w:r>
        <w:rPr>
          <w:rFonts w:ascii="Georgia" w:cs="Georgia" w:eastAsia="Georgia" w:hAnsi="Georgia"/>
          <w:color w:val="1A1A1A"/>
          <w:sz w:val="21"/>
          <w:szCs w:val="21"/>
        </w:rPr>
        <w:t xml:space="preserve">Originally developed by NASA and now standard in R&amp;D funding and procurement, TRLs score maturity from basic principles to proven operation.</w:t>
      </w:r>
    </w:p>
    <w:tbl>
      <w:tblPr>
        <w:tblW w:type="dxa" w:w="9360"/>
        <w:tblBorders>
          <w:top w:val="single" w:color="C9D3E0" w:sz="2"/>
          <w:left w:val="none"/>
          <w:bottom w:val="single" w:color="C9D3E0" w:sz="2"/>
          <w:right w:val="none"/>
          <w:insideH w:val="single" w:color="C9D3E0" w:sz="2"/>
          <w:insideV w:val="single" w:color="C9D3E0" w:sz="2"/>
        </w:tblBorders>
      </w:tblPr>
      <w:tblGrid>
        <w:gridCol w:w="2200"/>
        <w:gridCol w:w="1400"/>
        <w:gridCol w:w="5760"/>
      </w:tblGrid>
      <w:tr>
        <w:trPr>
          <w:tblHeader/>
        </w:trPr>
        <w:tc>
          <w:tcPr>
            <w:tcW w:type="dxa" w:w="2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Band</w:t>
            </w:r>
          </w:p>
        </w:tc>
        <w:tc>
          <w:tcPr>
            <w:tcW w:type="dxa" w:w="14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Levels</w:t>
            </w:r>
          </w:p>
        </w:tc>
        <w:tc>
          <w:tcPr>
            <w:tcW w:type="dxa" w:w="57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means</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Research</w:t>
            </w:r>
          </w:p>
        </w:tc>
        <w:tc>
          <w:tcPr>
            <w:tcW w:type="dxa" w:w="1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TRL 1–3</w:t>
            </w:r>
          </w:p>
        </w:tc>
        <w:tc>
          <w:tcPr>
            <w:tcW w:type="dxa" w:w="5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Basic principles observed; concept formulated; experimental proof of concept.</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Development</w:t>
            </w:r>
          </w:p>
        </w:tc>
        <w:tc>
          <w:tcPr>
            <w:tcW w:type="dxa" w:w="1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TRL 4–6</w:t>
            </w:r>
          </w:p>
        </w:tc>
        <w:tc>
          <w:tcPr>
            <w:tcW w:type="dxa" w:w="5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Validated in the lab, then in a relevant environment; prototype demonstrated.</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Deployment</w:t>
            </w:r>
          </w:p>
        </w:tc>
        <w:tc>
          <w:tcPr>
            <w:tcW w:type="dxa" w:w="1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TRL 7–9</w:t>
            </w:r>
          </w:p>
        </w:tc>
        <w:tc>
          <w:tcPr>
            <w:tcW w:type="dxa" w:w="5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Prototype in operational environment; system complete and qualified; proven in operation.</w:t>
            </w:r>
          </w:p>
        </w:tc>
      </w:tr>
    </w:tbl>
    <w:p>
      <w:pPr>
        <w:spacing w:after="80"/>
      </w:pPr>
    </w:p>
    <w:p>
      <w:pPr>
        <w:pStyle w:val="Heading3"/>
        <w:spacing w:after="70" w:before="160"/>
      </w:pPr>
      <w:r>
        <w:rPr>
          <w:rFonts w:ascii="Calibri" w:cs="Calibri" w:eastAsia="Calibri" w:hAnsi="Calibri"/>
          <w:b/>
          <w:bCs/>
          <w:color w:val="1F2A44"/>
          <w:sz w:val="22"/>
          <w:szCs w:val="22"/>
        </w:rPr>
        <w:t xml:space="preserve">2.2 The adoption S-curve</w:t>
      </w:r>
    </w:p>
    <w:p>
      <w:pPr>
        <w:spacing w:after="140" w:line="276"/>
        <w:jc w:val="both"/>
      </w:pPr>
      <w:r>
        <w:rPr>
          <w:rFonts w:ascii="Georgia" w:cs="Georgia" w:eastAsia="Georgia" w:hAnsi="Georgia"/>
          <w:color w:val="1A1A1A"/>
          <w:sz w:val="21"/>
          <w:szCs w:val="21"/>
        </w:rPr>
        <w:t xml:space="preserve">Adoption is slow at first, accelerates through a steep growth phase, then plateaus. The instrument should follow the curve: foresight and dialogue early, standards and clear rules as adoption steepens, and review and adjustment at maturity.</w:t>
      </w:r>
    </w:p>
    <w:p>
      <w:pPr>
        <w:pStyle w:val="Heading3"/>
        <w:spacing w:after="70" w:before="160"/>
      </w:pPr>
      <w:r>
        <w:rPr>
          <w:rFonts w:ascii="Calibri" w:cs="Calibri" w:eastAsia="Calibri" w:hAnsi="Calibri"/>
          <w:b/>
          <w:bCs/>
          <w:color w:val="1F2A44"/>
          <w:sz w:val="22"/>
          <w:szCs w:val="22"/>
        </w:rPr>
        <w:t xml:space="preserve">2.3 The hype cycle</w:t>
      </w:r>
    </w:p>
    <w:p>
      <w:pPr>
        <w:spacing w:after="140" w:line="276"/>
        <w:jc w:val="both"/>
      </w:pPr>
      <w:r>
        <w:rPr>
          <w:rFonts w:ascii="Georgia" w:cs="Georgia" w:eastAsia="Georgia" w:hAnsi="Georgia"/>
          <w:color w:val="1A1A1A"/>
          <w:sz w:val="21"/>
          <w:szCs w:val="21"/>
        </w:rPr>
        <w:t xml:space="preserve">Gartner’s model: a trigger, a peak of inflated expectations, a trough of disillusionment, a slope of enlightenment, and a plateau of productivity. Its governance lesson is to avoid both over-regulating at the peak and neglecting a technology in the trough, when it is often maturing quietly.</w:t>
      </w:r>
    </w:p>
    <w:p>
      <w:pPr>
        <w:pStyle w:val="Heading3"/>
        <w:spacing w:after="70" w:before="160"/>
      </w:pPr>
      <w:r>
        <w:rPr>
          <w:rFonts w:ascii="Calibri" w:cs="Calibri" w:eastAsia="Calibri" w:hAnsi="Calibri"/>
          <w:b/>
          <w:bCs/>
          <w:color w:val="1F2A44"/>
          <w:sz w:val="22"/>
          <w:szCs w:val="22"/>
        </w:rPr>
        <w:t xml:space="preserve">2.4 Diffusion of innovations</w:t>
      </w:r>
    </w:p>
    <w:p>
      <w:pPr>
        <w:spacing w:after="140" w:line="276"/>
        <w:jc w:val="both"/>
      </w:pPr>
      <w:r>
        <w:rPr>
          <w:rFonts w:ascii="Georgia" w:cs="Georgia" w:eastAsia="Georgia" w:hAnsi="Georgia"/>
          <w:color w:val="1A1A1A"/>
          <w:sz w:val="21"/>
          <w:szCs w:val="21"/>
        </w:rPr>
        <w:t xml:space="preserve">Everett Rogers: adoption spreads from innovators to early adopters, early majority, late majority and laggards. The gap between enthusiasts and the mainstream (Geoffrey Moore’s ‘chasm’) is often bridged by trust, standards and clear rules, which is why good governance can accelerate adoption rather than slow it.</w:t>
      </w:r>
    </w:p>
    <w:p>
      <w:pPr>
        <w:pStyle w:val="Heading3"/>
        <w:spacing w:after="70" w:before="160"/>
      </w:pPr>
      <w:r>
        <w:rPr>
          <w:rFonts w:ascii="Calibri" w:cs="Calibri" w:eastAsia="Calibri" w:hAnsi="Calibri"/>
          <w:b/>
          <w:bCs/>
          <w:color w:val="1F2A44"/>
          <w:sz w:val="22"/>
          <w:szCs w:val="22"/>
        </w:rPr>
        <w:t xml:space="preserve">2.5 The productivity J-curve</w:t>
      </w:r>
    </w:p>
    <w:p>
      <w:pPr>
        <w:spacing w:after="140" w:line="276"/>
        <w:jc w:val="both"/>
      </w:pPr>
      <w:r>
        <w:rPr>
          <w:rFonts w:ascii="Georgia" w:cs="Georgia" w:eastAsia="Georgia" w:hAnsi="Georgia"/>
          <w:color w:val="1A1A1A"/>
          <w:sz w:val="21"/>
          <w:szCs w:val="21"/>
        </w:rPr>
        <w:t xml:space="preserve">General-purpose technologies often depress measured productivity for years while organisations re-tool around them, before gains appear. This is why their long-run impact, and the case for governing them well early, is chronically underestimated.</w:t>
      </w:r>
    </w:p>
    <w:p>
      <w:pPr>
        <w:pStyle w:val="Heading3"/>
        <w:spacing w:after="70" w:before="160"/>
      </w:pPr>
      <w:r>
        <w:rPr>
          <w:rFonts w:ascii="Calibri" w:cs="Calibri" w:eastAsia="Calibri" w:hAnsi="Calibri"/>
          <w:b/>
          <w:bCs/>
          <w:color w:val="1F2A44"/>
          <w:sz w:val="22"/>
          <w:szCs w:val="22"/>
        </w:rPr>
        <w:t xml:space="preserve">2.6 Where the Forum’s frontier domains sit today</w:t>
      </w:r>
    </w:p>
    <w:p>
      <w:pPr>
        <w:spacing w:after="140" w:line="276"/>
        <w:jc w:val="both"/>
      </w:pPr>
      <w:r>
        <w:rPr>
          <w:rFonts w:ascii="Georgia" w:cs="Georgia" w:eastAsia="Georgia" w:hAnsi="Georgia"/>
          <w:color w:val="1A1A1A"/>
          <w:sz w:val="21"/>
          <w:szCs w:val="21"/>
        </w:rPr>
        <w:t xml:space="preserve">Approximate positions as of 2026, to be used directionally:</w:t>
      </w:r>
    </w:p>
    <w:tbl>
      <w:tblPr>
        <w:tblW w:type="dxa" w:w="9360"/>
        <w:tblBorders>
          <w:top w:val="single" w:color="C9D3E0" w:sz="2"/>
          <w:left w:val="none"/>
          <w:bottom w:val="single" w:color="C9D3E0" w:sz="2"/>
          <w:right w:val="none"/>
          <w:insideH w:val="single" w:color="C9D3E0" w:sz="2"/>
          <w:insideV w:val="single" w:color="C9D3E0" w:sz="2"/>
        </w:tblBorders>
      </w:tblPr>
      <w:tblGrid>
        <w:gridCol w:w="2300"/>
        <w:gridCol w:w="3530"/>
        <w:gridCol w:w="3530"/>
      </w:tblGrid>
      <w:tr>
        <w:trPr>
          <w:tblHeader/>
        </w:trPr>
        <w:tc>
          <w:tcPr>
            <w:tcW w:type="dxa" w:w="2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Domain</w:t>
            </w:r>
          </w:p>
        </w:tc>
        <w:tc>
          <w:tcPr>
            <w:tcW w:type="dxa" w:w="353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Most mature application</w:t>
            </w:r>
          </w:p>
        </w:tc>
        <w:tc>
          <w:tcPr>
            <w:tcW w:type="dxa" w:w="353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Least mature application</w:t>
            </w:r>
          </w:p>
        </w:tc>
      </w:tr>
      <w:tr>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w:t>
            </w:r>
          </w:p>
        </w:tc>
        <w:tc>
          <w:tcPr>
            <w:tcW w:type="dxa" w:w="35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Post-quantum cryptography: standardised and being deployed. Some quantum sensing is commercial.</w:t>
            </w:r>
          </w:p>
        </w:tc>
        <w:tc>
          <w:tcPr>
            <w:tcW w:type="dxa" w:w="35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Fault-tolerant quantum computing: prototypes of error-corrected logical qubits; useful scale targeted for roughly 2029–2033.</w:t>
            </w:r>
          </w:p>
        </w:tc>
      </w:tr>
      <w:tr>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Autonomous mobility and robotics</w:t>
            </w:r>
          </w:p>
        </w:tc>
        <w:tc>
          <w:tcPr>
            <w:tcW w:type="dxa" w:w="35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Robotaxis in defined areas (hundreds of thousands of paid rides a week in the US and China); industrial robots and cobots.</w:t>
            </w:r>
          </w:p>
        </w:tc>
        <w:tc>
          <w:tcPr>
            <w:tcW w:type="dxa" w:w="35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Personal driverless cars; general-purpose humanoid robots (pilot stage).</w:t>
            </w:r>
          </w:p>
        </w:tc>
      </w:tr>
      <w:tr>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Biotechnology</w:t>
            </w:r>
          </w:p>
        </w:tc>
        <w:tc>
          <w:tcPr>
            <w:tcW w:type="dxa" w:w="35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Approved gene therapies; mRNA vaccines; established biomanufacturing.</w:t>
            </w:r>
          </w:p>
        </w:tc>
        <w:tc>
          <w:tcPr>
            <w:tcW w:type="dxa" w:w="35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AI-designed biology at scale; widespread engineered organisms in the environment.</w:t>
            </w:r>
          </w:p>
        </w:tc>
      </w:tr>
      <w:tr>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w:t>
            </w:r>
          </w:p>
        </w:tc>
        <w:tc>
          <w:tcPr>
            <w:tcW w:type="dxa" w:w="35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Satellite communications, navigation and Earth observation.</w:t>
            </w:r>
          </w:p>
        </w:tc>
        <w:tc>
          <w:tcPr>
            <w:tcW w:type="dxa" w:w="35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In-space manufacturing and resource extraction.</w:t>
            </w:r>
          </w:p>
        </w:tc>
      </w:tr>
    </w:tbl>
    <w:p>
      <w:pPr>
        <w:spacing w:after="80"/>
      </w:pPr>
    </w:p>
    <w:p>
      <w:pPr>
        <w:pStyle w:val="Heading2"/>
        <w:spacing w:after="100" w:before="220"/>
      </w:pPr>
      <w:r>
        <w:rPr>
          <w:rFonts w:ascii="Calibri" w:cs="Calibri" w:eastAsia="Calibri" w:hAnsi="Calibri"/>
          <w:b/>
          <w:bCs/>
          <w:color w:val="2F5D8A"/>
          <w:sz w:val="25"/>
          <w:szCs w:val="25"/>
        </w:rPr>
        <w:t xml:space="preserve">3. The governance vocabulary</w:t>
      </w:r>
    </w:p>
    <w:p>
      <w:pPr>
        <w:spacing w:after="140" w:line="276"/>
        <w:jc w:val="both"/>
      </w:pPr>
      <w:r>
        <w:rPr>
          <w:rFonts w:ascii="Georgia" w:cs="Georgia" w:eastAsia="Georgia" w:hAnsi="Georgia"/>
          <w:color w:val="1A1A1A"/>
          <w:sz w:val="21"/>
          <w:szCs w:val="21"/>
        </w:rPr>
        <w:t xml:space="preserve">Muddling these terms is a tell. The hierarchy, from narrowest to broadest:</w:t>
      </w:r>
    </w:p>
    <w:p>
      <w:pPr>
        <w:pStyle w:val="ListParagraph"/>
        <w:numPr>
          <w:ilvl w:val="0"/>
          <w:numId w:val="1"/>
        </w:numPr>
        <w:spacing w:after="70" w:line="268"/>
      </w:pPr>
      <w:r>
        <w:rPr>
          <w:rFonts w:ascii="Georgia" w:cs="Georgia" w:eastAsia="Georgia" w:hAnsi="Georgia"/>
          <w:b/>
          <w:bCs/>
          <w:color w:val="1A1A1A"/>
          <w:sz w:val="21"/>
          <w:szCs w:val="21"/>
        </w:rPr>
        <w:t xml:space="preserve">Policy:</w:t>
      </w:r>
      <w:r>
        <w:rPr>
          <w:rFonts w:ascii="Georgia" w:cs="Georgia" w:eastAsia="Georgia" w:hAnsi="Georgia"/>
          <w:color w:val="1A1A1A"/>
          <w:sz w:val="21"/>
          <w:szCs w:val="21"/>
        </w:rPr>
        <w:t xml:space="preserve"> a government’s stated objectives and intended course of action.</w:t>
      </w:r>
    </w:p>
    <w:p>
      <w:pPr>
        <w:pStyle w:val="ListParagraph"/>
        <w:numPr>
          <w:ilvl w:val="0"/>
          <w:numId w:val="1"/>
        </w:numPr>
        <w:spacing w:after="70" w:line="268"/>
      </w:pPr>
      <w:r>
        <w:rPr>
          <w:rFonts w:ascii="Georgia" w:cs="Georgia" w:eastAsia="Georgia" w:hAnsi="Georgia"/>
          <w:b/>
          <w:bCs/>
          <w:color w:val="1A1A1A"/>
          <w:sz w:val="21"/>
          <w:szCs w:val="21"/>
        </w:rPr>
        <w:t xml:space="preserve">Law (legislation):</w:t>
      </w:r>
      <w:r>
        <w:rPr>
          <w:rFonts w:ascii="Georgia" w:cs="Georgia" w:eastAsia="Georgia" w:hAnsi="Georgia"/>
          <w:color w:val="1A1A1A"/>
          <w:sz w:val="21"/>
          <w:szCs w:val="21"/>
        </w:rPr>
        <w:t xml:space="preserve"> binding rules enacted by a legislature.</w:t>
      </w:r>
    </w:p>
    <w:p>
      <w:pPr>
        <w:pStyle w:val="ListParagraph"/>
        <w:numPr>
          <w:ilvl w:val="0"/>
          <w:numId w:val="1"/>
        </w:numPr>
        <w:spacing w:after="70" w:line="268"/>
      </w:pPr>
      <w:r>
        <w:rPr>
          <w:rFonts w:ascii="Georgia" w:cs="Georgia" w:eastAsia="Georgia" w:hAnsi="Georgia"/>
          <w:b/>
          <w:bCs/>
          <w:color w:val="1A1A1A"/>
          <w:sz w:val="21"/>
          <w:szCs w:val="21"/>
        </w:rPr>
        <w:t xml:space="preserve">Regulation:</w:t>
      </w:r>
      <w:r>
        <w:rPr>
          <w:rFonts w:ascii="Georgia" w:cs="Georgia" w:eastAsia="Georgia" w:hAnsi="Georgia"/>
          <w:color w:val="1A1A1A"/>
          <w:sz w:val="21"/>
          <w:szCs w:val="21"/>
        </w:rPr>
        <w:t xml:space="preserve"> detailed, often technical rules made by agencies under powers delegated by law, together with their enforcement.</w:t>
      </w:r>
    </w:p>
    <w:p>
      <w:pPr>
        <w:pStyle w:val="ListParagraph"/>
        <w:numPr>
          <w:ilvl w:val="0"/>
          <w:numId w:val="1"/>
        </w:numPr>
        <w:spacing w:after="70" w:line="268"/>
      </w:pPr>
      <w:r>
        <w:rPr>
          <w:rFonts w:ascii="Georgia" w:cs="Georgia" w:eastAsia="Georgia" w:hAnsi="Georgia"/>
          <w:b/>
          <w:bCs/>
          <w:color w:val="1A1A1A"/>
          <w:sz w:val="21"/>
          <w:szCs w:val="21"/>
        </w:rPr>
        <w:t xml:space="preserve">Standards:</w:t>
      </w:r>
      <w:r>
        <w:rPr>
          <w:rFonts w:ascii="Georgia" w:cs="Georgia" w:eastAsia="Georgia" w:hAnsi="Georgia"/>
          <w:color w:val="1A1A1A"/>
          <w:sz w:val="21"/>
          <w:szCs w:val="21"/>
        </w:rPr>
        <w:t xml:space="preserve"> technical specifications, usually voluntary, developed by bodies such as ISO, IEC, IEEE or CEN-CENELEC. They gain legal force when a law references them.</w:t>
      </w:r>
    </w:p>
    <w:p>
      <w:pPr>
        <w:pStyle w:val="ListParagraph"/>
        <w:numPr>
          <w:ilvl w:val="0"/>
          <w:numId w:val="1"/>
        </w:numPr>
        <w:spacing w:after="70" w:line="268"/>
      </w:pPr>
      <w:r>
        <w:rPr>
          <w:rFonts w:ascii="Georgia" w:cs="Georgia" w:eastAsia="Georgia" w:hAnsi="Georgia"/>
          <w:b/>
          <w:bCs/>
          <w:color w:val="1A1A1A"/>
          <w:sz w:val="21"/>
          <w:szCs w:val="21"/>
        </w:rPr>
        <w:t xml:space="preserve">Norms:</w:t>
      </w:r>
      <w:r>
        <w:rPr>
          <w:rFonts w:ascii="Georgia" w:cs="Georgia" w:eastAsia="Georgia" w:hAnsi="Georgia"/>
          <w:color w:val="1A1A1A"/>
          <w:sz w:val="21"/>
          <w:szCs w:val="21"/>
        </w:rPr>
        <w:t xml:space="preserve"> shared expectations of appropriate behaviour, enforced by reputation rather than sanction.</w:t>
      </w:r>
    </w:p>
    <w:p>
      <w:pPr>
        <w:pStyle w:val="ListParagraph"/>
        <w:numPr>
          <w:ilvl w:val="0"/>
          <w:numId w:val="1"/>
        </w:numPr>
        <w:spacing w:after="70" w:line="268"/>
      </w:pPr>
      <w:r>
        <w:rPr>
          <w:rFonts w:ascii="Georgia" w:cs="Georgia" w:eastAsia="Georgia" w:hAnsi="Georgia"/>
          <w:b/>
          <w:bCs/>
          <w:color w:val="1A1A1A"/>
          <w:sz w:val="21"/>
          <w:szCs w:val="21"/>
        </w:rPr>
        <w:t xml:space="preserve">Governance:</w:t>
      </w:r>
      <w:r>
        <w:rPr>
          <w:rFonts w:ascii="Georgia" w:cs="Georgia" w:eastAsia="Georgia" w:hAnsi="Georgia"/>
          <w:color w:val="1A1A1A"/>
          <w:sz w:val="21"/>
          <w:szCs w:val="21"/>
        </w:rPr>
        <w:t xml:space="preserve"> the broadest term. The whole system of rules, norms, institutions, standards and processes, public and private, through which behaviour is steered. Frontier-technology governance deliberately includes far more than law, which is why an organisation without regulatory power, such as the Forum, can play a central role in it.</w:t>
      </w:r>
    </w:p>
    <w:p>
      <w:pPr>
        <w:pStyle w:val="Heading3"/>
        <w:spacing w:after="70" w:before="160"/>
      </w:pPr>
      <w:r>
        <w:rPr>
          <w:rFonts w:ascii="Calibri" w:cs="Calibri" w:eastAsia="Calibri" w:hAnsi="Calibri"/>
          <w:b/>
          <w:bCs/>
          <w:color w:val="1F2A44"/>
          <w:sz w:val="22"/>
          <w:szCs w:val="22"/>
        </w:rPr>
        <w:t xml:space="preserve">3.1 Hard law and soft law</w:t>
      </w:r>
    </w:p>
    <w:p>
      <w:pPr>
        <w:spacing w:after="140" w:line="276"/>
        <w:jc w:val="both"/>
      </w:pPr>
      <w:r>
        <w:rPr>
          <w:rFonts w:ascii="Georgia" w:cs="Georgia" w:eastAsia="Georgia" w:hAnsi="Georgia"/>
          <w:color w:val="1A1A1A"/>
          <w:sz w:val="21"/>
          <w:szCs w:val="21"/>
        </w:rPr>
        <w:t xml:space="preserve">Hard law is binding and enforceable. Soft law covers non-binding instruments that still shape behaviour: principles, codes of conduct, guidelines, frameworks and voluntary standards. For fast-moving technologies, soft law often comes first and hardens later: the OECD AI Principles (2019) informed binding national and EU rules; voluntary codes of practice are used to operationalise the EU AI Act. Most of what the Forum produces is soft law in this sense.</w:t>
      </w:r>
    </w:p>
    <w:p>
      <w:pPr>
        <w:pStyle w:val="Heading3"/>
        <w:spacing w:after="70" w:before="160"/>
      </w:pPr>
      <w:r>
        <w:rPr>
          <w:rFonts w:ascii="Calibri" w:cs="Calibri" w:eastAsia="Calibri" w:hAnsi="Calibri"/>
          <w:b/>
          <w:bCs/>
          <w:color w:val="1F2A44"/>
          <w:sz w:val="22"/>
          <w:szCs w:val="22"/>
        </w:rPr>
        <w:t xml:space="preserve">3.2 Ex ante and ex post</w:t>
      </w:r>
    </w:p>
    <w:p>
      <w:pPr>
        <w:spacing w:after="140" w:line="276"/>
        <w:jc w:val="both"/>
      </w:pPr>
      <w:r>
        <w:rPr>
          <w:rFonts w:ascii="Georgia" w:cs="Georgia" w:eastAsia="Georgia" w:hAnsi="Georgia"/>
          <w:color w:val="1A1A1A"/>
          <w:sz w:val="21"/>
          <w:szCs w:val="21"/>
        </w:rPr>
        <w:t xml:space="preserve">Ex ante governance acts before deployment (licensing, certification, conformity assessment, bans). Ex post governance acts after harm (liability, enforcement, redress). Frontier technologies push towards ex ante measures where harm could be irreversible, and towards ex post where evidence of harm is needed before rules can be well designed.</w:t>
      </w:r>
    </w:p>
    <w:p>
      <w:pPr>
        <w:pStyle w:val="Heading3"/>
        <w:spacing w:after="70" w:before="160"/>
      </w:pPr>
      <w:r>
        <w:rPr>
          <w:rFonts w:ascii="Calibri" w:cs="Calibri" w:eastAsia="Calibri" w:hAnsi="Calibri"/>
          <w:b/>
          <w:bCs/>
          <w:color w:val="1F2A44"/>
          <w:sz w:val="22"/>
          <w:szCs w:val="22"/>
        </w:rPr>
        <w:t xml:space="preserve">3.3 Families of regulatory approach</w:t>
      </w:r>
    </w:p>
    <w:tbl>
      <w:tblPr>
        <w:tblW w:type="dxa" w:w="9360"/>
        <w:tblBorders>
          <w:top w:val="single" w:color="C9D3E0" w:sz="2"/>
          <w:left w:val="none"/>
          <w:bottom w:val="single" w:color="C9D3E0" w:sz="2"/>
          <w:right w:val="none"/>
          <w:insideH w:val="single" w:color="C9D3E0" w:sz="2"/>
          <w:insideV w:val="single" w:color="C9D3E0" w:sz="2"/>
        </w:tblBorders>
      </w:tblPr>
      <w:tblGrid>
        <w:gridCol w:w="2100"/>
        <w:gridCol w:w="3000"/>
        <w:gridCol w:w="2130"/>
        <w:gridCol w:w="2130"/>
      </w:tblGrid>
      <w:tr>
        <w:trPr>
          <w:tblHeader/>
        </w:trPr>
        <w:tc>
          <w:tcPr>
            <w:tcW w:type="dxa" w:w="2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Approach</w:t>
            </w:r>
          </w:p>
        </w:tc>
        <w:tc>
          <w:tcPr>
            <w:tcW w:type="dxa" w:w="3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does</w:t>
            </w:r>
          </w:p>
        </w:tc>
        <w:tc>
          <w:tcPr>
            <w:tcW w:type="dxa" w:w="213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Strength</w:t>
            </w:r>
          </w:p>
        </w:tc>
        <w:tc>
          <w:tcPr>
            <w:tcW w:type="dxa" w:w="213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Weakness</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Prescriptive (command-and-control)</w:t>
            </w:r>
          </w:p>
        </w:tc>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Specifies exactly what is required or forbidden.</w:t>
            </w:r>
          </w:p>
        </w:tc>
        <w:tc>
          <w:tcPr>
            <w:tcW w:type="dxa" w:w="21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Clear, enforceable.</w:t>
            </w:r>
          </w:p>
        </w:tc>
        <w:tc>
          <w:tcPr>
            <w:tcW w:type="dxa" w:w="21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Rigid; dates quickly.</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Principles-based</w:t>
            </w:r>
          </w:p>
        </w:tc>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Sets high-level principles that firms must meet.</w:t>
            </w:r>
          </w:p>
        </w:tc>
        <w:tc>
          <w:tcPr>
            <w:tcW w:type="dxa" w:w="21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Flexible, durable.</w:t>
            </w:r>
          </w:p>
        </w:tc>
        <w:tc>
          <w:tcPr>
            <w:tcW w:type="dxa" w:w="21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Less predictable; needs capable regulators.</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 or performance-based</w:t>
            </w:r>
          </w:p>
        </w:tc>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Specifies the result, not the method.</w:t>
            </w:r>
          </w:p>
        </w:tc>
        <w:tc>
          <w:tcPr>
            <w:tcW w:type="dxa" w:w="21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Leaves room to innovate.</w:t>
            </w:r>
          </w:p>
        </w:tc>
        <w:tc>
          <w:tcPr>
            <w:tcW w:type="dxa" w:w="21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Outcomes must be measurable.</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Risk-based</w:t>
            </w:r>
          </w:p>
        </w:tc>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Scales obligations to the level of risk.</w:t>
            </w:r>
          </w:p>
        </w:tc>
        <w:tc>
          <w:tcPr>
            <w:tcW w:type="dxa" w:w="21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Focuses scarce effort.</w:t>
            </w:r>
          </w:p>
        </w:tc>
        <w:tc>
          <w:tcPr>
            <w:tcW w:type="dxa" w:w="21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Depends on good risk classification.</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Management-based</w:t>
            </w:r>
          </w:p>
        </w:tc>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Requires internal processes (risk management, audits).</w:t>
            </w:r>
          </w:p>
        </w:tc>
        <w:tc>
          <w:tcPr>
            <w:tcW w:type="dxa" w:w="21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Scales oversight.</w:t>
            </w:r>
          </w:p>
        </w:tc>
        <w:tc>
          <w:tcPr>
            <w:tcW w:type="dxa" w:w="21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Can become box-ticking.</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Self- and co-regulation</w:t>
            </w:r>
          </w:p>
        </w:tc>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 sets or enforces rules, alone or with the state.</w:t>
            </w:r>
          </w:p>
        </w:tc>
        <w:tc>
          <w:tcPr>
            <w:tcW w:type="dxa" w:w="21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Fast, expert.</w:t>
            </w:r>
          </w:p>
        </w:tc>
        <w:tc>
          <w:tcPr>
            <w:tcW w:type="dxa" w:w="21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 of capture; weak sanctions.</w:t>
            </w:r>
          </w:p>
        </w:tc>
      </w:tr>
    </w:tbl>
    <w:p>
      <w:pPr>
        <w:spacing w:after="80"/>
      </w:pPr>
    </w:p>
    <w:p>
      <w:pPr>
        <w:pStyle w:val="Heading3"/>
        <w:spacing w:after="70" w:before="160"/>
      </w:pPr>
      <w:r>
        <w:rPr>
          <w:rFonts w:ascii="Calibri" w:cs="Calibri" w:eastAsia="Calibri" w:hAnsi="Calibri"/>
          <w:b/>
          <w:bCs/>
          <w:color w:val="1F2A44"/>
          <w:sz w:val="22"/>
          <w:szCs w:val="22"/>
        </w:rPr>
        <w:t xml:space="preserve">3.4 The regulatory lifecycle</w:t>
      </w:r>
    </w:p>
    <w:p>
      <w:pPr>
        <w:spacing w:after="140" w:line="276"/>
        <w:jc w:val="both"/>
      </w:pPr>
      <w:r>
        <w:rPr>
          <w:rFonts w:ascii="Georgia" w:cs="Georgia" w:eastAsia="Georgia" w:hAnsi="Georgia"/>
          <w:color w:val="1A1A1A"/>
          <w:sz w:val="21"/>
          <w:szCs w:val="21"/>
        </w:rPr>
        <w:t xml:space="preserve">Any rule moves through the same stages: agenda-setting; design and appraisal (options analysed through a Regulatory Impact Assessment of costs, benefits and alternatives); adoption; implementation and enforcement; and monitoring and ex post review. Much of ‘regulatory innovation’ is about making this cycle faster, more evidence-based and genuinely iterative.</w:t>
      </w:r>
    </w:p>
    <w:p>
      <w:pPr>
        <w:pStyle w:val="Heading2"/>
        <w:spacing w:after="100" w:before="220"/>
      </w:pPr>
      <w:r>
        <w:rPr>
          <w:rFonts w:ascii="Calibri" w:cs="Calibri" w:eastAsia="Calibri" w:hAnsi="Calibri"/>
          <w:b/>
          <w:bCs/>
          <w:color w:val="2F5D8A"/>
          <w:sz w:val="25"/>
          <w:szCs w:val="25"/>
        </w:rPr>
        <w:t xml:space="preserve">4. Why frontier technologies strain governance</w:t>
      </w:r>
    </w:p>
    <w:p>
      <w:pPr>
        <w:spacing w:after="140" w:line="276"/>
        <w:jc w:val="both"/>
      </w:pPr>
      <w:r>
        <w:rPr>
          <w:rFonts w:ascii="Georgia" w:cs="Georgia" w:eastAsia="Georgia" w:hAnsi="Georgia"/>
          <w:color w:val="1A1A1A"/>
          <w:sz w:val="21"/>
          <w:szCs w:val="21"/>
        </w:rPr>
        <w:t xml:space="preserve">Six structural features make frontier technologies hard to govern. Together they form a reliable opening structure for almost any governance question.</w:t>
      </w:r>
    </w:p>
    <w:tbl>
      <w:tblPr>
        <w:tblW w:type="dxa" w:w="9360"/>
        <w:tblBorders>
          <w:top w:val="single" w:color="C9D3E0" w:sz="2"/>
          <w:left w:val="none"/>
          <w:bottom w:val="single" w:color="C9D3E0" w:sz="2"/>
          <w:right w:val="none"/>
          <w:insideH w:val="single" w:color="C9D3E0" w:sz="2"/>
          <w:insideV w:val="single" w:color="C9D3E0" w:sz="2"/>
        </w:tblBorders>
      </w:tblPr>
      <w:tblGrid>
        <w:gridCol w:w="2300"/>
        <w:gridCol w:w="7060"/>
      </w:tblGrid>
      <w:tr>
        <w:trPr>
          <w:tblHeader/>
        </w:trPr>
        <w:tc>
          <w:tcPr>
            <w:tcW w:type="dxa" w:w="2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Feature</w:t>
            </w:r>
          </w:p>
        </w:tc>
        <w:tc>
          <w:tcPr>
            <w:tcW w:type="dxa" w:w="70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happens</w:t>
            </w:r>
          </w:p>
        </w:tc>
      </w:tr>
      <w:tr>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Pace</w:t>
            </w:r>
          </w:p>
        </w:tc>
        <w:tc>
          <w:tcPr>
            <w:tcW w:type="dxa" w:w="7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technology changes faster than legislative and regulatory cycles. Gary Marchant named this the ‘pacing problem’.</w:t>
            </w:r>
          </w:p>
        </w:tc>
      </w:tr>
      <w:tr>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Uncertainty</w:t>
            </w:r>
          </w:p>
        </w:tc>
        <w:tc>
          <w:tcPr>
            <w:tcW w:type="dxa" w:w="70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Impacts are hard to foresee while a technology is still easy to shape, and hard to change once they are clear. David Collingridge (1980) called this the dilemma of control, now known as the Collingridge dilemma.</w:t>
            </w:r>
          </w:p>
        </w:tc>
      </w:tr>
      <w:tr>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Information asymmetry</w:t>
            </w:r>
          </w:p>
        </w:tc>
        <w:tc>
          <w:tcPr>
            <w:tcW w:type="dxa" w:w="7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Developers understand the technology far better than regulators, who often lack in-house technical capacity.</w:t>
            </w:r>
          </w:p>
        </w:tc>
      </w:tr>
      <w:tr>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Dual-use and general-purpose character</w:t>
            </w:r>
          </w:p>
        </w:tc>
        <w:tc>
          <w:tcPr>
            <w:tcW w:type="dxa" w:w="70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same capability can serve benefit and harm, and spreads across sectors, defeating narrow sectoral rules.</w:t>
            </w:r>
          </w:p>
        </w:tc>
      </w:tr>
      <w:tr>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Borderlessness</w:t>
            </w:r>
          </w:p>
        </w:tc>
        <w:tc>
          <w:tcPr>
            <w:tcW w:type="dxa" w:w="7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technology crosses jurisdictions; regulators do not. The result is fragmentation, duplication and forum-shopping.</w:t>
            </w:r>
          </w:p>
        </w:tc>
      </w:tr>
      <w:tr>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Concentration</w:t>
            </w:r>
          </w:p>
        </w:tc>
        <w:tc>
          <w:tcPr>
            <w:tcW w:type="dxa" w:w="70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Capability, data, compute and capital concentrate in a few firms and states, raising questions of accountability, access and power.</w:t>
            </w:r>
          </w:p>
        </w:tc>
      </w:tr>
    </w:tbl>
    <w:p>
      <w:pPr>
        <w:spacing w:after="80"/>
      </w:pPr>
    </w:p>
    <w:p>
      <w:pPr>
        <w:pStyle w:val="Heading3"/>
        <w:spacing w:after="70" w:before="160"/>
      </w:pPr>
      <w:r>
        <w:rPr>
          <w:rFonts w:ascii="Calibri" w:cs="Calibri" w:eastAsia="Calibri" w:hAnsi="Calibri"/>
          <w:b/>
          <w:bCs/>
          <w:color w:val="1F2A44"/>
          <w:sz w:val="22"/>
          <w:szCs w:val="22"/>
        </w:rPr>
        <w:t xml:space="preserve">4.1 Three clocks: technology, regulation and society</w:t>
      </w:r>
    </w:p>
    <w:p>
      <w:pPr>
        <w:spacing w:after="140" w:line="276"/>
        <w:jc w:val="both"/>
      </w:pPr>
      <w:r>
        <w:rPr>
          <w:rFonts w:ascii="Georgia" w:cs="Georgia" w:eastAsia="Georgia" w:hAnsi="Georgia"/>
          <w:color w:val="1A1A1A"/>
          <w:sz w:val="21"/>
          <w:szCs w:val="21"/>
        </w:rPr>
        <w:t xml:space="preserve">A useful way to express the problem is that three clocks run at different speeds. The technology clock (how fast capability matures), the regulatory clock (how fast institutions can understand, decide and adapt), and the societal clock (how fast public trust, skills and institutions adjust). Governance fails when the clocks drift too far apart: rules arrive too late, or too early and wrongly calibrated, or adoption outruns public acceptance and triggers backlash. Integrating regulatory thinking early (§6) is an attempt to keep the clocks closer together.</w:t>
      </w:r>
    </w:p>
    <w:p>
      <w:pPr>
        <w:pStyle w:val="Heading2"/>
        <w:spacing w:after="100" w:before="220"/>
      </w:pPr>
      <w:r>
        <w:rPr>
          <w:rFonts w:ascii="Calibri" w:cs="Calibri" w:eastAsia="Calibri" w:hAnsi="Calibri"/>
          <w:b/>
          <w:bCs/>
          <w:color w:val="2F5D8A"/>
          <w:sz w:val="25"/>
          <w:szCs w:val="25"/>
        </w:rPr>
        <w:t xml:space="preserve">5. Regulatory innovation: what it means and who does what</w:t>
      </w:r>
    </w:p>
    <w:p>
      <w:pPr>
        <w:spacing w:after="140" w:line="276"/>
        <w:jc w:val="both"/>
      </w:pPr>
      <w:r>
        <w:rPr>
          <w:rFonts w:ascii="Georgia" w:cs="Georgia" w:eastAsia="Georgia" w:hAnsi="Georgia"/>
          <w:color w:val="1A1A1A"/>
          <w:sz w:val="21"/>
          <w:szCs w:val="21"/>
        </w:rPr>
        <w:t xml:space="preserve">Regulatory innovation means changing </w:t>
      </w:r>
      <w:r>
        <w:rPr>
          <w:rFonts w:ascii="Georgia" w:cs="Georgia" w:eastAsia="Georgia" w:hAnsi="Georgia"/>
          <w:i/>
          <w:iCs/>
          <w:color w:val="1A1A1A"/>
          <w:sz w:val="21"/>
          <w:szCs w:val="21"/>
        </w:rPr>
        <w:t xml:space="preserve">how</w:t>
      </w:r>
      <w:r>
        <w:rPr>
          <w:rFonts w:ascii="Georgia" w:cs="Georgia" w:eastAsia="Georgia" w:hAnsi="Georgia"/>
          <w:color w:val="1A1A1A"/>
          <w:sz w:val="21"/>
          <w:szCs w:val="21"/>
        </w:rPr>
        <w:t xml:space="preserve"> rules are made and applied so that they keep pace with technology while still protecting people. It is practised by governments and regulators. Organisations like the Forum contribute by convening, synthesising evidence across jurisdictions and co-designing frameworks, not by regulating.</w:t>
      </w:r>
    </w:p>
    <w:p>
      <w:pPr>
        <w:pStyle w:val="Heading3"/>
        <w:spacing w:after="70" w:before="160"/>
      </w:pPr>
      <w:r>
        <w:rPr>
          <w:rFonts w:ascii="Calibri" w:cs="Calibri" w:eastAsia="Calibri" w:hAnsi="Calibri"/>
          <w:b/>
          <w:bCs/>
          <w:color w:val="1F2A44"/>
          <w:sz w:val="22"/>
          <w:szCs w:val="22"/>
        </w:rPr>
        <w:t xml:space="preserve">5.1 The five principles of agile regulation</w:t>
      </w:r>
    </w:p>
    <w:p>
      <w:pPr>
        <w:spacing w:after="140" w:line="276"/>
        <w:jc w:val="both"/>
      </w:pPr>
      <w:r>
        <w:rPr>
          <w:rFonts w:ascii="Georgia" w:cs="Georgia" w:eastAsia="Georgia" w:hAnsi="Georgia"/>
          <w:color w:val="1A1A1A"/>
          <w:sz w:val="21"/>
          <w:szCs w:val="21"/>
        </w:rPr>
        <w:t xml:space="preserve">The most widely used framing comes from Deloitte’s The Future of Regulation (Eggers, Turley and Kishnani, 2018), later echoed in the Forum’s Agile Regulation for the Fourth Industrial Revolution: A Toolkit for Regulators (2020):</w:t>
      </w:r>
    </w:p>
    <w:tbl>
      <w:tblPr>
        <w:tblW w:type="dxa" w:w="9360"/>
        <w:tblBorders>
          <w:top w:val="single" w:color="C9D3E0" w:sz="2"/>
          <w:left w:val="none"/>
          <w:bottom w:val="single" w:color="C9D3E0" w:sz="2"/>
          <w:right w:val="none"/>
          <w:insideH w:val="single" w:color="C9D3E0" w:sz="2"/>
          <w:insideV w:val="single" w:color="C9D3E0" w:sz="2"/>
        </w:tblBorders>
      </w:tblPr>
      <w:tblGrid>
        <w:gridCol w:w="2600"/>
        <w:gridCol w:w="6760"/>
      </w:tblGrid>
      <w:tr>
        <w:trPr>
          <w:tblHeader/>
        </w:trPr>
        <w:tc>
          <w:tcPr>
            <w:tcW w:type="dxa" w:w="26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Principle</w:t>
            </w:r>
          </w:p>
        </w:tc>
        <w:tc>
          <w:tcPr>
            <w:tcW w:type="dxa" w:w="67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Meaning</w:t>
            </w:r>
          </w:p>
        </w:tc>
      </w:tr>
      <w:tr>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Adaptive regulation</w:t>
            </w:r>
          </w:p>
        </w:tc>
        <w:tc>
          <w:tcPr>
            <w:tcW w:type="dxa" w:w="6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Rules designed to be revisited as evidence accumulates: regulate, monitor, iterate.</w:t>
            </w:r>
          </w:p>
        </w:tc>
      </w:tr>
      <w:tr>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sandboxes</w:t>
            </w:r>
          </w:p>
        </w:tc>
        <w:tc>
          <w:tcPr>
            <w:tcW w:type="dxa" w:w="6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Time-limited, supervised testing of innovations with real users under adjusted rules (see §5.2).</w:t>
            </w:r>
          </w:p>
        </w:tc>
      </w:tr>
      <w:tr>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Outcome-based regulation</w:t>
            </w:r>
          </w:p>
        </w:tc>
        <w:tc>
          <w:tcPr>
            <w:tcW w:type="dxa" w:w="6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Specify the result required, not the method.</w:t>
            </w:r>
          </w:p>
        </w:tc>
      </w:tr>
      <w:tr>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Risk-weighted regulation</w:t>
            </w:r>
          </w:p>
        </w:tc>
        <w:tc>
          <w:tcPr>
            <w:tcW w:type="dxa" w:w="6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Concentrate effort where potential harm is greatest.</w:t>
            </w:r>
          </w:p>
        </w:tc>
      </w:tr>
      <w:tr>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Collaborative regulation</w:t>
            </w:r>
          </w:p>
        </w:tc>
        <w:tc>
          <w:tcPr>
            <w:tcW w:type="dxa" w:w="6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Align rules across regulators and borders, and involve industry and other stakeholders in their design.</w:t>
            </w:r>
          </w:p>
        </w:tc>
      </w:tr>
    </w:tbl>
    <w:p>
      <w:pPr>
        <w:spacing w:after="80"/>
      </w:pPr>
    </w:p>
    <w:p>
      <w:pPr>
        <w:pStyle w:val="Heading3"/>
        <w:spacing w:after="70" w:before="160"/>
      </w:pPr>
      <w:r>
        <w:rPr>
          <w:rFonts w:ascii="Calibri" w:cs="Calibri" w:eastAsia="Calibri" w:hAnsi="Calibri"/>
          <w:b/>
          <w:bCs/>
          <w:color w:val="1F2A44"/>
          <w:sz w:val="22"/>
          <w:szCs w:val="22"/>
        </w:rPr>
        <w:t xml:space="preserve">5.2 Regulatory sandboxes (a government instrument)</w:t>
      </w:r>
    </w:p>
    <w:p>
      <w:pPr>
        <w:spacing w:after="140" w:line="276"/>
        <w:jc w:val="both"/>
      </w:pPr>
      <w:r>
        <w:rPr>
          <w:rFonts w:ascii="Georgia" w:cs="Georgia" w:eastAsia="Georgia" w:hAnsi="Georgia"/>
          <w:color w:val="1A1A1A"/>
          <w:sz w:val="21"/>
          <w:szCs w:val="21"/>
        </w:rPr>
        <w:t xml:space="preserve">A sandbox lets a regulator allow firms to test a product with real customers under supervision, with some rules adjusted and safeguards in place. The UK Financial Conduct Authority launched the first in 2016; by 2025 there were over 60 technology-related sandboxes worldwide, around 31 of them national AI sandboxes (Datasphere Initiative). The EU AI Act requires each member state to have at least one AI sandbox operational by August 2026. Evidence is positive but narrow: firms in the UK sandbox raised about 15% more capital and were about 50% more likely to raise capital, but there is little evidence that sandboxes improve regulation more broadly, and critics point to unequal treatment between participants and non-participants. You need to understand sandboxes because regulators in your community will use them; designing them is not the Forum’s role.</w:t>
      </w:r>
    </w:p>
    <w:p>
      <w:pPr>
        <w:pStyle w:val="Heading3"/>
        <w:spacing w:after="70" w:before="160"/>
      </w:pPr>
      <w:r>
        <w:rPr>
          <w:rFonts w:ascii="Calibri" w:cs="Calibri" w:eastAsia="Calibri" w:hAnsi="Calibri"/>
          <w:b/>
          <w:bCs/>
          <w:color w:val="1F2A44"/>
          <w:sz w:val="22"/>
          <w:szCs w:val="22"/>
        </w:rPr>
        <w:t xml:space="preserve">5.3 Anticipatory governance</w:t>
      </w:r>
    </w:p>
    <w:p>
      <w:pPr>
        <w:spacing w:after="140" w:line="276"/>
        <w:jc w:val="both"/>
      </w:pPr>
      <w:r>
        <w:rPr>
          <w:rFonts w:ascii="Georgia" w:cs="Georgia" w:eastAsia="Georgia" w:hAnsi="Georgia"/>
          <w:color w:val="1A1A1A"/>
          <w:sz w:val="21"/>
          <w:szCs w:val="21"/>
        </w:rPr>
        <w:t xml:space="preserve">The mindset behind regulatory innovation: act while a technology is still shapeable, using three capabilities. Foresight (horizon scanning and scenarios to see what is coming); experimentation (pilots, testbeds and sandboxes that generate evidence before rules are fixed); and learning (feedback loops, sunset clauses and mandatory reviews that turn evidence into revised rules). The OECD is the reference institution for this work.</w:t>
      </w:r>
    </w:p>
    <w:p>
      <w:pPr>
        <w:pStyle w:val="Heading3"/>
        <w:spacing w:after="70" w:before="160"/>
      </w:pPr>
      <w:r>
        <w:rPr>
          <w:rFonts w:ascii="Calibri" w:cs="Calibri" w:eastAsia="Calibri" w:hAnsi="Calibri"/>
          <w:b/>
          <w:bCs/>
          <w:color w:val="1F2A44"/>
          <w:sz w:val="22"/>
          <w:szCs w:val="22"/>
        </w:rPr>
        <w:t xml:space="preserve">5.4 Who does what</w:t>
      </w:r>
    </w:p>
    <w:tbl>
      <w:tblPr>
        <w:tblW w:type="dxa" w:w="9360"/>
        <w:tblBorders>
          <w:top w:val="single" w:color="C9D3E0" w:sz="2"/>
          <w:left w:val="none"/>
          <w:bottom w:val="single" w:color="C9D3E0" w:sz="2"/>
          <w:right w:val="none"/>
          <w:insideH w:val="single" w:color="C9D3E0" w:sz="2"/>
          <w:insideV w:val="single" w:color="C9D3E0" w:sz="2"/>
        </w:tblBorders>
      </w:tblPr>
      <w:tblGrid>
        <w:gridCol w:w="2700"/>
        <w:gridCol w:w="6660"/>
      </w:tblGrid>
      <w:tr>
        <w:trPr>
          <w:tblHeader/>
        </w:trPr>
        <w:tc>
          <w:tcPr>
            <w:tcW w:type="dxa" w:w="2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Actor</w:t>
            </w:r>
          </w:p>
        </w:tc>
        <w:tc>
          <w:tcPr>
            <w:tcW w:type="dxa" w:w="66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Role in regulatory innovation</w:t>
            </w:r>
          </w:p>
        </w:tc>
      </w:tr>
      <w:tr>
        <w:tc>
          <w:tcPr>
            <w:tcW w:type="dxa" w:w="2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Legislatures and governments</w:t>
            </w:r>
          </w:p>
        </w:tc>
        <w:tc>
          <w:tcPr>
            <w:tcW w:type="dxa" w:w="66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Set mandates and objectives; adopt law and strategy.</w:t>
            </w:r>
          </w:p>
        </w:tc>
      </w:tr>
      <w:tr>
        <w:tc>
          <w:tcPr>
            <w:tcW w:type="dxa" w:w="2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Regulators</w:t>
            </w:r>
          </w:p>
        </w:tc>
        <w:tc>
          <w:tcPr>
            <w:tcW w:type="dxa" w:w="66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Make and enforce detailed rules; run sandboxes and pilots; issue guidance.</w:t>
            </w:r>
          </w:p>
        </w:tc>
      </w:tr>
      <w:tr>
        <w:tc>
          <w:tcPr>
            <w:tcW w:type="dxa" w:w="2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bodies</w:t>
            </w:r>
          </w:p>
        </w:tc>
        <w:tc>
          <w:tcPr>
            <w:tcW w:type="dxa" w:w="66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Specify the technical detail that rules reference.</w:t>
            </w:r>
          </w:p>
        </w:tc>
      </w:tr>
      <w:tr>
        <w:tc>
          <w:tcPr>
            <w:tcW w:type="dxa" w:w="2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w:t>
            </w:r>
          </w:p>
        </w:tc>
        <w:tc>
          <w:tcPr>
            <w:tcW w:type="dxa" w:w="66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Comply, self-regulate, provide technical expertise, and bear most of the cost of fragmentation.</w:t>
            </w:r>
          </w:p>
        </w:tc>
      </w:tr>
      <w:tr>
        <w:tc>
          <w:tcPr>
            <w:tcW w:type="dxa" w:w="2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Academia and civil society</w:t>
            </w:r>
          </w:p>
        </w:tc>
        <w:tc>
          <w:tcPr>
            <w:tcW w:type="dxa" w:w="66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Provide evidence, independent scrutiny and legitimacy.</w:t>
            </w:r>
          </w:p>
        </w:tc>
      </w:tr>
      <w:tr>
        <w:tc>
          <w:tcPr>
            <w:tcW w:type="dxa" w:w="2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International organisations (OECD, UN bodies, G7/G20)</w:t>
            </w:r>
          </w:p>
        </w:tc>
        <w:tc>
          <w:tcPr>
            <w:tcW w:type="dxa" w:w="66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Develop shared principles and support cross-border alignment.</w:t>
            </w:r>
          </w:p>
        </w:tc>
      </w:tr>
      <w:tr>
        <w:tc>
          <w:tcPr>
            <w:tcW w:type="dxa" w:w="2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World Economic Forum</w:t>
            </w:r>
          </w:p>
        </w:tc>
        <w:tc>
          <w:tcPr>
            <w:tcW w:type="dxa" w:w="66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Convenes public and private actors; co-designs principles, frameworks, toolkits and blueprints; synthesises evidence across jurisdictions; pilots frameworks with governments through the C4IR network; sustains communities of practice.</w:t>
            </w:r>
          </w:p>
        </w:tc>
      </w:tr>
    </w:tbl>
    <w:p>
      <w:pPr>
        <w:spacing w:after="80"/>
      </w:pPr>
    </w:p>
    <w:p>
      <w:pPr>
        <w:pStyle w:val="Heading2"/>
        <w:spacing w:after="100" w:before="220"/>
      </w:pPr>
      <w:r>
        <w:rPr>
          <w:rFonts w:ascii="Calibri" w:cs="Calibri" w:eastAsia="Calibri" w:hAnsi="Calibri"/>
          <w:b/>
          <w:bCs/>
          <w:color w:val="2F5D8A"/>
          <w:sz w:val="25"/>
          <w:szCs w:val="25"/>
        </w:rPr>
        <w:t xml:space="preserve">6. Integrating regulatory thinking early</w:t>
      </w:r>
    </w:p>
    <w:p>
      <w:pPr>
        <w:spacing w:after="140" w:line="276"/>
        <w:jc w:val="both"/>
      </w:pPr>
      <w:r>
        <w:rPr>
          <w:rFonts w:ascii="Georgia" w:cs="Georgia" w:eastAsia="Georgia" w:hAnsi="Georgia"/>
          <w:color w:val="1A1A1A"/>
          <w:sz w:val="21"/>
          <w:szCs w:val="21"/>
        </w:rPr>
        <w:t xml:space="preserve">This phrase in the JD is the conceptual core of the role. It rests on three established ideas.</w:t>
      </w:r>
    </w:p>
    <w:p>
      <w:pPr>
        <w:pStyle w:val="ListParagraph"/>
        <w:numPr>
          <w:ilvl w:val="0"/>
          <w:numId w:val="1"/>
        </w:numPr>
        <w:spacing w:after="70" w:line="268"/>
      </w:pPr>
      <w:r>
        <w:rPr>
          <w:rFonts w:ascii="Georgia" w:cs="Georgia" w:eastAsia="Georgia" w:hAnsi="Georgia"/>
          <w:b/>
          <w:bCs/>
          <w:color w:val="1A1A1A"/>
          <w:sz w:val="21"/>
          <w:szCs w:val="21"/>
        </w:rPr>
        <w:t xml:space="preserve">Responsible Research and Innovation (RRI).</w:t>
      </w:r>
      <w:r>
        <w:rPr>
          <w:rFonts w:ascii="Georgia" w:cs="Georgia" w:eastAsia="Georgia" w:hAnsi="Georgia"/>
          <w:color w:val="1A1A1A"/>
          <w:sz w:val="21"/>
          <w:szCs w:val="21"/>
        </w:rPr>
        <w:t xml:space="preserve"> A framework from the science-policy literature (Stilgoe, Owen and Macnaghten, 2013) built on four dimensions: anticipation (what could this lead to?), inclusion (who should have a say?), reflexivity (what assumptions are we making?) and responsiveness (can we change course?).</w:t>
      </w:r>
    </w:p>
    <w:p>
      <w:pPr>
        <w:pStyle w:val="ListParagraph"/>
        <w:numPr>
          <w:ilvl w:val="0"/>
          <w:numId w:val="1"/>
        </w:numPr>
        <w:spacing w:after="70" w:line="268"/>
      </w:pPr>
      <w:r>
        <w:rPr>
          <w:rFonts w:ascii="Georgia" w:cs="Georgia" w:eastAsia="Georgia" w:hAnsi="Georgia"/>
          <w:b/>
          <w:bCs/>
          <w:color w:val="1A1A1A"/>
          <w:sz w:val="21"/>
          <w:szCs w:val="21"/>
        </w:rPr>
        <w:t xml:space="preserve">Governance by design.</w:t>
      </w:r>
      <w:r>
        <w:rPr>
          <w:rFonts w:ascii="Georgia" w:cs="Georgia" w:eastAsia="Georgia" w:hAnsi="Georgia"/>
          <w:color w:val="1A1A1A"/>
          <w:sz w:val="21"/>
          <w:szCs w:val="21"/>
        </w:rPr>
        <w:t xml:space="preserve"> Considering safety, security, ethics and compliance requirements at the design stage of a technology or programme, rather than retrofitting them. Security-by-design and privacy-by-design are familiar examples.</w:t>
      </w:r>
    </w:p>
    <w:p>
      <w:pPr>
        <w:pStyle w:val="ListParagraph"/>
        <w:numPr>
          <w:ilvl w:val="0"/>
          <w:numId w:val="1"/>
        </w:numPr>
        <w:spacing w:after="70" w:line="268"/>
      </w:pPr>
      <w:r>
        <w:rPr>
          <w:rFonts w:ascii="Georgia" w:cs="Georgia" w:eastAsia="Georgia" w:hAnsi="Georgia"/>
          <w:b/>
          <w:bCs/>
          <w:color w:val="1A1A1A"/>
          <w:sz w:val="21"/>
          <w:szCs w:val="21"/>
        </w:rPr>
        <w:t xml:space="preserve">Regulatory foresight.</w:t>
      </w:r>
      <w:r>
        <w:rPr>
          <w:rFonts w:ascii="Georgia" w:cs="Georgia" w:eastAsia="Georgia" w:hAnsi="Georgia"/>
          <w:color w:val="1A1A1A"/>
          <w:sz w:val="21"/>
          <w:szCs w:val="21"/>
        </w:rPr>
        <w:t xml:space="preserve"> Anticipating which regulatory questions a technology will raise, and when, so that the evidence and relationships needed to answer them are in place before the questions become urgent.</w:t>
      </w:r>
    </w:p>
    <w:p>
      <w:pPr>
        <w:pStyle w:val="Heading3"/>
        <w:spacing w:after="70" w:before="160"/>
      </w:pPr>
      <w:r>
        <w:rPr>
          <w:rFonts w:ascii="Calibri" w:cs="Calibri" w:eastAsia="Calibri" w:hAnsi="Calibri"/>
          <w:b/>
          <w:bCs/>
          <w:color w:val="1F2A44"/>
          <w:sz w:val="22"/>
          <w:szCs w:val="22"/>
        </w:rPr>
        <w:t xml:space="preserve">6.1 Governance questions change with maturity</w:t>
      </w:r>
    </w:p>
    <w:p>
      <w:pPr>
        <w:spacing w:after="140" w:line="276"/>
        <w:jc w:val="both"/>
      </w:pPr>
      <w:r>
        <w:rPr>
          <w:rFonts w:ascii="Georgia" w:cs="Georgia" w:eastAsia="Georgia" w:hAnsi="Georgia"/>
          <w:color w:val="1A1A1A"/>
          <w:sz w:val="21"/>
          <w:szCs w:val="21"/>
        </w:rPr>
        <w:t xml:space="preserve">The most practical way to apply the idea is to recognise that each stage of maturity raises different governance questions. Addressing them in advance is what ‘early’ means.</w:t>
      </w:r>
    </w:p>
    <w:tbl>
      <w:tblPr>
        <w:tblW w:type="dxa" w:w="9360"/>
        <w:tblBorders>
          <w:top w:val="single" w:color="C9D3E0" w:sz="2"/>
          <w:left w:val="none"/>
          <w:bottom w:val="single" w:color="C9D3E0" w:sz="2"/>
          <w:right w:val="none"/>
          <w:insideH w:val="single" w:color="C9D3E0" w:sz="2"/>
          <w:insideV w:val="single" w:color="C9D3E0" w:sz="2"/>
        </w:tblBorders>
      </w:tblPr>
      <w:tblGrid>
        <w:gridCol w:w="2400"/>
        <w:gridCol w:w="6960"/>
      </w:tblGrid>
      <w:tr>
        <w:trPr>
          <w:tblHeader/>
        </w:trPr>
        <w:tc>
          <w:tcPr>
            <w:tcW w:type="dxa" w:w="24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Stage</w:t>
            </w:r>
          </w:p>
        </w:tc>
        <w:tc>
          <w:tcPr>
            <w:tcW w:type="dxa" w:w="69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Typical governance questions</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Research (TRL 1–3)</w:t>
            </w:r>
          </w:p>
        </w:tc>
        <w:tc>
          <w:tcPr>
            <w:tcW w:type="dxa" w:w="6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Research security and dual-use; export controls on know-how; ethics of experimentation; openness versus protection of research.</w:t>
            </w:r>
          </w:p>
        </w:tc>
      </w:tr>
      <w:tr>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Development and pilots (TRL 4–6)</w:t>
            </w:r>
          </w:p>
        </w:tc>
        <w:tc>
          <w:tcPr>
            <w:tcW w:type="dxa" w:w="6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Permission to test in the real world; safety evidence regulators will need; data access; who is liable during trials.</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Early commercial deployment (TRL 7–9)</w:t>
            </w:r>
          </w:p>
        </w:tc>
        <w:tc>
          <w:tcPr>
            <w:tcW w:type="dxa" w:w="6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and certification; consumer protection; liability; sector-specific rules; public trust.</w:t>
            </w:r>
          </w:p>
        </w:tc>
      </w:tr>
      <w:tr>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Scale</w:t>
            </w:r>
          </w:p>
        </w:tc>
        <w:tc>
          <w:tcPr>
            <w:tcW w:type="dxa" w:w="6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Market structure and competition; interoperability across jurisdictions; workforce impacts; equitable access; environmental footprint.</w:t>
            </w:r>
          </w:p>
        </w:tc>
      </w:tr>
    </w:tbl>
    <w:p>
      <w:pPr>
        <w:spacing w:after="80"/>
      </w:pPr>
    </w:p>
    <w:p>
      <w:pPr>
        <w:pStyle w:val="Heading3"/>
        <w:spacing w:after="70" w:before="160"/>
      </w:pPr>
      <w:r>
        <w:rPr>
          <w:rFonts w:ascii="Calibri" w:cs="Calibri" w:eastAsia="Calibri" w:hAnsi="Calibri"/>
          <w:b/>
          <w:bCs/>
          <w:color w:val="1F2A44"/>
          <w:sz w:val="22"/>
          <w:szCs w:val="22"/>
        </w:rPr>
        <w:t xml:space="preserve">6.2 What it looks like inside a Forum programme</w:t>
      </w:r>
    </w:p>
    <w:p>
      <w:pPr>
        <w:spacing w:after="140" w:line="276"/>
        <w:jc w:val="both"/>
      </w:pPr>
      <w:r>
        <w:rPr>
          <w:rFonts w:ascii="Georgia" w:cs="Georgia" w:eastAsia="Georgia" w:hAnsi="Georgia"/>
          <w:color w:val="1A1A1A"/>
          <w:sz w:val="21"/>
          <w:szCs w:val="21"/>
        </w:rPr>
        <w:t xml:space="preserve">In practice, integrating regulatory thinking early into a Forum technology programme means asking a short set of questions when the programme is being designed, not when its report is being written:</w:t>
      </w:r>
    </w:p>
    <w:p>
      <w:pPr>
        <w:pStyle w:val="ListParagraph"/>
        <w:numPr>
          <w:ilvl w:val="0"/>
          <w:numId w:val="2"/>
        </w:numPr>
        <w:spacing w:after="70" w:line="268"/>
      </w:pPr>
      <w:r>
        <w:rPr>
          <w:rFonts w:ascii="Georgia" w:cs="Georgia" w:eastAsia="Georgia" w:hAnsi="Georgia"/>
          <w:color w:val="1A1A1A"/>
          <w:sz w:val="21"/>
          <w:szCs w:val="21"/>
        </w:rPr>
        <w:t xml:space="preserve">Which regulators and ministries have, or will claim, jurisdiction over this technology?</w:t>
      </w:r>
    </w:p>
    <w:p>
      <w:pPr>
        <w:pStyle w:val="ListParagraph"/>
        <w:numPr>
          <w:ilvl w:val="0"/>
          <w:numId w:val="2"/>
        </w:numPr>
        <w:spacing w:after="70" w:line="268"/>
      </w:pPr>
      <w:r>
        <w:rPr>
          <w:rFonts w:ascii="Georgia" w:cs="Georgia" w:eastAsia="Georgia" w:hAnsi="Georgia"/>
          <w:color w:val="1A1A1A"/>
          <w:sz w:val="21"/>
          <w:szCs w:val="21"/>
        </w:rPr>
        <w:t xml:space="preserve">Which governance questions are live now, and which will become live in the next three to five years?</w:t>
      </w:r>
    </w:p>
    <w:p>
      <w:pPr>
        <w:pStyle w:val="ListParagraph"/>
        <w:numPr>
          <w:ilvl w:val="0"/>
          <w:numId w:val="2"/>
        </w:numPr>
        <w:spacing w:after="70" w:line="268"/>
      </w:pPr>
      <w:r>
        <w:rPr>
          <w:rFonts w:ascii="Georgia" w:cs="Georgia" w:eastAsia="Georgia" w:hAnsi="Georgia"/>
          <w:color w:val="1A1A1A"/>
          <w:sz w:val="21"/>
          <w:szCs w:val="21"/>
        </w:rPr>
        <w:t xml:space="preserve">Where are jurisdictions already diverging, and what would that divergence cost?</w:t>
      </w:r>
    </w:p>
    <w:p>
      <w:pPr>
        <w:pStyle w:val="ListParagraph"/>
        <w:numPr>
          <w:ilvl w:val="0"/>
          <w:numId w:val="2"/>
        </w:numPr>
        <w:spacing w:after="70" w:line="268"/>
      </w:pPr>
      <w:r>
        <w:rPr>
          <w:rFonts w:ascii="Georgia" w:cs="Georgia" w:eastAsia="Georgia" w:hAnsi="Georgia"/>
          <w:color w:val="1A1A1A"/>
          <w:sz w:val="21"/>
          <w:szCs w:val="21"/>
        </w:rPr>
        <w:t xml:space="preserve">What evidence would regulators need to act well, and can this programme generate it?</w:t>
      </w:r>
    </w:p>
    <w:p>
      <w:pPr>
        <w:pStyle w:val="ListParagraph"/>
        <w:numPr>
          <w:ilvl w:val="0"/>
          <w:numId w:val="2"/>
        </w:numPr>
        <w:spacing w:after="70" w:line="268"/>
      </w:pPr>
      <w:r>
        <w:rPr>
          <w:rFonts w:ascii="Georgia" w:cs="Georgia" w:eastAsia="Georgia" w:hAnsi="Georgia"/>
          <w:color w:val="1A1A1A"/>
          <w:sz w:val="21"/>
          <w:szCs w:val="21"/>
        </w:rPr>
        <w:t xml:space="preserve">Which stakeholders are missing from the programme’s community, particularly regulators, legal and compliance leaders, civil society and the Global South?</w:t>
      </w:r>
    </w:p>
    <w:p>
      <w:pPr>
        <w:pStyle w:val="ListParagraph"/>
        <w:numPr>
          <w:ilvl w:val="0"/>
          <w:numId w:val="2"/>
        </w:numPr>
        <w:spacing w:after="70" w:line="268"/>
      </w:pPr>
      <w:r>
        <w:rPr>
          <w:rFonts w:ascii="Georgia" w:cs="Georgia" w:eastAsia="Georgia" w:hAnsi="Georgia"/>
          <w:color w:val="1A1A1A"/>
          <w:sz w:val="21"/>
          <w:szCs w:val="21"/>
        </w:rPr>
        <w:t xml:space="preserve">What would a practical output for regulators look like, and how would it reach them?</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distinction to hold:</w:t>
            </w:r>
            <w:r>
              <w:rPr>
                <w:rFonts w:ascii="Georgia" w:cs="Georgia" w:eastAsia="Georgia" w:hAnsi="Georgia"/>
                <w:color w:val="1F2A44"/>
                <w:sz w:val="20"/>
                <w:szCs w:val="20"/>
              </w:rPr>
              <w:t xml:space="preserve"> integrating regulatory thinking early does not mean regulating early. It means making sure the governance questions, the evidence and the right people are in the room while choices are still open.</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Part II · The Ecosystem</w:t>
      </w:r>
    </w:p>
    <w:p>
      <w:pPr>
        <w:spacing w:after="200" w:line="288"/>
      </w:pPr>
      <w:r>
        <w:rPr>
          <w:rFonts w:ascii="Georgia" w:cs="Georgia" w:eastAsia="Georgia" w:hAnsi="Georgia"/>
          <w:i/>
          <w:iCs/>
          <w:color w:val="55606E"/>
          <w:sz w:val="22"/>
          <w:szCs w:val="22"/>
        </w:rPr>
        <w:t xml:space="preserve">Frontier-technology governance is produced by an ecosystem, not by any single rule-maker. This part maps the Forum as an institution, what its frontier-technology teams have already produced, the external actors around each technology, and the multistakeholder model that ties them together.</w:t>
      </w:r>
    </w:p>
    <w:p>
      <w:pPr>
        <w:pStyle w:val="Heading2"/>
        <w:spacing w:after="100" w:before="220"/>
      </w:pPr>
      <w:r>
        <w:rPr>
          <w:rFonts w:ascii="Calibri" w:cs="Calibri" w:eastAsia="Calibri" w:hAnsi="Calibri"/>
          <w:b/>
          <w:bCs/>
          <w:color w:val="2F5D8A"/>
          <w:sz w:val="25"/>
          <w:szCs w:val="25"/>
        </w:rPr>
        <w:t xml:space="preserve">1. The Forum as an institution</w:t>
      </w:r>
    </w:p>
    <w:p>
      <w:pPr>
        <w:spacing w:after="140" w:line="276"/>
        <w:jc w:val="both"/>
      </w:pPr>
      <w:r>
        <w:rPr>
          <w:rFonts w:ascii="Georgia" w:cs="Georgia" w:eastAsia="Georgia" w:hAnsi="Georgia"/>
          <w:color w:val="1A1A1A"/>
          <w:sz w:val="21"/>
          <w:szCs w:val="21"/>
        </w:rPr>
        <w:t xml:space="preserve">The World Economic Forum is an independent international organisation for public-private cooperation, headquartered in Geneva. It has no legislative, regulatory or enforcement power. Its influence comes from who it can bring together, the credibility of what it publishes, and the willingness of governments and companies to adopt what is co-designed on its platforms.</w:t>
      </w:r>
    </w:p>
    <w:p>
      <w:pPr>
        <w:pStyle w:val="Heading3"/>
        <w:spacing w:after="70" w:before="160"/>
      </w:pPr>
      <w:r>
        <w:rPr>
          <w:rFonts w:ascii="Calibri" w:cs="Calibri" w:eastAsia="Calibri" w:hAnsi="Calibri"/>
          <w:b/>
          <w:bCs/>
          <w:color w:val="1F2A44"/>
          <w:sz w:val="22"/>
          <w:szCs w:val="22"/>
        </w:rPr>
        <w:t xml:space="preserve">1.1 The levers of impact</w:t>
      </w:r>
    </w:p>
    <w:tbl>
      <w:tblPr>
        <w:tblW w:type="dxa" w:w="9360"/>
        <w:tblBorders>
          <w:top w:val="single" w:color="C9D3E0" w:sz="2"/>
          <w:left w:val="none"/>
          <w:bottom w:val="single" w:color="C9D3E0" w:sz="2"/>
          <w:right w:val="none"/>
          <w:insideH w:val="single" w:color="C9D3E0" w:sz="2"/>
          <w:insideV w:val="single" w:color="C9D3E0" w:sz="2"/>
        </w:tblBorders>
      </w:tblPr>
      <w:tblGrid>
        <w:gridCol w:w="2100"/>
        <w:gridCol w:w="3800"/>
        <w:gridCol w:w="3460"/>
      </w:tblGrid>
      <w:tr>
        <w:trPr>
          <w:tblHeader/>
        </w:trPr>
        <w:tc>
          <w:tcPr>
            <w:tcW w:type="dxa" w:w="2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Lever</w:t>
            </w:r>
          </w:p>
        </w:tc>
        <w:tc>
          <w:tcPr>
            <w:tcW w:type="dxa" w:w="38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is</w:t>
            </w:r>
          </w:p>
        </w:tc>
        <w:tc>
          <w:tcPr>
            <w:tcW w:type="dxa" w:w="34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How it creates impact</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Convening</w:t>
            </w:r>
          </w:p>
        </w:tc>
        <w:tc>
          <w:tcPr>
            <w:tcW w:type="dxa" w:w="3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Bringing governments, companies, academia and civil society into the same room, under Chatham House norms where needed.</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Allows alignment before positions harden; creates relationships that outlast the meeting.</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Communities</w:t>
            </w:r>
          </w:p>
        </w:tc>
        <w:tc>
          <w:tcPr>
            <w:tcW w:type="dxa" w:w="3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Standing groups: industry communities, Chief Legal Officers, Chief Compliance Officers, Global Future Councils (expert councils), Technology Pioneers (start-ups), Young Global Leaders.</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Supply expertise, membership, and channels for adoption.</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Initiatives and platforms</w:t>
            </w:r>
          </w:p>
        </w:tc>
        <w:tc>
          <w:tcPr>
            <w:tcW w:type="dxa" w:w="3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Multi-year, multistakeholder programmes with a defined objective (GRIP is one).</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Turn dialogue into frameworks, pilots and commitments.</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Knowledge products</w:t>
            </w:r>
          </w:p>
        </w:tc>
        <w:tc>
          <w:tcPr>
            <w:tcW w:type="dxa" w:w="3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Insight reports, white papers, principles, toolkits, blueprints, playbooks, outlooks and indices.</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Shape how decision-makers frame problems and what they consider good practice.</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C4IR network</w:t>
            </w:r>
          </w:p>
        </w:tc>
        <w:tc>
          <w:tcPr>
            <w:tcW w:type="dxa" w:w="3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Government- or institution-hosted Centres for the Fourth Industrial Revolution in over 20 countries.</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Pilot frameworks with governments in-country and feed lessons back globally.</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Annual Meeting and summits</w:t>
            </w:r>
          </w:p>
        </w:tc>
        <w:tc>
          <w:tcPr>
            <w:tcW w:type="dxa" w:w="3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Davos, the Annual Meeting of the New Champions, and topical summits.</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Moments to launch products, secure commitments, and reach leaders.</w:t>
            </w:r>
          </w:p>
        </w:tc>
      </w:tr>
    </w:tbl>
    <w:p>
      <w:pPr>
        <w:spacing w:after="80"/>
      </w:pPr>
    </w:p>
    <w:p>
      <w:pPr>
        <w:pStyle w:val="Heading3"/>
        <w:spacing w:after="70" w:before="160"/>
      </w:pPr>
      <w:r>
        <w:rPr>
          <w:rFonts w:ascii="Calibri" w:cs="Calibri" w:eastAsia="Calibri" w:hAnsi="Calibri"/>
          <w:b/>
          <w:bCs/>
          <w:color w:val="1F2A44"/>
          <w:sz w:val="22"/>
          <w:szCs w:val="22"/>
        </w:rPr>
        <w:t xml:space="preserve">1.2 How knowledge products are made</w:t>
      </w:r>
    </w:p>
    <w:p>
      <w:pPr>
        <w:spacing w:after="140" w:line="276"/>
        <w:jc w:val="both"/>
      </w:pPr>
      <w:r>
        <w:rPr>
          <w:rFonts w:ascii="Georgia" w:cs="Georgia" w:eastAsia="Georgia" w:hAnsi="Georgia"/>
          <w:color w:val="1A1A1A"/>
          <w:sz w:val="21"/>
          <w:szCs w:val="21"/>
        </w:rPr>
        <w:t xml:space="preserve">Most Forum outputs are co-designed with a community rather than written in isolation: a working group or network of member companies, government representatives and experts shapes the content over several months, often with a knowledge partner (Accenture, Deloitte, McKinsey and BCG appear frequently in frontier-technology work). This matters for your role in two ways: outputs carry the legitimacy of the community that built them, and the process of building them is itself a convening instrument. A product with no community behind it rarely gets adopted.</w:t>
      </w:r>
    </w:p>
    <w:p>
      <w:pPr>
        <w:pStyle w:val="Heading3"/>
        <w:spacing w:after="70" w:before="160"/>
      </w:pPr>
      <w:r>
        <w:rPr>
          <w:rFonts w:ascii="Calibri" w:cs="Calibri" w:eastAsia="Calibri" w:hAnsi="Calibri"/>
          <w:b/>
          <w:bCs/>
          <w:color w:val="1F2A44"/>
          <w:sz w:val="22"/>
          <w:szCs w:val="22"/>
        </w:rPr>
        <w:t xml:space="preserve">1.3 The grammar of Forum products</w:t>
      </w:r>
    </w:p>
    <w:p>
      <w:pPr>
        <w:spacing w:after="140" w:line="276"/>
        <w:jc w:val="both"/>
      </w:pPr>
      <w:r>
        <w:rPr>
          <w:rFonts w:ascii="Georgia" w:cs="Georgia" w:eastAsia="Georgia" w:hAnsi="Georgia"/>
          <w:color w:val="1A1A1A"/>
          <w:sz w:val="21"/>
          <w:szCs w:val="21"/>
        </w:rPr>
        <w:t xml:space="preserve">Reading across the frontier-technology portfolio, the Forum uses a recognisable set of product types. Knowing them lets you propose outputs that fit how the institution actually works.</w:t>
      </w:r>
    </w:p>
    <w:tbl>
      <w:tblPr>
        <w:tblW w:type="dxa" w:w="9360"/>
        <w:tblBorders>
          <w:top w:val="single" w:color="C9D3E0" w:sz="2"/>
          <w:left w:val="none"/>
          <w:bottom w:val="single" w:color="C9D3E0" w:sz="2"/>
          <w:right w:val="none"/>
          <w:insideH w:val="single" w:color="C9D3E0" w:sz="2"/>
          <w:insideV w:val="single" w:color="C9D3E0" w:sz="2"/>
        </w:tblBorders>
      </w:tblPr>
      <w:tblGrid>
        <w:gridCol w:w="2200"/>
        <w:gridCol w:w="3700"/>
        <w:gridCol w:w="3460"/>
      </w:tblGrid>
      <w:tr>
        <w:trPr>
          <w:tblHeader/>
        </w:trPr>
        <w:tc>
          <w:tcPr>
            <w:tcW w:type="dxa" w:w="2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Product type</w:t>
            </w:r>
          </w:p>
        </w:tc>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Purpose</w:t>
            </w:r>
          </w:p>
        </w:tc>
        <w:tc>
          <w:tcPr>
            <w:tcW w:type="dxa" w:w="34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Frontier-technology example</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Establish shared values and expectations for a technology.</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Computing Governance Principles (2022).</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Readiness toolkit</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Guide organisations through a transition.</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Readiness Toolkit (2023, with Deloitte).</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Regulatory-facing white paper</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Inform how regulators approach an issue, with principles and a roadmap.</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Security for the Financial Sector: Informing Global Regulatory Approaches (2024, with the UK FCA).</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National blueprint</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Help governments design a national strategy; piloted through C4IR.</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Economy Blueprint (2024), piloted with C4IR Saudi Arabia.</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Timeline and roadmap</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Give a grounded view of when a technology will scale.</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Autonomous Vehicles: Timeline and Roadmap Ahead (2025).</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Cross-jurisdiction synthesis</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Compare regulatory approaches and extract shared lessons.</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Autonomous Vehicles: From Regulatory Diversity to Shared Learning (2026).</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Rating or standard incubation</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Create a measurable benchmark others can adopt.</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Sustainability Rating (incubated by the Forum, now operated independently).</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 statement or call to action</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Secure collective commitments.</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Industry Debris Mitigation Recommendations (2023); Clear Orbit, Secure Future (2026).</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Policy index</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Benchmark policy maturity across countries.</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Bioeconomy Initiative’s Policy Maturity Index.</w:t>
            </w:r>
          </w:p>
        </w:tc>
      </w:tr>
    </w:tbl>
    <w:p>
      <w:pPr>
        <w:spacing w:after="80"/>
      </w:pPr>
    </w:p>
    <w:p>
      <w:pPr>
        <w:pStyle w:val="Heading2"/>
        <w:spacing w:after="100" w:before="220"/>
      </w:pPr>
      <w:r>
        <w:rPr>
          <w:rFonts w:ascii="Calibri" w:cs="Calibri" w:eastAsia="Calibri" w:hAnsi="Calibri"/>
          <w:b/>
          <w:bCs/>
          <w:color w:val="2F5D8A"/>
          <w:sz w:val="25"/>
          <w:szCs w:val="25"/>
        </w:rPr>
        <w:t xml:space="preserve">2. The frontier-technology teams and their bodies of work</w:t>
      </w:r>
    </w:p>
    <w:p>
      <w:pPr>
        <w:spacing w:after="140" w:line="276"/>
        <w:jc w:val="both"/>
      </w:pPr>
      <w:r>
        <w:rPr>
          <w:rFonts w:ascii="Georgia" w:cs="Georgia" w:eastAsia="Georgia" w:hAnsi="Georgia"/>
          <w:color w:val="1A1A1A"/>
          <w:sz w:val="21"/>
          <w:szCs w:val="21"/>
        </w:rPr>
        <w:t xml:space="preserve">Before proposing anything, an expert knows what already exists. The tables below list the most relevant public outputs. Titles and dates were checked against public Forum pages as of September 2026; check each team’s page before the interview for anything newer.</w:t>
      </w:r>
    </w:p>
    <w:p>
      <w:pPr>
        <w:pStyle w:val="Heading3"/>
        <w:spacing w:after="70" w:before="160"/>
      </w:pPr>
      <w:r>
        <w:rPr>
          <w:rFonts w:ascii="Calibri" w:cs="Calibri" w:eastAsia="Calibri" w:hAnsi="Calibri"/>
          <w:b/>
          <w:bCs/>
          <w:color w:val="1F2A44"/>
          <w:sz w:val="22"/>
          <w:szCs w:val="22"/>
        </w:rPr>
        <w:t xml:space="preserve">2.1 Quantum technologies</w:t>
      </w:r>
    </w:p>
    <w:tbl>
      <w:tblPr>
        <w:tblW w:type="dxa" w:w="9360"/>
        <w:tblBorders>
          <w:top w:val="single" w:color="C9D3E0" w:sz="2"/>
          <w:left w:val="none"/>
          <w:bottom w:val="single" w:color="C9D3E0" w:sz="2"/>
          <w:right w:val="none"/>
          <w:insideH w:val="single" w:color="C9D3E0" w:sz="2"/>
          <w:insideV w:val="single" w:color="C9D3E0" w:sz="2"/>
        </w:tblBorders>
      </w:tblPr>
      <w:tblGrid>
        <w:gridCol w:w="3900"/>
        <w:gridCol w:w="900"/>
        <w:gridCol w:w="4560"/>
      </w:tblGrid>
      <w:tr>
        <w:trPr>
          <w:tblHeader/>
        </w:trPr>
        <w:tc>
          <w:tcPr>
            <w:tcW w:type="dxa" w:w="3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Output</w:t>
            </w:r>
          </w:p>
        </w:tc>
        <w:tc>
          <w:tcPr>
            <w:tcW w:type="dxa" w:w="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Year</w:t>
            </w:r>
          </w:p>
        </w:tc>
        <w:tc>
          <w:tcPr>
            <w:tcW w:type="dxa" w:w="4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did</w:t>
            </w:r>
          </w:p>
        </w:tc>
      </w:tr>
      <w:tr>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Computing Governance Principles</w:t>
            </w:r>
          </w:p>
        </w:tc>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2022</w:t>
            </w:r>
          </w:p>
        </w:tc>
        <w:tc>
          <w:tcPr>
            <w:tcW w:type="dxa" w:w="4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First set of principles for responsible quantum computing, from the Forum’s Quantum Computing Network: nine themes (including transformative capabilities, access to hardware, open innovation, creating awareness, cybersecurity, standardisation and workforce) underpinned by seven core values (common good, accountability, inclusiveness, equitability, non-maleficence, accessibility, transparency).</w:t>
            </w:r>
          </w:p>
        </w:tc>
      </w:tr>
      <w:tr>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Transitioning to a Quantum-Secure Economy</w:t>
            </w:r>
          </w:p>
        </w:tc>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2022</w:t>
            </w:r>
          </w:p>
        </w:tc>
        <w:tc>
          <w:tcPr>
            <w:tcW w:type="dxa" w:w="4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Flagship framing of the quantum security transition for organisations and policy-makers.</w:t>
            </w:r>
          </w:p>
        </w:tc>
      </w:tr>
      <w:tr>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Readiness Toolkit: Building a Quantum-Secure Economy (with Deloitte)</w:t>
            </w:r>
          </w:p>
        </w:tc>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2023</w:t>
            </w:r>
          </w:p>
        </w:tc>
        <w:tc>
          <w:tcPr>
            <w:tcW w:type="dxa" w:w="4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Five principles for organisations: institutionalise quantum risk in governance; raise awareness; treat quantum risk alongside existing cyber risk; make strategic technology decisions (including crypto-agility); collaborate across the ecosystem.</w:t>
            </w:r>
          </w:p>
        </w:tc>
      </w:tr>
      <w:tr>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Security for the Financial Sector: Informing Global Regulatory Approaches (with the UK FCA)</w:t>
            </w:r>
          </w:p>
        </w:tc>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2024</w:t>
            </w:r>
          </w:p>
        </w:tc>
        <w:tc>
          <w:tcPr>
            <w:tcW w:type="dxa" w:w="4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Guiding principles and a roadmap for regulators and industry, including reusing existing frameworks, increasing transparency between regulators and firms, and avoiding regulatory fragmentation through international alignment.</w:t>
            </w:r>
          </w:p>
        </w:tc>
      </w:tr>
      <w:tr>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Economy Blueprint</w:t>
            </w:r>
          </w:p>
        </w:tc>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2024</w:t>
            </w:r>
          </w:p>
        </w:tc>
        <w:tc>
          <w:tcPr>
            <w:tcW w:type="dxa" w:w="4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Framework for countries designing national quantum strategies, built on the nine themes of the Governance Principles; addresses access and the ‘quantum divide’. Piloted with C4IR Saudi Arabia (lessons published 2026).</w:t>
            </w:r>
          </w:p>
        </w:tc>
      </w:tr>
      <w:tr>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Embracing the Quantum Economy: A Pathway for Business Leaders</w:t>
            </w:r>
          </w:p>
        </w:tc>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2024</w:t>
            </w:r>
          </w:p>
        </w:tc>
        <w:tc>
          <w:tcPr>
            <w:tcW w:type="dxa" w:w="4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Guidance for companies on preparing for quantum.</w:t>
            </w:r>
          </w:p>
        </w:tc>
      </w:tr>
      <w:tr>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Technologies: Key Opportunities for Advanced Manufacturing and Supply Chains (with Accenture)</w:t>
            </w:r>
          </w:p>
        </w:tc>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2025</w:t>
            </w:r>
          </w:p>
        </w:tc>
        <w:tc>
          <w:tcPr>
            <w:tcW w:type="dxa" w:w="4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Use cases across design, operations and supply chains (e.g. Ford Otosan scheduling, Port of Rotterdam quantum-secured network) and a roadmap from hybrid pilots to policy, talent and security measures.</w:t>
            </w:r>
          </w:p>
        </w:tc>
      </w:tr>
      <w:tr>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Economy Network</w:t>
            </w:r>
          </w:p>
        </w:tc>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Ongoing</w:t>
            </w:r>
          </w:p>
        </w:tc>
        <w:tc>
          <w:tcPr>
            <w:tcW w:type="dxa" w:w="4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community through which the quantum work is developed.</w:t>
            </w:r>
          </w:p>
        </w:tc>
      </w:tr>
    </w:tbl>
    <w:p>
      <w:pPr>
        <w:spacing w:after="80"/>
      </w:pPr>
    </w:p>
    <w:p>
      <w:pPr>
        <w:spacing w:after="140" w:line="276"/>
        <w:jc w:val="both"/>
      </w:pPr>
      <w:r>
        <w:rPr>
          <w:rFonts w:ascii="Georgia" w:cs="Georgia" w:eastAsia="Georgia" w:hAnsi="Georgia"/>
          <w:b/>
          <w:bCs/>
          <w:color w:val="1A1A1A"/>
          <w:sz w:val="21"/>
          <w:szCs w:val="21"/>
        </w:rPr>
        <w:t xml:space="preserve">What this tells you:</w:t>
      </w:r>
      <w:r>
        <w:rPr>
          <w:rFonts w:ascii="Georgia" w:cs="Georgia" w:eastAsia="Georgia" w:hAnsi="Georgia"/>
          <w:color w:val="1A1A1A"/>
          <w:sz w:val="21"/>
          <w:szCs w:val="21"/>
        </w:rPr>
        <w:t xml:space="preserve"> the quantum team has moved from principles (2022) to organisational readiness (2023), to regulators (2024, finance only), to national strategy (2024) and industrial adoption (2025). The regulatory-facing work so far is sector-specific (finance) and jurisdiction-specific (UK regulator). That is the most obvious space for a GRIP collaboration: extending regulatory coherence beyond one sector and one jurisdiction (see Part B, Case 1).</w:t>
      </w:r>
    </w:p>
    <w:p>
      <w:pPr>
        <w:pStyle w:val="Heading3"/>
        <w:spacing w:after="70" w:before="160"/>
      </w:pPr>
      <w:r>
        <w:rPr>
          <w:rFonts w:ascii="Calibri" w:cs="Calibri" w:eastAsia="Calibri" w:hAnsi="Calibri"/>
          <w:b/>
          <w:bCs/>
          <w:color w:val="1F2A44"/>
          <w:sz w:val="22"/>
          <w:szCs w:val="22"/>
        </w:rPr>
        <w:t xml:space="preserve">2.2 Autonomous mobility and robotics</w:t>
      </w:r>
    </w:p>
    <w:tbl>
      <w:tblPr>
        <w:tblW w:type="dxa" w:w="9360"/>
        <w:tblBorders>
          <w:top w:val="single" w:color="C9D3E0" w:sz="2"/>
          <w:left w:val="none"/>
          <w:bottom w:val="single" w:color="C9D3E0" w:sz="2"/>
          <w:right w:val="none"/>
          <w:insideH w:val="single" w:color="C9D3E0" w:sz="2"/>
          <w:insideV w:val="single" w:color="C9D3E0" w:sz="2"/>
        </w:tblBorders>
      </w:tblPr>
      <w:tblGrid>
        <w:gridCol w:w="3900"/>
        <w:gridCol w:w="900"/>
        <w:gridCol w:w="4560"/>
      </w:tblGrid>
      <w:tr>
        <w:trPr>
          <w:tblHeader/>
        </w:trPr>
        <w:tc>
          <w:tcPr>
            <w:tcW w:type="dxa" w:w="3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Output</w:t>
            </w:r>
          </w:p>
        </w:tc>
        <w:tc>
          <w:tcPr>
            <w:tcW w:type="dxa" w:w="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Year</w:t>
            </w:r>
          </w:p>
        </w:tc>
        <w:tc>
          <w:tcPr>
            <w:tcW w:type="dxa" w:w="4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did</w:t>
            </w:r>
          </w:p>
        </w:tc>
      </w:tr>
      <w:tr>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Autonomous Vehicles: Timeline and Roadmap Ahead</w:t>
            </w:r>
          </w:p>
        </w:tc>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2025</w:t>
            </w:r>
          </w:p>
        </w:tc>
        <w:tc>
          <w:tcPr>
            <w:tcW w:type="dxa" w:w="4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Grounded adoption timeline across personal vehicles, robotaxis and trucks: assisted rather than autonomous features dominate personal vehicles through 2035; hub-to-hub trucks could reach roughly 30% of new mid-distance truck sales in the US by 2035. Five actions: public trust, technology, regulatory alignment, business models, industry collaboration.</w:t>
            </w:r>
          </w:p>
        </w:tc>
      </w:tr>
      <w:tr>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Autonomous Vehicles: From Regulatory Diversity to Shared Learning (with Accenture)</w:t>
            </w:r>
          </w:p>
        </w:tc>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2026</w:t>
            </w:r>
          </w:p>
        </w:tc>
        <w:tc>
          <w:tcPr>
            <w:tcW w:type="dxa" w:w="4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Compares divergent national approaches to AV regulation and argues for mechanisms that let jurisdictions learn from each other. This is GRIP’s thesis applied to one technology.</w:t>
            </w:r>
          </w:p>
        </w:tc>
      </w:tr>
      <w:tr>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Intelligent Industrial Operations Outlook</w:t>
            </w:r>
          </w:p>
        </w:tc>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2026</w:t>
            </w:r>
          </w:p>
        </w:tc>
        <w:tc>
          <w:tcPr>
            <w:tcW w:type="dxa" w:w="4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First edition; maps the shift from automation to intelligent, connected and increasingly autonomous industrial operations, including physical AI.</w:t>
            </w:r>
          </w:p>
        </w:tc>
      </w:tr>
      <w:tr>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Frontier technologies for operations (initiative)</w:t>
            </w:r>
          </w:p>
        </w:tc>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Ongoing</w:t>
            </w:r>
          </w:p>
        </w:tc>
        <w:tc>
          <w:tcPr>
            <w:tcW w:type="dxa" w:w="4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Work on how AI, physical AI and quantum reshape industrial operations.</w:t>
            </w:r>
          </w:p>
        </w:tc>
      </w:tr>
    </w:tbl>
    <w:p>
      <w:pPr>
        <w:spacing w:after="80"/>
      </w:pPr>
    </w:p>
    <w:p>
      <w:pPr>
        <w:pStyle w:val="Heading3"/>
        <w:spacing w:after="70" w:before="160"/>
      </w:pPr>
      <w:r>
        <w:rPr>
          <w:rFonts w:ascii="Calibri" w:cs="Calibri" w:eastAsia="Calibri" w:hAnsi="Calibri"/>
          <w:b/>
          <w:bCs/>
          <w:color w:val="1F2A44"/>
          <w:sz w:val="22"/>
          <w:szCs w:val="22"/>
        </w:rPr>
        <w:t xml:space="preserve">2.3 Biotechnology</w:t>
      </w:r>
    </w:p>
    <w:tbl>
      <w:tblPr>
        <w:tblW w:type="dxa" w:w="9360"/>
        <w:tblBorders>
          <w:top w:val="single" w:color="C9D3E0" w:sz="2"/>
          <w:left w:val="none"/>
          <w:bottom w:val="single" w:color="C9D3E0" w:sz="2"/>
          <w:right w:val="none"/>
          <w:insideH w:val="single" w:color="C9D3E0" w:sz="2"/>
          <w:insideV w:val="single" w:color="C9D3E0" w:sz="2"/>
        </w:tblBorders>
      </w:tblPr>
      <w:tblGrid>
        <w:gridCol w:w="3900"/>
        <w:gridCol w:w="900"/>
        <w:gridCol w:w="4560"/>
      </w:tblGrid>
      <w:tr>
        <w:trPr>
          <w:tblHeader/>
        </w:trPr>
        <w:tc>
          <w:tcPr>
            <w:tcW w:type="dxa" w:w="3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Output</w:t>
            </w:r>
          </w:p>
        </w:tc>
        <w:tc>
          <w:tcPr>
            <w:tcW w:type="dxa" w:w="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Year</w:t>
            </w:r>
          </w:p>
        </w:tc>
        <w:tc>
          <w:tcPr>
            <w:tcW w:type="dxa" w:w="4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did</w:t>
            </w:r>
          </w:p>
        </w:tc>
      </w:tr>
      <w:tr>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Bioeconomy Initiative (including BioBASED work)</w:t>
            </w:r>
          </w:p>
        </w:tc>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Ongoing</w:t>
            </w:r>
          </w:p>
        </w:tc>
        <w:tc>
          <w:tcPr>
            <w:tcW w:type="dxa" w:w="4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Accelerates a technology-driven bioeconomy by strengthening ecosystems across countries and industries.</w:t>
            </w:r>
          </w:p>
        </w:tc>
      </w:tr>
      <w:tr>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Accelerating the Tech-Driven Bioeconomy</w:t>
            </w:r>
          </w:p>
        </w:tc>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Recent</w:t>
            </w:r>
          </w:p>
        </w:tc>
        <w:tc>
          <w:tcPr>
            <w:tcW w:type="dxa" w:w="4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Framing of how technology is transforming the bioeconomy and what enables it.</w:t>
            </w:r>
          </w:p>
        </w:tc>
      </w:tr>
      <w:tr>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Policy Maturity Index</w:t>
            </w:r>
          </w:p>
        </w:tc>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Recent</w:t>
            </w:r>
          </w:p>
        </w:tc>
        <w:tc>
          <w:tcPr>
            <w:tcW w:type="dxa" w:w="4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Assesses nearly a thousand bioeconomy policy instruments across seven geographies: a ready-made evidence base on regulatory approaches.</w:t>
            </w:r>
          </w:p>
        </w:tc>
      </w:tr>
    </w:tbl>
    <w:p>
      <w:pPr>
        <w:spacing w:after="80"/>
      </w:pPr>
    </w:p>
    <w:p>
      <w:pPr>
        <w:pStyle w:val="Heading3"/>
        <w:spacing w:after="70" w:before="160"/>
      </w:pPr>
      <w:r>
        <w:rPr>
          <w:rFonts w:ascii="Calibri" w:cs="Calibri" w:eastAsia="Calibri" w:hAnsi="Calibri"/>
          <w:b/>
          <w:bCs/>
          <w:color w:val="1F2A44"/>
          <w:sz w:val="22"/>
          <w:szCs w:val="22"/>
        </w:rPr>
        <w:t xml:space="preserve">2.4 Space and planetary systems</w:t>
      </w:r>
    </w:p>
    <w:tbl>
      <w:tblPr>
        <w:tblW w:type="dxa" w:w="9360"/>
        <w:tblBorders>
          <w:top w:val="single" w:color="C9D3E0" w:sz="2"/>
          <w:left w:val="none"/>
          <w:bottom w:val="single" w:color="C9D3E0" w:sz="2"/>
          <w:right w:val="none"/>
          <w:insideH w:val="single" w:color="C9D3E0" w:sz="2"/>
          <w:insideV w:val="single" w:color="C9D3E0" w:sz="2"/>
        </w:tblBorders>
      </w:tblPr>
      <w:tblGrid>
        <w:gridCol w:w="3900"/>
        <w:gridCol w:w="900"/>
        <w:gridCol w:w="4560"/>
      </w:tblGrid>
      <w:tr>
        <w:trPr>
          <w:tblHeader/>
        </w:trPr>
        <w:tc>
          <w:tcPr>
            <w:tcW w:type="dxa" w:w="3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Output</w:t>
            </w:r>
          </w:p>
        </w:tc>
        <w:tc>
          <w:tcPr>
            <w:tcW w:type="dxa" w:w="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Year</w:t>
            </w:r>
          </w:p>
        </w:tc>
        <w:tc>
          <w:tcPr>
            <w:tcW w:type="dxa" w:w="4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did</w:t>
            </w:r>
          </w:p>
        </w:tc>
      </w:tr>
      <w:tr>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Sustainability Rating</w:t>
            </w:r>
          </w:p>
        </w:tc>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Launched 2021</w:t>
            </w:r>
          </w:p>
        </w:tc>
        <w:tc>
          <w:tcPr>
            <w:tcW w:type="dxa" w:w="4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Conceived by the Forum’s Global Future Council on Space; developed with ESA, MIT Media Lab and others; scores missions on debris mitigation and other sustainability criteria; now operated by EPFL’s eSpace centre. The clearest case of the Forum incubating a governance instrument and handing it on.</w:t>
            </w:r>
          </w:p>
        </w:tc>
      </w:tr>
      <w:tr>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Industry Debris Mitigation Recommendations</w:t>
            </w:r>
          </w:p>
        </w:tc>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2023</w:t>
            </w:r>
          </w:p>
        </w:tc>
        <w:tc>
          <w:tcPr>
            <w:tcW w:type="dxa" w:w="4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Recommendations endorsed by major satellite operators, including limiting post-mission orbital lifetime and improving operator coordination.</w:t>
            </w:r>
          </w:p>
        </w:tc>
      </w:tr>
      <w:tr>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The $1.8 Trillion Opportunity for Global Economic Growth (with McKinsey)</w:t>
            </w:r>
          </w:p>
        </w:tc>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2024</w:t>
            </w:r>
          </w:p>
        </w:tc>
        <w:tc>
          <w:tcPr>
            <w:tcW w:type="dxa" w:w="4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economy projected to grow from about $630 billion (2023) to $1.8 trillion by 2035.</w:t>
            </w:r>
          </w:p>
        </w:tc>
      </w:tr>
      <w:tr>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Clear Orbit, Secure Future: A Call to Action on Space Debris</w:t>
            </w:r>
          </w:p>
        </w:tc>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2026</w:t>
            </w:r>
          </w:p>
        </w:tc>
        <w:tc>
          <w:tcPr>
            <w:tcW w:type="dxa" w:w="4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Data-driven forecast of the cost of inaction on debris (up to about $42 billion over a decade).</w:t>
            </w:r>
          </w:p>
        </w:tc>
      </w:tr>
    </w:tbl>
    <w:p>
      <w:pPr>
        <w:spacing w:after="80"/>
      </w:pPr>
    </w:p>
    <w:p>
      <w:pPr>
        <w:spacing w:after="140" w:line="276"/>
        <w:jc w:val="both"/>
      </w:pPr>
      <w:r>
        <w:rPr>
          <w:rFonts w:ascii="Georgia" w:cs="Georgia" w:eastAsia="Georgia" w:hAnsi="Georgia"/>
          <w:color w:val="1A1A1A"/>
          <w:sz w:val="21"/>
          <w:szCs w:val="21"/>
        </w:rPr>
        <w:t xml:space="preserve">The JD lists ‘planetary systems’ as a technology initiative. Its exact scope (space alone, or space together with Earth observation and climate-related technologies) is worth confirming in the interview; it is a good question to ask.</w:t>
      </w:r>
    </w:p>
    <w:p>
      <w:pPr>
        <w:pStyle w:val="Heading2"/>
        <w:spacing w:after="100" w:before="220"/>
      </w:pPr>
      <w:r>
        <w:rPr>
          <w:rFonts w:ascii="Calibri" w:cs="Calibri" w:eastAsia="Calibri" w:hAnsi="Calibri"/>
          <w:b/>
          <w:bCs/>
          <w:color w:val="2F5D8A"/>
          <w:sz w:val="25"/>
          <w:szCs w:val="25"/>
        </w:rPr>
        <w:t xml:space="preserve">3. The external actors around each technology</w:t>
      </w:r>
    </w:p>
    <w:p>
      <w:pPr>
        <w:spacing w:after="140" w:line="276"/>
        <w:jc w:val="both"/>
      </w:pPr>
      <w:r>
        <w:rPr>
          <w:rFonts w:ascii="Georgia" w:cs="Georgia" w:eastAsia="Georgia" w:hAnsi="Georgia"/>
          <w:color w:val="1A1A1A"/>
          <w:sz w:val="21"/>
          <w:szCs w:val="21"/>
        </w:rPr>
        <w:t xml:space="preserve">Each technology has its own cast. Knowing who matters is what allows you to build the right community.</w:t>
      </w:r>
    </w:p>
    <w:tbl>
      <w:tblPr>
        <w:tblW w:type="dxa" w:w="9360"/>
        <w:tblBorders>
          <w:top w:val="single" w:color="C9D3E0" w:sz="2"/>
          <w:left w:val="none"/>
          <w:bottom w:val="single" w:color="C9D3E0" w:sz="2"/>
          <w:right w:val="none"/>
          <w:insideH w:val="single" w:color="C9D3E0" w:sz="2"/>
          <w:insideV w:val="single" w:color="C9D3E0" w:sz="2"/>
        </w:tblBorders>
      </w:tblPr>
      <w:tblGrid>
        <w:gridCol w:w="1700"/>
        <w:gridCol w:w="2560"/>
        <w:gridCol w:w="2550"/>
        <w:gridCol w:w="2550"/>
      </w:tblGrid>
      <w:tr>
        <w:trPr>
          <w:tblHeader/>
        </w:trPr>
        <w:tc>
          <w:tcPr>
            <w:tcW w:type="dxa" w:w="1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Actor type</w:t>
            </w:r>
          </w:p>
        </w:tc>
        <w:tc>
          <w:tcPr>
            <w:tcW w:type="dxa" w:w="2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Quantum</w:t>
            </w:r>
          </w:p>
        </w:tc>
        <w:tc>
          <w:tcPr>
            <w:tcW w:type="dxa" w:w="25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Autonomous mobility and robotics</w:t>
            </w:r>
          </w:p>
        </w:tc>
        <w:tc>
          <w:tcPr>
            <w:tcW w:type="dxa" w:w="25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Biotechnology</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Governments and strategy owners</w:t>
            </w:r>
          </w:p>
        </w:tc>
        <w:tc>
          <w:tcPr>
            <w:tcW w:type="dxa" w:w="2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National quantum programmes (US National Quantum Initiative; EU Quantum Europe Strategy; UK National Quantum Technologies Programme; China; India’s National Quantum Mission; Japan; Saudi Arabia; UAE via TII).</w:t>
            </w:r>
          </w:p>
        </w:tc>
        <w:tc>
          <w:tcPr>
            <w:tcW w:type="dxa" w:w="2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Transport ministries and agencies (US DOT/NHTSA; UK DfT and its Centre for Connected and Autonomous Vehicles; China’s MIIT; EU type-approval authorities); city and state regulators.</w:t>
            </w:r>
          </w:p>
        </w:tc>
        <w:tc>
          <w:tcPr>
            <w:tcW w:type="dxa" w:w="2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Health, agriculture and environment ministries; national bioeconomy strategies (50+ countries).</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Regulators and security agencies</w:t>
            </w:r>
          </w:p>
        </w:tc>
        <w:tc>
          <w:tcPr>
            <w:tcW w:type="dxa" w:w="2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Cybersecurity agencies (NIST, CISA, NSA in the US; ENISA; ANSSI; BSI; UK NCSC); financial regulators (e.g. UK FCA); export-control authorities.</w:t>
            </w:r>
          </w:p>
        </w:tc>
        <w:tc>
          <w:tcPr>
            <w:tcW w:type="dxa" w:w="2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Vehicle safety regulators; product-safety and liability authorities; insurance regulators.</w:t>
            </w:r>
          </w:p>
        </w:tc>
        <w:tc>
          <w:tcPr>
            <w:tcW w:type="dxa" w:w="2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FDA, EMA, EFSA; US Coordinated Framework agencies (FDA, USDA, EPA); biosecurity authorities.</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bodies</w:t>
            </w:r>
          </w:p>
        </w:tc>
        <w:tc>
          <w:tcPr>
            <w:tcW w:type="dxa" w:w="2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NIST (post-quantum standards); ISO/IEC JTC 3 on quantum technologies; ETSI; IETF (protocols).</w:t>
            </w:r>
          </w:p>
        </w:tc>
        <w:tc>
          <w:tcPr>
            <w:tcW w:type="dxa" w:w="2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UNECE WP.29/GRVA; ISO 26262 and ISO 21448; UL 4600; SAE J3016 (automation levels); ISO 10218 and ISO/TS 15066 (robots).</w:t>
            </w:r>
          </w:p>
        </w:tc>
        <w:tc>
          <w:tcPr>
            <w:tcW w:type="dxa" w:w="2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ISO biotechnology committees; biosafety guidance (WHO); DNA-synthesis screening standards.</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International bodies</w:t>
            </w:r>
          </w:p>
        </w:tc>
        <w:tc>
          <w:tcPr>
            <w:tcW w:type="dxa" w:w="2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OECD; Wassenaar Arrangement (export controls); UN International Year of Quantum (2025).</w:t>
            </w:r>
          </w:p>
        </w:tc>
        <w:tc>
          <w:tcPr>
            <w:tcW w:type="dxa" w:w="2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UNECE; OECD International Transport Forum.</w:t>
            </w:r>
          </w:p>
        </w:tc>
        <w:tc>
          <w:tcPr>
            <w:tcW w:type="dxa" w:w="2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Biological Weapons Convention; WHO; Convention on Biological Diversity (Cartagena and Nagoya protocols).</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w:t>
            </w:r>
          </w:p>
        </w:tc>
        <w:tc>
          <w:tcPr>
            <w:tcW w:type="dxa" w:w="2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Hardware: IBM, Google, Quantinuum, IonQ, PsiQuantum, QuEra, Pasqal. Post-quantum security vendors. Banks, telecoms and critical-infrastructure operators as adopters.</w:t>
            </w:r>
          </w:p>
        </w:tc>
        <w:tc>
          <w:tcPr>
            <w:tcW w:type="dxa" w:w="2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Waymo, Baidu Apollo Go, Zoox, Tesla, WeRide, Pony.ai, Aurora; robot makers (ABB, FANUC, KUKA; humanoid firms such as Figure, Agility, Unitree).</w:t>
            </w:r>
          </w:p>
        </w:tc>
        <w:tc>
          <w:tcPr>
            <w:tcW w:type="dxa" w:w="2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Pharma and biotech; synthetic-biology platforms; DNA-synthesis providers (International Gene Synthesis Consortium).</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Research and civil society</w:t>
            </w:r>
          </w:p>
        </w:tc>
        <w:tc>
          <w:tcPr>
            <w:tcW w:type="dxa" w:w="2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University quantum centres; quantum industry consortia (e.g. QED-C).</w:t>
            </w:r>
          </w:p>
        </w:tc>
        <w:tc>
          <w:tcPr>
            <w:tcW w:type="dxa" w:w="2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Road-safety groups; labour unions; disability-access advocates.</w:t>
            </w:r>
          </w:p>
        </w:tc>
        <w:tc>
          <w:tcPr>
            <w:tcW w:type="dxa" w:w="2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Biosecurity NGOs (e.g. NTI | bio); bioethics bodies; patient groups.</w:t>
            </w:r>
          </w:p>
        </w:tc>
      </w:tr>
    </w:tbl>
    <w:p>
      <w:pPr>
        <w:spacing w:after="80"/>
      </w:pPr>
    </w:p>
    <w:p>
      <w:pPr>
        <w:pStyle w:val="Heading2"/>
        <w:spacing w:after="100" w:before="220"/>
      </w:pPr>
      <w:r>
        <w:rPr>
          <w:rFonts w:ascii="Calibri" w:cs="Calibri" w:eastAsia="Calibri" w:hAnsi="Calibri"/>
          <w:b/>
          <w:bCs/>
          <w:color w:val="2F5D8A"/>
          <w:sz w:val="25"/>
          <w:szCs w:val="25"/>
        </w:rPr>
        <w:t xml:space="preserve">4. The multistakeholder model, and its critics</w:t>
      </w:r>
    </w:p>
    <w:p>
      <w:pPr>
        <w:spacing w:after="140" w:line="276"/>
        <w:jc w:val="both"/>
      </w:pPr>
      <w:r>
        <w:rPr>
          <w:rFonts w:ascii="Georgia" w:cs="Georgia" w:eastAsia="Georgia" w:hAnsi="Georgia"/>
          <w:color w:val="1A1A1A"/>
          <w:sz w:val="21"/>
          <w:szCs w:val="21"/>
        </w:rPr>
        <w:t xml:space="preserve">The Forum’s theory of change is multistakeholder governance: if the relevant actors (states, firms, academia, civil society) shape a solution together, the result is both more legitimate and more likely to be implemented than one designed by any of them alone. It is the reason a convening organisation can matter in a field defined by regulation.</w:t>
      </w:r>
    </w:p>
    <w:p>
      <w:pPr>
        <w:spacing w:after="140" w:line="276"/>
        <w:jc w:val="both"/>
      </w:pPr>
      <w:r>
        <w:rPr>
          <w:rFonts w:ascii="Georgia" w:cs="Georgia" w:eastAsia="Georgia" w:hAnsi="Georgia"/>
          <w:color w:val="1A1A1A"/>
          <w:sz w:val="21"/>
          <w:szCs w:val="21"/>
        </w:rPr>
        <w:t xml:space="preserve">The critique is well established and a sharp panel may raise it: multistakeholder processes can dilute democratic accountability, give corporations disproportionate voice, lack clear rules on who represents whom, and let powerful actors choose the venue that suits them. A credible answer acknowledges this directly and names the safeguards that earn legitimacy: transparency about who is in the room and why; genuine inclusion of civil society and of the Global South; outputs that governments adopt through their own accountable processes, so the Forum complements rather than replaces democratic and multilateral institutions.</w:t>
      </w:r>
    </w:p>
    <w:p>
      <w:pPr>
        <w:pStyle w:val="Heading2"/>
        <w:spacing w:after="100" w:before="220"/>
      </w:pPr>
      <w:r>
        <w:rPr>
          <w:rFonts w:ascii="Calibri" w:cs="Calibri" w:eastAsia="Calibri" w:hAnsi="Calibri"/>
          <w:b/>
          <w:bCs/>
          <w:color w:val="2F5D8A"/>
          <w:sz w:val="25"/>
          <w:szCs w:val="25"/>
        </w:rPr>
        <w:t xml:space="preserve">5. How a Forum initiative runs</w:t>
      </w:r>
    </w:p>
    <w:p>
      <w:pPr>
        <w:spacing w:after="140" w:line="276"/>
        <w:jc w:val="both"/>
      </w:pPr>
      <w:r>
        <w:rPr>
          <w:rFonts w:ascii="Georgia" w:cs="Georgia" w:eastAsia="Georgia" w:hAnsi="Georgia"/>
          <w:color w:val="1A1A1A"/>
          <w:sz w:val="21"/>
          <w:szCs w:val="21"/>
        </w:rPr>
        <w:t xml:space="preserve">Understanding the lifecycle of an initiative tells you where a cross-cutting governance workstream can plug in, and when it is too late to do so.</w:t>
      </w:r>
    </w:p>
    <w:tbl>
      <w:tblPr>
        <w:tblW w:type="dxa" w:w="9360"/>
        <w:tblBorders>
          <w:top w:val="single" w:color="C9D3E0" w:sz="2"/>
          <w:left w:val="none"/>
          <w:bottom w:val="single" w:color="C9D3E0" w:sz="2"/>
          <w:right w:val="none"/>
          <w:insideH w:val="single" w:color="C9D3E0" w:sz="2"/>
          <w:insideV w:val="single" w:color="C9D3E0" w:sz="2"/>
        </w:tblBorders>
      </w:tblPr>
      <w:tblGrid>
        <w:gridCol w:w="1900"/>
        <w:gridCol w:w="3900"/>
        <w:gridCol w:w="3560"/>
      </w:tblGrid>
      <w:tr>
        <w:trPr>
          <w:tblHeader/>
        </w:trPr>
        <w:tc>
          <w:tcPr>
            <w:tcW w:type="dxa" w:w="1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Stage</w:t>
            </w:r>
          </w:p>
        </w:tc>
        <w:tc>
          <w:tcPr>
            <w:tcW w:type="dxa" w:w="3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happens</w:t>
            </w:r>
          </w:p>
        </w:tc>
        <w:tc>
          <w:tcPr>
            <w:tcW w:type="dxa" w:w="3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Where governance input has most leverage</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1. Scoping</w:t>
            </w:r>
          </w:p>
        </w:tc>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team defines the problem, the objective, the partners and the business case, usually with member companies and government constituents.</w:t>
            </w:r>
          </w:p>
        </w:tc>
        <w:tc>
          <w:tcPr>
            <w:tcW w:type="dxa" w:w="3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Highest: this is where regulatory questions and regulators can be written into the programme’s design (Part I, §6).</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 Community formation</w:t>
            </w:r>
          </w:p>
        </w:tc>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steering group or working group is assembled: companies, governments, international organisations, academia, civil society; often with co-chairs.</w:t>
            </w:r>
          </w:p>
        </w:tc>
        <w:tc>
          <w:tcPr>
            <w:tcW w:type="dxa" w:w="3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Ensuring regulators, legal and compliance leaders, and under-represented regions are at the table.</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3. Co-design</w:t>
            </w:r>
          </w:p>
        </w:tc>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Workshops, interviews and drafting, frequently with a knowledge partner.</w:t>
            </w:r>
          </w:p>
        </w:tc>
        <w:tc>
          <w:tcPr>
            <w:tcW w:type="dxa" w:w="3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Shaping content so it is usable by regulators and addresses cross-jurisdiction issues.</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4. Validation and launch</w:t>
            </w:r>
          </w:p>
        </w:tc>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Review by the community; launch at a Forum moment or a relevant external event.</w:t>
            </w:r>
          </w:p>
        </w:tc>
        <w:tc>
          <w:tcPr>
            <w:tcW w:type="dxa" w:w="3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Timing launch to a regulatory decision window.</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5. Adoption and pilots</w:t>
            </w:r>
          </w:p>
        </w:tc>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Governments adopt or pilot through C4IR centres; companies make commitments.</w:t>
            </w:r>
          </w:p>
        </w:tc>
        <w:tc>
          <w:tcPr>
            <w:tcW w:type="dxa" w:w="3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Capturing evidence of what regulators actually do with the output.</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6. Iteration or handover</w:t>
            </w:r>
          </w:p>
        </w:tc>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next edition, a new phase, or a spin-out to an independent owner (as with the Space Sustainability Rating).</w:t>
            </w:r>
          </w:p>
        </w:tc>
        <w:tc>
          <w:tcPr>
            <w:tcW w:type="dxa" w:w="3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Codifying lessons into a method other teams can reuse.</w:t>
            </w:r>
          </w:p>
        </w:tc>
      </w:tr>
    </w:tbl>
    <w:p>
      <w:pPr>
        <w:spacing w:after="80"/>
      </w:pPr>
    </w:p>
    <w:p>
      <w:pPr>
        <w:spacing w:after="140" w:line="276"/>
        <w:jc w:val="both"/>
      </w:pPr>
      <w:r>
        <w:rPr>
          <w:rFonts w:ascii="Georgia" w:cs="Georgia" w:eastAsia="Georgia" w:hAnsi="Georgia"/>
          <w:b/>
          <w:bCs/>
          <w:color w:val="1A1A1A"/>
          <w:sz w:val="21"/>
          <w:szCs w:val="21"/>
        </w:rPr>
        <w:t xml:space="preserve">The calendar that shapes timing.</w:t>
      </w:r>
      <w:r>
        <w:rPr>
          <w:rFonts w:ascii="Georgia" w:cs="Georgia" w:eastAsia="Georgia" w:hAnsi="Georgia"/>
          <w:color w:val="1A1A1A"/>
          <w:sz w:val="21"/>
          <w:szCs w:val="21"/>
        </w:rPr>
        <w:t xml:space="preserve"> The Annual Meeting in Davos (January) is the main launch moment; the Annual Meeting of the New Champions (June, China) and the Sustainable Development Impact Meetings (September, New York, alongside the UN General Assembly) are the other recurring anchors, alongside special meetings and regional summits. Knowledge products and commitments are usually planned backwards from these dates.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Part III · Key Technologies</w:t>
      </w:r>
    </w:p>
    <w:p>
      <w:pPr>
        <w:spacing w:after="200" w:line="288"/>
      </w:pPr>
      <w:r>
        <w:rPr>
          <w:rFonts w:ascii="Georgia" w:cs="Georgia" w:eastAsia="Georgia" w:hAnsi="Georgia"/>
          <w:i/>
          <w:iCs/>
          <w:color w:val="55606E"/>
          <w:sz w:val="22"/>
          <w:szCs w:val="22"/>
        </w:rPr>
        <w:t xml:space="preserve">Deep primers for the technologies you would work on. Quantum is treated in the most depth because it is the likely first collaboration; autonomous mobility and robotics, and biotechnology, follow at close to the same depth; space and AI are covered as context and convergence. Each section ends with the governance issue map for that technology.</w:t>
      </w:r>
    </w:p>
    <w:p>
      <w:pPr>
        <w:pStyle w:val="Heading2"/>
        <w:spacing w:after="100" w:before="220"/>
      </w:pPr>
      <w:r>
        <w:rPr>
          <w:rFonts w:ascii="Calibri" w:cs="Calibri" w:eastAsia="Calibri" w:hAnsi="Calibri"/>
          <w:b/>
          <w:bCs/>
          <w:color w:val="2F5D8A"/>
          <w:sz w:val="25"/>
          <w:szCs w:val="25"/>
        </w:rPr>
        <w:t xml:space="preserve">1. Quantum technologies</w:t>
      </w:r>
    </w:p>
    <w:p>
      <w:pPr>
        <w:spacing w:after="140" w:line="276"/>
        <w:jc w:val="both"/>
      </w:pPr>
      <w:r>
        <w:rPr>
          <w:rFonts w:ascii="Georgia" w:cs="Georgia" w:eastAsia="Georgia" w:hAnsi="Georgia"/>
          <w:color w:val="1A1A1A"/>
          <w:sz w:val="21"/>
          <w:szCs w:val="21"/>
        </w:rPr>
        <w:t xml:space="preserve">‘Quantum technologies’ covers three distinct families that are often blurred together: </w:t>
      </w:r>
      <w:r>
        <w:rPr>
          <w:rFonts w:ascii="Georgia" w:cs="Georgia" w:eastAsia="Georgia" w:hAnsi="Georgia"/>
          <w:b/>
          <w:bCs/>
          <w:color w:val="1A1A1A"/>
          <w:sz w:val="21"/>
          <w:szCs w:val="21"/>
        </w:rPr>
        <w:t xml:space="preserve">quantum computing</w:t>
      </w:r>
      <w:r>
        <w:rPr>
          <w:rFonts w:ascii="Georgia" w:cs="Georgia" w:eastAsia="Georgia" w:hAnsi="Georgia"/>
          <w:color w:val="1A1A1A"/>
          <w:sz w:val="21"/>
          <w:szCs w:val="21"/>
        </w:rPr>
        <w:t xml:space="preserve"> (processing information using quantum states), </w:t>
      </w:r>
      <w:r>
        <w:rPr>
          <w:rFonts w:ascii="Georgia" w:cs="Georgia" w:eastAsia="Georgia" w:hAnsi="Georgia"/>
          <w:b/>
          <w:bCs/>
          <w:color w:val="1A1A1A"/>
          <w:sz w:val="21"/>
          <w:szCs w:val="21"/>
        </w:rPr>
        <w:t xml:space="preserve">quantum communication</w:t>
      </w:r>
      <w:r>
        <w:rPr>
          <w:rFonts w:ascii="Georgia" w:cs="Georgia" w:eastAsia="Georgia" w:hAnsi="Georgia"/>
          <w:color w:val="1A1A1A"/>
          <w:sz w:val="21"/>
          <w:szCs w:val="21"/>
        </w:rPr>
        <w:t xml:space="preserve"> (transmitting information securely using quantum states), and </w:t>
      </w:r>
      <w:r>
        <w:rPr>
          <w:rFonts w:ascii="Georgia" w:cs="Georgia" w:eastAsia="Georgia" w:hAnsi="Georgia"/>
          <w:b/>
          <w:bCs/>
          <w:color w:val="1A1A1A"/>
          <w:sz w:val="21"/>
          <w:szCs w:val="21"/>
        </w:rPr>
        <w:t xml:space="preserve">quantum sensing</w:t>
      </w:r>
      <w:r>
        <w:rPr>
          <w:rFonts w:ascii="Georgia" w:cs="Georgia" w:eastAsia="Georgia" w:hAnsi="Georgia"/>
          <w:color w:val="1A1A1A"/>
          <w:sz w:val="21"/>
          <w:szCs w:val="21"/>
        </w:rPr>
        <w:t xml:space="preserve"> (measuring physical quantities with quantum-enhanced precision). A fourth topic, </w:t>
      </w:r>
      <w:r>
        <w:rPr>
          <w:rFonts w:ascii="Georgia" w:cs="Georgia" w:eastAsia="Georgia" w:hAnsi="Georgia"/>
          <w:b/>
          <w:bCs/>
          <w:color w:val="1A1A1A"/>
          <w:sz w:val="21"/>
          <w:szCs w:val="21"/>
        </w:rPr>
        <w:t xml:space="preserve">post-quantum cryptography</w:t>
      </w:r>
      <w:r>
        <w:rPr>
          <w:rFonts w:ascii="Georgia" w:cs="Georgia" w:eastAsia="Georgia" w:hAnsi="Georgia"/>
          <w:color w:val="1A1A1A"/>
          <w:sz w:val="21"/>
          <w:szCs w:val="21"/>
        </w:rPr>
        <w:t xml:space="preserve">, is not a quantum technology at all but the classical response to the threat quantum computing poses to today’s encryption. Keeping these four apart is the first mark of fluency.</w:t>
      </w:r>
    </w:p>
    <w:p>
      <w:pPr>
        <w:pStyle w:val="Heading3"/>
        <w:spacing w:after="70" w:before="160"/>
      </w:pPr>
      <w:r>
        <w:rPr>
          <w:rFonts w:ascii="Calibri" w:cs="Calibri" w:eastAsia="Calibri" w:hAnsi="Calibri"/>
          <w:b/>
          <w:bCs/>
          <w:color w:val="1F2A44"/>
          <w:sz w:val="22"/>
          <w:szCs w:val="22"/>
        </w:rPr>
        <w:t xml:space="preserve">1.1 The physics you need, in plain terms</w:t>
      </w:r>
    </w:p>
    <w:p>
      <w:pPr>
        <w:spacing w:after="140" w:line="276"/>
        <w:jc w:val="both"/>
      </w:pPr>
      <w:r>
        <w:rPr>
          <w:rFonts w:ascii="Georgia" w:cs="Georgia" w:eastAsia="Georgia" w:hAnsi="Georgia"/>
          <w:b/>
          <w:bCs/>
          <w:color w:val="1A1A1A"/>
          <w:sz w:val="21"/>
          <w:szCs w:val="21"/>
        </w:rPr>
        <w:t xml:space="preserve">Qubits and superposition.</w:t>
      </w:r>
      <w:r>
        <w:rPr>
          <w:rFonts w:ascii="Georgia" w:cs="Georgia" w:eastAsia="Georgia" w:hAnsi="Georgia"/>
          <w:color w:val="1A1A1A"/>
          <w:sz w:val="21"/>
          <w:szCs w:val="21"/>
        </w:rPr>
        <w:t xml:space="preserve"> A classical bit is either 0 or 1. A qubit can be in a superposition: a combination of 0 and 1 described by two numbers called amplitudes. The amplitudes determine the probability of each result when the qubit is measured (the probability is the square of the amplitude’s size). The popular phrase ‘a qubit is 0 and 1 at the same time’ is a simplification; the precise point is that the qubit carries amplitudes that behave like waves.</w:t>
      </w:r>
    </w:p>
    <w:p>
      <w:pPr>
        <w:spacing w:after="140" w:line="276"/>
        <w:jc w:val="both"/>
      </w:pPr>
      <w:r>
        <w:rPr>
          <w:rFonts w:ascii="Georgia" w:cs="Georgia" w:eastAsia="Georgia" w:hAnsi="Georgia"/>
          <w:b/>
          <w:bCs/>
          <w:color w:val="1A1A1A"/>
          <w:sz w:val="21"/>
          <w:szCs w:val="21"/>
        </w:rPr>
        <w:t xml:space="preserve">Measurement.</w:t>
      </w:r>
      <w:r>
        <w:rPr>
          <w:rFonts w:ascii="Georgia" w:cs="Georgia" w:eastAsia="Georgia" w:hAnsi="Georgia"/>
          <w:color w:val="1A1A1A"/>
          <w:sz w:val="21"/>
          <w:szCs w:val="21"/>
        </w:rPr>
        <w:t xml:space="preserve"> Measuring a qubit always produces a plain 0 or 1, and destroys the superposition. You never read out the amplitudes directly. This is the constraint that shapes everything: a quantum computer is only useful if an algorithm can arrange for the right answer to be the likely measurement result.</w:t>
      </w:r>
    </w:p>
    <w:p>
      <w:pPr>
        <w:spacing w:after="140" w:line="276"/>
        <w:jc w:val="both"/>
      </w:pPr>
      <w:r>
        <w:rPr>
          <w:rFonts w:ascii="Georgia" w:cs="Georgia" w:eastAsia="Georgia" w:hAnsi="Georgia"/>
          <w:b/>
          <w:bCs/>
          <w:color w:val="1A1A1A"/>
          <w:sz w:val="21"/>
          <w:szCs w:val="21"/>
        </w:rPr>
        <w:t xml:space="preserve">Interference.</w:t>
      </w:r>
      <w:r>
        <w:rPr>
          <w:rFonts w:ascii="Georgia" w:cs="Georgia" w:eastAsia="Georgia" w:hAnsi="Georgia"/>
          <w:color w:val="1A1A1A"/>
          <w:sz w:val="21"/>
          <w:szCs w:val="21"/>
        </w:rPr>
        <w:t xml:space="preserve"> Because amplitudes behave like waves, they can reinforce or cancel each other. Quantum algorithms are carefully choreographed so that paths leading to wrong answers cancel and paths leading to the right answer reinforce. Interference, not ‘trying every answer in parallel’, is the real source of quantum advantage. This is also why quantum computers are not faster at everything: only problems with the right mathematical structure can be exploited this way.</w:t>
      </w:r>
    </w:p>
    <w:p>
      <w:pPr>
        <w:spacing w:after="140" w:line="276"/>
        <w:jc w:val="both"/>
      </w:pPr>
      <w:r>
        <w:rPr>
          <w:rFonts w:ascii="Georgia" w:cs="Georgia" w:eastAsia="Georgia" w:hAnsi="Georgia"/>
          <w:b/>
          <w:bCs/>
          <w:color w:val="1A1A1A"/>
          <w:sz w:val="21"/>
          <w:szCs w:val="21"/>
        </w:rPr>
        <w:t xml:space="preserve">Entanglement.</w:t>
      </w:r>
      <w:r>
        <w:rPr>
          <w:rFonts w:ascii="Georgia" w:cs="Georgia" w:eastAsia="Georgia" w:hAnsi="Georgia"/>
          <w:color w:val="1A1A1A"/>
          <w:sz w:val="21"/>
          <w:szCs w:val="21"/>
        </w:rPr>
        <w:t xml:space="preserve"> Two or more qubits can share a joint state that cannot be described as separate states for each. Measuring one entangled qubit tells you something about its partner, however far apart they are. Entanglement does not allow faster-than-light communication, but it is essential to quantum algorithms, to quantum networking, and to quantum sensing.</w:t>
      </w:r>
    </w:p>
    <w:p>
      <w:pPr>
        <w:spacing w:after="140" w:line="276"/>
        <w:jc w:val="both"/>
      </w:pPr>
      <w:r>
        <w:rPr>
          <w:rFonts w:ascii="Georgia" w:cs="Georgia" w:eastAsia="Georgia" w:hAnsi="Georgia"/>
          <w:b/>
          <w:bCs/>
          <w:color w:val="1A1A1A"/>
          <w:sz w:val="21"/>
          <w:szCs w:val="21"/>
        </w:rPr>
        <w:t xml:space="preserve">Why quantum computers are hard to simulate, and hard to build.</w:t>
      </w:r>
      <w:r>
        <w:rPr>
          <w:rFonts w:ascii="Georgia" w:cs="Georgia" w:eastAsia="Georgia" w:hAnsi="Georgia"/>
          <w:color w:val="1A1A1A"/>
          <w:sz w:val="21"/>
          <w:szCs w:val="21"/>
        </w:rPr>
        <w:t xml:space="preserve"> Describing the state of n qubits in general requires 2ⁿ amplitudes, which is why classical computers cannot simulate large quantum systems: fifty qubits already strain supercomputers, three hundred exceed the number of atoms in the observable universe. The same fragility that makes quantum states powerful makes them hard to keep: any interaction with the environment (heat, vibration, stray fields) leaks information and destroys the state. This loss is called </w:t>
      </w:r>
      <w:r>
        <w:rPr>
          <w:rFonts w:ascii="Georgia" w:cs="Georgia" w:eastAsia="Georgia" w:hAnsi="Georgia"/>
          <w:b/>
          <w:bCs/>
          <w:color w:val="1A1A1A"/>
          <w:sz w:val="21"/>
          <w:szCs w:val="21"/>
        </w:rPr>
        <w:t xml:space="preserve">decoherence</w:t>
      </w:r>
      <w:r>
        <w:rPr>
          <w:rFonts w:ascii="Georgia" w:cs="Georgia" w:eastAsia="Georgia" w:hAnsi="Georgia"/>
          <w:color w:val="1A1A1A"/>
          <w:sz w:val="21"/>
          <w:szCs w:val="21"/>
        </w:rPr>
        <w:t xml:space="preserve">, and it is why most quantum computers operate near absolute zero, in vacuum, or with precisely controlled lasers.</w:t>
      </w:r>
    </w:p>
    <w:p>
      <w:pPr>
        <w:pStyle w:val="Heading3"/>
        <w:spacing w:after="70" w:before="160"/>
      </w:pPr>
      <w:r>
        <w:rPr>
          <w:rFonts w:ascii="Calibri" w:cs="Calibri" w:eastAsia="Calibri" w:hAnsi="Calibri"/>
          <w:b/>
          <w:bCs/>
          <w:color w:val="1F2A44"/>
          <w:sz w:val="22"/>
          <w:szCs w:val="22"/>
        </w:rPr>
        <w:t xml:space="preserve">1.2 What quantum computers are good for, and what they are not</w:t>
      </w:r>
    </w:p>
    <w:tbl>
      <w:tblPr>
        <w:tblW w:type="dxa" w:w="9360"/>
        <w:tblBorders>
          <w:top w:val="single" w:color="C9D3E0" w:sz="2"/>
          <w:left w:val="none"/>
          <w:bottom w:val="single" w:color="C9D3E0" w:sz="2"/>
          <w:right w:val="none"/>
          <w:insideH w:val="single" w:color="C9D3E0" w:sz="2"/>
          <w:insideV w:val="single" w:color="C9D3E0" w:sz="2"/>
        </w:tblBorders>
      </w:tblPr>
      <w:tblGrid>
        <w:gridCol w:w="2200"/>
        <w:gridCol w:w="2000"/>
        <w:gridCol w:w="3060"/>
        <w:gridCol w:w="2100"/>
      </w:tblGrid>
      <w:tr>
        <w:trPr>
          <w:tblHeader/>
        </w:trPr>
        <w:tc>
          <w:tcPr>
            <w:tcW w:type="dxa" w:w="2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Problem class</w:t>
            </w:r>
          </w:p>
        </w:tc>
        <w:tc>
          <w:tcPr>
            <w:tcW w:type="dxa" w:w="2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Type of speed-up</w:t>
            </w:r>
          </w:p>
        </w:tc>
        <w:tc>
          <w:tcPr>
            <w:tcW w:type="dxa" w:w="30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Relevance</w:t>
            </w:r>
          </w:p>
        </w:tc>
        <w:tc>
          <w:tcPr>
            <w:tcW w:type="dxa" w:w="2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Realistic timing</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Factoring and discrete logarithms (Shor’s algorithm, 1994)</w:t>
            </w:r>
          </w:p>
        </w:tc>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Super-polynomial over the best known classical methods.</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Breaks RSA, elliptic-curve and Diffie–Hellman cryptography: the basis of most internet security.</w:t>
            </w:r>
          </w:p>
        </w:tc>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Requires a large fault-tolerant machine (§1.6).</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Unstructured search (Grover’s algorithm, 1996)</w:t>
            </w:r>
          </w:p>
        </w:tc>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Quadratic (square-root) speed-up.</w:t>
            </w:r>
          </w:p>
        </w:tc>
        <w:tc>
          <w:tcPr>
            <w:tcW w:type="dxa" w:w="30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Halves the effective strength of symmetric keys and hashes; fixed by doubling key sizes (e.g. AES-256).</w:t>
            </w:r>
          </w:p>
        </w:tc>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Limited practical impact; overheads eat much of the gain.</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Simulating molecules and materials</w:t>
            </w:r>
          </w:p>
        </w:tc>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Potentially exponential for some systems.</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most credible early commercial value: catalysts, batteries, fertilisers, drug candidates, new materials.</w:t>
            </w:r>
          </w:p>
        </w:tc>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Some early results; industrially useful problems mostly need fault tolerance.</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Optimisation (e.g. QAOA, quantum annealing)</w:t>
            </w:r>
          </w:p>
        </w:tc>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Unproven; heuristic.</w:t>
            </w:r>
          </w:p>
        </w:tc>
        <w:tc>
          <w:tcPr>
            <w:tcW w:type="dxa" w:w="30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Heavily marketed for logistics and finance.</w:t>
            </w:r>
          </w:p>
        </w:tc>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Advantage not yet demonstrated convincingly; treat claims with care.</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machine learning</w:t>
            </w:r>
          </w:p>
        </w:tc>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Speculative.</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Possible niche gains; loading classical data into a quantum computer is a major bottleneck.</w:t>
            </w:r>
          </w:p>
        </w:tc>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Research stage.</w:t>
            </w:r>
          </w:p>
        </w:tc>
      </w:tr>
    </w:tbl>
    <w:p>
      <w:pPr>
        <w:spacing w:after="80"/>
      </w:pPr>
    </w:p>
    <w:p>
      <w:pPr>
        <w:spacing w:after="140" w:line="276"/>
        <w:jc w:val="both"/>
      </w:pPr>
      <w:r>
        <w:rPr>
          <w:rFonts w:ascii="Georgia" w:cs="Georgia" w:eastAsia="Georgia" w:hAnsi="Georgia"/>
          <w:b/>
          <w:bCs/>
          <w:color w:val="1A1A1A"/>
          <w:sz w:val="21"/>
          <w:szCs w:val="21"/>
        </w:rPr>
        <w:t xml:space="preserve">The vocabulary of milestones.</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Quantum supremacy</w:t>
      </w:r>
      <w:r>
        <w:rPr>
          <w:rFonts w:ascii="Georgia" w:cs="Georgia" w:eastAsia="Georgia" w:hAnsi="Georgia"/>
          <w:color w:val="1A1A1A"/>
          <w:sz w:val="21"/>
          <w:szCs w:val="21"/>
        </w:rPr>
        <w:t xml:space="preserve"> (Google, 2019) meant a quantum computer performing a contrived task (random circuit sampling) faster than any classical computer; it has no practical use. </w:t>
      </w:r>
      <w:r>
        <w:rPr>
          <w:rFonts w:ascii="Georgia" w:cs="Georgia" w:eastAsia="Georgia" w:hAnsi="Georgia"/>
          <w:i/>
          <w:iCs/>
          <w:color w:val="1A1A1A"/>
          <w:sz w:val="21"/>
          <w:szCs w:val="21"/>
        </w:rPr>
        <w:t xml:space="preserve">Quantum utility</w:t>
      </w:r>
      <w:r>
        <w:rPr>
          <w:rFonts w:ascii="Georgia" w:cs="Georgia" w:eastAsia="Georgia" w:hAnsi="Georgia"/>
          <w:color w:val="1A1A1A"/>
          <w:sz w:val="21"/>
          <w:szCs w:val="21"/>
        </w:rPr>
        <w:t xml:space="preserve"> (IBM’s term, 2023) means reliable results on problems beyond brute-force classical simulation. </w:t>
      </w:r>
      <w:r>
        <w:rPr>
          <w:rFonts w:ascii="Georgia" w:cs="Georgia" w:eastAsia="Georgia" w:hAnsi="Georgia"/>
          <w:i/>
          <w:iCs/>
          <w:color w:val="1A1A1A"/>
          <w:sz w:val="21"/>
          <w:szCs w:val="21"/>
        </w:rPr>
        <w:t xml:space="preserve">Quantum advantage</w:t>
      </w:r>
      <w:r>
        <w:rPr>
          <w:rFonts w:ascii="Georgia" w:cs="Georgia" w:eastAsia="Georgia" w:hAnsi="Georgia"/>
          <w:color w:val="1A1A1A"/>
          <w:sz w:val="21"/>
          <w:szCs w:val="21"/>
        </w:rPr>
        <w:t xml:space="preserve"> means doing a useful task better, faster or cheaper than the best classical alternative. In October 2025 Google reported a </w:t>
      </w:r>
      <w:r>
        <w:rPr>
          <w:rFonts w:ascii="Georgia" w:cs="Georgia" w:eastAsia="Georgia" w:hAnsi="Georgia"/>
          <w:i/>
          <w:iCs/>
          <w:color w:val="1A1A1A"/>
          <w:sz w:val="21"/>
          <w:szCs w:val="21"/>
        </w:rPr>
        <w:t xml:space="preserve">verifiable</w:t>
      </w:r>
      <w:r>
        <w:rPr>
          <w:rFonts w:ascii="Georgia" w:cs="Georgia" w:eastAsia="Georgia" w:hAnsi="Georgia"/>
          <w:color w:val="1A1A1A"/>
          <w:sz w:val="21"/>
          <w:szCs w:val="21"/>
        </w:rPr>
        <w:t xml:space="preserve"> advantage on its Willow chip (an algorithm called Quantum Echoes, roughly 13,000 times faster than the best classical estimate for that task). Claims of advantage are regularly narrowed or overturned when classical algorithms improve, which is itself a governance issue (claims integrity, §1.10).</w:t>
      </w:r>
    </w:p>
    <w:p>
      <w:pPr>
        <w:spacing w:after="140" w:line="276"/>
        <w:jc w:val="both"/>
      </w:pPr>
      <w:r>
        <w:rPr>
          <w:rFonts w:ascii="Georgia" w:cs="Georgia" w:eastAsia="Georgia" w:hAnsi="Georgia"/>
          <w:b/>
          <w:bCs/>
          <w:color w:val="1A1A1A"/>
          <w:sz w:val="21"/>
          <w:szCs w:val="21"/>
        </w:rPr>
        <w:t xml:space="preserve">Hybrid computing.</w:t>
      </w:r>
      <w:r>
        <w:rPr>
          <w:rFonts w:ascii="Georgia" w:cs="Georgia" w:eastAsia="Georgia" w:hAnsi="Georgia"/>
          <w:color w:val="1A1A1A"/>
          <w:sz w:val="21"/>
          <w:szCs w:val="21"/>
        </w:rPr>
        <w:t xml:space="preserve"> In practice quantum processors will work alongside classical supercomputers, handling the parts of a problem they are suited to. Several national computing centres (including EuroHPC sites in Europe) are already integrating quantum processors into supercomputing infrastructure.</w:t>
      </w:r>
    </w:p>
    <w:p>
      <w:pPr>
        <w:pStyle w:val="Heading3"/>
        <w:spacing w:after="70" w:before="160"/>
      </w:pPr>
      <w:r>
        <w:rPr>
          <w:rFonts w:ascii="Calibri" w:cs="Calibri" w:eastAsia="Calibri" w:hAnsi="Calibri"/>
          <w:b/>
          <w:bCs/>
          <w:color w:val="1F2A44"/>
          <w:sz w:val="22"/>
          <w:szCs w:val="22"/>
        </w:rPr>
        <w:t xml:space="preserve">1.3 Hardware: the competing approaches</w:t>
      </w:r>
    </w:p>
    <w:p>
      <w:pPr>
        <w:spacing w:after="140" w:line="276"/>
        <w:jc w:val="both"/>
      </w:pPr>
      <w:r>
        <w:rPr>
          <w:rFonts w:ascii="Georgia" w:cs="Georgia" w:eastAsia="Georgia" w:hAnsi="Georgia"/>
          <w:color w:val="1A1A1A"/>
          <w:sz w:val="21"/>
          <w:szCs w:val="21"/>
        </w:rPr>
        <w:t xml:space="preserve">No single way of building qubits has won. Each ‘modality’ trades off speed, accuracy, scale and engineering difficulty.</w:t>
      </w:r>
    </w:p>
    <w:tbl>
      <w:tblPr>
        <w:tblW w:type="dxa" w:w="9360"/>
        <w:tblBorders>
          <w:top w:val="single" w:color="C9D3E0" w:sz="2"/>
          <w:left w:val="none"/>
          <w:bottom w:val="single" w:color="C9D3E0" w:sz="2"/>
          <w:right w:val="none"/>
          <w:insideH w:val="single" w:color="C9D3E0" w:sz="2"/>
          <w:insideV w:val="single" w:color="C9D3E0" w:sz="2"/>
        </w:tblBorders>
      </w:tblPr>
      <w:tblGrid>
        <w:gridCol w:w="1500"/>
        <w:gridCol w:w="2100"/>
        <w:gridCol w:w="1900"/>
        <w:gridCol w:w="1930"/>
        <w:gridCol w:w="1930"/>
      </w:tblGrid>
      <w:tr>
        <w:trPr>
          <w:tblHeader/>
        </w:trPr>
        <w:tc>
          <w:tcPr>
            <w:tcW w:type="dxa" w:w="1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Modality</w:t>
            </w:r>
          </w:p>
        </w:tc>
        <w:tc>
          <w:tcPr>
            <w:tcW w:type="dxa" w:w="2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How the qubit is made</w:t>
            </w:r>
          </w:p>
        </w:tc>
        <w:tc>
          <w:tcPr>
            <w:tcW w:type="dxa" w:w="1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Leading players</w:t>
            </w:r>
          </w:p>
        </w:tc>
        <w:tc>
          <w:tcPr>
            <w:tcW w:type="dxa" w:w="193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Strengths</w:t>
            </w:r>
          </w:p>
        </w:tc>
        <w:tc>
          <w:tcPr>
            <w:tcW w:type="dxa" w:w="193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Weaknesses</w:t>
            </w:r>
          </w:p>
        </w:tc>
      </w:tr>
      <w:tr>
        <w:tc>
          <w:tcPr>
            <w:tcW w:type="dxa" w:w="1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Superconducting circuits</w:t>
            </w:r>
          </w:p>
        </w:tc>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Tiny electrical circuits cooled to about 10 millikelvin behave as artificial atoms.</w:t>
            </w:r>
          </w:p>
        </w:tc>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IBM, Google, Rigetti, IQM; variants from AWS and Alice &amp; Bob (‘cat qubits’).</w:t>
            </w:r>
          </w:p>
        </w:tc>
        <w:tc>
          <w:tcPr>
            <w:tcW w:type="dxa" w:w="19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Fast gates; built with chip-fabrication techniques.</w:t>
            </w:r>
          </w:p>
        </w:tc>
        <w:tc>
          <w:tcPr>
            <w:tcW w:type="dxa" w:w="19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Needs dilution refrigerators; wiring and connectivity limits; short coherence.</w:t>
            </w:r>
          </w:p>
        </w:tc>
      </w:tr>
      <w:tr>
        <w:tc>
          <w:tcPr>
            <w:tcW w:type="dxa" w:w="1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Trapped ions</w:t>
            </w:r>
          </w:p>
        </w:tc>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Individual charged atoms held by electromagnetic fields and controlled by lasers.</w:t>
            </w:r>
          </w:p>
        </w:tc>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Quantinuum, IonQ.</w:t>
            </w:r>
          </w:p>
        </w:tc>
        <w:tc>
          <w:tcPr>
            <w:tcW w:type="dxa" w:w="19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Highest gate accuracy; any qubit can interact with any other.</w:t>
            </w:r>
          </w:p>
        </w:tc>
        <w:tc>
          <w:tcPr>
            <w:tcW w:type="dxa" w:w="19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Slower operations; scaling requires moving ions or linking modules.</w:t>
            </w:r>
          </w:p>
        </w:tc>
      </w:tr>
      <w:tr>
        <w:tc>
          <w:tcPr>
            <w:tcW w:type="dxa" w:w="1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Neutral atoms</w:t>
            </w:r>
          </w:p>
        </w:tc>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Uncharged atoms held in arrays by focused laser ‘tweezers’.</w:t>
            </w:r>
          </w:p>
        </w:tc>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QuEra, Pasqal, Atom Computing, Infleqtion.</w:t>
            </w:r>
          </w:p>
        </w:tc>
        <w:tc>
          <w:tcPr>
            <w:tcW w:type="dxa" w:w="19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Large, reconfigurable arrays (hundreds to thousands of atoms).</w:t>
            </w:r>
          </w:p>
        </w:tc>
        <w:tc>
          <w:tcPr>
            <w:tcW w:type="dxa" w:w="19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Slower cycles; atoms can be lost.</w:t>
            </w:r>
          </w:p>
        </w:tc>
      </w:tr>
      <w:tr>
        <w:tc>
          <w:tcPr>
            <w:tcW w:type="dxa" w:w="1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Photonic</w:t>
            </w:r>
          </w:p>
        </w:tc>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Qubits encoded in particles of light.</w:t>
            </w:r>
          </w:p>
        </w:tc>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PsiQuantum, Xanadu, Quandela.</w:t>
            </w:r>
          </w:p>
        </w:tc>
        <w:tc>
          <w:tcPr>
            <w:tcW w:type="dxa" w:w="19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Mostly room-temperature components; natural fit with networking; uses existing semiconductor fabs.</w:t>
            </w:r>
          </w:p>
        </w:tc>
        <w:tc>
          <w:tcPr>
            <w:tcW w:type="dxa" w:w="19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Photon loss; many operations are probabilistic.</w:t>
            </w:r>
          </w:p>
        </w:tc>
      </w:tr>
      <w:tr>
        <w:tc>
          <w:tcPr>
            <w:tcW w:type="dxa" w:w="1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Spin qubits in silicon</w:t>
            </w:r>
          </w:p>
        </w:tc>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spin of single electrons in silicon devices.</w:t>
            </w:r>
          </w:p>
        </w:tc>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Intel, Diraq, Quantum Motion.</w:t>
            </w:r>
          </w:p>
        </w:tc>
        <w:tc>
          <w:tcPr>
            <w:tcW w:type="dxa" w:w="19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Very small; compatible with conventional chip manufacturing.</w:t>
            </w:r>
          </w:p>
        </w:tc>
        <w:tc>
          <w:tcPr>
            <w:tcW w:type="dxa" w:w="19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Earlier stage.</w:t>
            </w:r>
          </w:p>
        </w:tc>
      </w:tr>
      <w:tr>
        <w:tc>
          <w:tcPr>
            <w:tcW w:type="dxa" w:w="1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Topological</w:t>
            </w:r>
          </w:p>
        </w:tc>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Exotic quasi-particles whose information is intrinsically protected.</w:t>
            </w:r>
          </w:p>
        </w:tc>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Microsoft (Majorana 1, 2025).</w:t>
            </w:r>
          </w:p>
        </w:tc>
        <w:tc>
          <w:tcPr>
            <w:tcW w:type="dxa" w:w="19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 principle, built-in error protection.</w:t>
            </w:r>
          </w:p>
        </w:tc>
        <w:tc>
          <w:tcPr>
            <w:tcW w:type="dxa" w:w="19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Existence and performance still contested.</w:t>
            </w:r>
          </w:p>
        </w:tc>
      </w:tr>
      <w:tr>
        <w:tc>
          <w:tcPr>
            <w:tcW w:type="dxa" w:w="1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annealers</w:t>
            </w:r>
          </w:p>
        </w:tc>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Special-purpose devices that settle into low-energy states.</w:t>
            </w:r>
          </w:p>
        </w:tc>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D-Wave.</w:t>
            </w:r>
          </w:p>
        </w:tc>
        <w:tc>
          <w:tcPr>
            <w:tcW w:type="dxa" w:w="19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Available at scale today for some optimisation tasks.</w:t>
            </w:r>
          </w:p>
        </w:tc>
        <w:tc>
          <w:tcPr>
            <w:tcW w:type="dxa" w:w="19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Not universal quantum computers; advantage disputed.</w:t>
            </w:r>
          </w:p>
        </w:tc>
      </w:tr>
    </w:tbl>
    <w:p>
      <w:pPr>
        <w:spacing w:after="80"/>
      </w:pPr>
    </w:p>
    <w:p>
      <w:pPr>
        <w:spacing w:after="140" w:line="276"/>
        <w:jc w:val="both"/>
      </w:pPr>
      <w:r>
        <w:rPr>
          <w:rFonts w:ascii="Georgia" w:cs="Georgia" w:eastAsia="Georgia" w:hAnsi="Georgia"/>
          <w:b/>
          <w:bCs/>
          <w:color w:val="1A1A1A"/>
          <w:sz w:val="21"/>
          <w:szCs w:val="21"/>
        </w:rPr>
        <w:t xml:space="preserve">The supply chain behind the hardware</w:t>
      </w:r>
      <w:r>
        <w:rPr>
          <w:rFonts w:ascii="Georgia" w:cs="Georgia" w:eastAsia="Georgia" w:hAnsi="Georgia"/>
          <w:color w:val="1A1A1A"/>
          <w:sz w:val="21"/>
          <w:szCs w:val="21"/>
        </w:rPr>
        <w:t xml:space="preserve"> is narrow and strategically sensitive: dilution refrigerators (a handful of suppliers, notably in Finland and the UK), helium-3, specialised lasers and optics, cryogenic electronics and isotopically pure materials. These are the kinds of chokepoints that export controls and supply-chain policy target (§1.9).</w:t>
      </w:r>
    </w:p>
    <w:p>
      <w:pPr>
        <w:pStyle w:val="Heading3"/>
        <w:spacing w:after="70" w:before="160"/>
      </w:pPr>
      <w:r>
        <w:rPr>
          <w:rFonts w:ascii="Calibri" w:cs="Calibri" w:eastAsia="Calibri" w:hAnsi="Calibri"/>
          <w:b/>
          <w:bCs/>
          <w:color w:val="1F2A44"/>
          <w:sz w:val="22"/>
          <w:szCs w:val="22"/>
        </w:rPr>
        <w:t xml:space="preserve">1.4 Error correction and the road to fault tolerance</w:t>
      </w:r>
    </w:p>
    <w:p>
      <w:pPr>
        <w:spacing w:after="140" w:line="276"/>
        <w:jc w:val="both"/>
      </w:pPr>
      <w:r>
        <w:rPr>
          <w:rFonts w:ascii="Georgia" w:cs="Georgia" w:eastAsia="Georgia" w:hAnsi="Georgia"/>
          <w:color w:val="1A1A1A"/>
          <w:sz w:val="21"/>
          <w:szCs w:val="21"/>
        </w:rPr>
        <w:t xml:space="preserve">Today’s best physical qubits make an error roughly once every thousand two-qubit operations. The algorithms that matter need error rates millions to billions of times lower. The solution is </w:t>
      </w:r>
      <w:r>
        <w:rPr>
          <w:rFonts w:ascii="Georgia" w:cs="Georgia" w:eastAsia="Georgia" w:hAnsi="Georgia"/>
          <w:b/>
          <w:bCs/>
          <w:color w:val="1A1A1A"/>
          <w:sz w:val="21"/>
          <w:szCs w:val="21"/>
        </w:rPr>
        <w:t xml:space="preserve">quantum error correction (QEC)</w:t>
      </w:r>
      <w:r>
        <w:rPr>
          <w:rFonts w:ascii="Georgia" w:cs="Georgia" w:eastAsia="Georgia" w:hAnsi="Georgia"/>
          <w:color w:val="1A1A1A"/>
          <w:sz w:val="21"/>
          <w:szCs w:val="21"/>
        </w:rPr>
        <w:t xml:space="preserve">: spreading one reliable </w:t>
      </w:r>
      <w:r>
        <w:rPr>
          <w:rFonts w:ascii="Georgia" w:cs="Georgia" w:eastAsia="Georgia" w:hAnsi="Georgia"/>
          <w:b/>
          <w:bCs/>
          <w:color w:val="1A1A1A"/>
          <w:sz w:val="21"/>
          <w:szCs w:val="21"/>
        </w:rPr>
        <w:t xml:space="preserve">logical qubit</w:t>
      </w:r>
      <w:r>
        <w:rPr>
          <w:rFonts w:ascii="Georgia" w:cs="Georgia" w:eastAsia="Georgia" w:hAnsi="Georgia"/>
          <w:color w:val="1A1A1A"/>
          <w:sz w:val="21"/>
          <w:szCs w:val="21"/>
        </w:rPr>
        <w:t xml:space="preserve"> across many noisy </w:t>
      </w:r>
      <w:r>
        <w:rPr>
          <w:rFonts w:ascii="Georgia" w:cs="Georgia" w:eastAsia="Georgia" w:hAnsi="Georgia"/>
          <w:b/>
          <w:bCs/>
          <w:color w:val="1A1A1A"/>
          <w:sz w:val="21"/>
          <w:szCs w:val="21"/>
        </w:rPr>
        <w:t xml:space="preserve">physical qubits</w:t>
      </w:r>
      <w:r>
        <w:rPr>
          <w:rFonts w:ascii="Georgia" w:cs="Georgia" w:eastAsia="Georgia" w:hAnsi="Georgia"/>
          <w:color w:val="1A1A1A"/>
          <w:sz w:val="21"/>
          <w:szCs w:val="21"/>
        </w:rPr>
        <w:t xml:space="preserve">, continuously detecting errors without directly measuring the protected information, and correcting them in real time using fast classical decoders.</w:t>
      </w:r>
    </w:p>
    <w:p>
      <w:pPr>
        <w:spacing w:after="140" w:line="276"/>
        <w:jc w:val="both"/>
      </w:pPr>
      <w:r>
        <w:rPr>
          <w:rFonts w:ascii="Georgia" w:cs="Georgia" w:eastAsia="Georgia" w:hAnsi="Georgia"/>
          <w:b/>
          <w:bCs/>
          <w:color w:val="1A1A1A"/>
          <w:sz w:val="21"/>
          <w:szCs w:val="21"/>
        </w:rPr>
        <w:t xml:space="preserve">The threshold theorem</w:t>
      </w:r>
      <w:r>
        <w:rPr>
          <w:rFonts w:ascii="Georgia" w:cs="Georgia" w:eastAsia="Georgia" w:hAnsi="Georgia"/>
          <w:color w:val="1A1A1A"/>
          <w:sz w:val="21"/>
          <w:szCs w:val="21"/>
        </w:rPr>
        <w:t xml:space="preserve"> is the idea that makes this work: if physical error rates are below a certain threshold (around 1% for the widely used surface code), then adding more physical qubits per logical qubit suppresses logical errors exponentially. Below threshold, scale helps; above it, scale makes things worse. The historical overhead was hundreds to thousands of physical qubits per logical qubit; newer codes (such as IBM’s quantum LDPC codes, and high-rate codes on trapped ions) aim to cut this substantially.</w:t>
      </w:r>
    </w:p>
    <w:tbl>
      <w:tblPr>
        <w:tblW w:type="dxa" w:w="9360"/>
        <w:tblBorders>
          <w:top w:val="single" w:color="C9D3E0" w:sz="2"/>
          <w:left w:val="none"/>
          <w:bottom w:val="single" w:color="C9D3E0" w:sz="2"/>
          <w:right w:val="none"/>
          <w:insideH w:val="single" w:color="C9D3E0" w:sz="2"/>
          <w:insideV w:val="single" w:color="C9D3E0" w:sz="2"/>
        </w:tblBorders>
      </w:tblPr>
      <w:tblGrid>
        <w:gridCol w:w="3700"/>
        <w:gridCol w:w="1300"/>
        <w:gridCol w:w="4360"/>
      </w:tblGrid>
      <w:tr>
        <w:trPr>
          <w:tblHeader/>
        </w:trPr>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Milestone</w:t>
            </w:r>
          </w:p>
        </w:tc>
        <w:tc>
          <w:tcPr>
            <w:tcW w:type="dxa" w:w="1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Date</w:t>
            </w:r>
          </w:p>
        </w:tc>
        <w:tc>
          <w:tcPr>
            <w:tcW w:type="dxa" w:w="43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Why it matters</w:t>
            </w:r>
          </w:p>
        </w:tc>
      </w:tr>
      <w:tr>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Google Willow (105 superconducting qubits) operates below threshold: logical errors roughly halve each time the code is enlarged.</w:t>
            </w:r>
          </w:p>
        </w:tc>
        <w:tc>
          <w:tcPr>
            <w:tcW w:type="dxa" w:w="1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Dec 2024</w:t>
            </w:r>
          </w:p>
        </w:tc>
        <w:tc>
          <w:tcPr>
            <w:tcW w:type="dxa" w:w="4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First convincing experimental evidence that error correction improves with scale.</w:t>
            </w:r>
          </w:p>
        </w:tc>
      </w:tr>
      <w:tr>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Quantinuum Helios (98 trapped ions; 99.92% two-qubit fidelity) runs 48 fully error-corrected logical qubits, at close to two physical qubits per logical qubit.</w:t>
            </w:r>
          </w:p>
        </w:tc>
        <w:tc>
          <w:tcPr>
            <w:tcW w:type="dxa" w:w="1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Nov 2025</w:t>
            </w:r>
          </w:p>
        </w:tc>
        <w:tc>
          <w:tcPr>
            <w:tcW w:type="dxa" w:w="4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Shows that high-fidelity hardware can dramatically lower the overhead of error correction.</w:t>
            </w:r>
          </w:p>
        </w:tc>
      </w:tr>
      <w:tr>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Neutral-atom systems (QuEra and partners; Atom Computing with Microsoft) demonstrate dozens of logical qubits.</w:t>
            </w:r>
          </w:p>
        </w:tc>
        <w:tc>
          <w:tcPr>
            <w:tcW w:type="dxa" w:w="1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2025</w:t>
            </w:r>
          </w:p>
        </w:tc>
        <w:tc>
          <w:tcPr>
            <w:tcW w:type="dxa" w:w="4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second modality at scale; competition is broadening.</w:t>
            </w:r>
          </w:p>
        </w:tc>
      </w:tr>
      <w:tr>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IBM roadmap: Starling (200 logical qubits, 100 million gates) by 2029; Blue Jay (2,000 logical qubits, 1 billion gates) by 2033.</w:t>
            </w:r>
          </w:p>
        </w:tc>
        <w:tc>
          <w:tcPr>
            <w:tcW w:type="dxa" w:w="1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Published 2025</w:t>
            </w:r>
          </w:p>
        </w:tc>
        <w:tc>
          <w:tcPr>
            <w:tcW w:type="dxa" w:w="4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most detailed public path to fault tolerance.</w:t>
            </w:r>
          </w:p>
        </w:tc>
      </w:tr>
      <w:tr>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Quantinuum targets universal fault-tolerant computing by around 2029–2030; photonic players target utility-scale machines on a similar horizon.</w:t>
            </w:r>
          </w:p>
        </w:tc>
        <w:tc>
          <w:tcPr>
            <w:tcW w:type="dxa" w:w="1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Published 2025–26</w:t>
            </w:r>
          </w:p>
        </w:tc>
        <w:tc>
          <w:tcPr>
            <w:tcW w:type="dxa" w:w="4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 consensus has moved from ‘decades away’ to ‘around the end of the decade’ for early fault-tolerant machines.</w:t>
            </w:r>
          </w:p>
        </w:tc>
      </w:tr>
    </w:tbl>
    <w:p>
      <w:pPr>
        <w:spacing w:after="80"/>
      </w:pPr>
    </w:p>
    <w:p>
      <w:pPr>
        <w:spacing w:after="140" w:line="276"/>
        <w:jc w:val="both"/>
      </w:pPr>
      <w:r>
        <w:rPr>
          <w:rFonts w:ascii="Georgia" w:cs="Georgia" w:eastAsia="Georgia" w:hAnsi="Georgia"/>
          <w:b/>
          <w:bCs/>
          <w:color w:val="1A1A1A"/>
          <w:sz w:val="21"/>
          <w:szCs w:val="21"/>
        </w:rPr>
        <w:t xml:space="preserve">What an expert takes from this:</w:t>
      </w:r>
      <w:r>
        <w:rPr>
          <w:rFonts w:ascii="Georgia" w:cs="Georgia" w:eastAsia="Georgia" w:hAnsi="Georgia"/>
          <w:color w:val="1A1A1A"/>
          <w:sz w:val="21"/>
          <w:szCs w:val="21"/>
        </w:rPr>
        <w:t xml:space="preserve"> the question has shifted from </w:t>
      </w:r>
      <w:r>
        <w:rPr>
          <w:rFonts w:ascii="Georgia" w:cs="Georgia" w:eastAsia="Georgia" w:hAnsi="Georgia"/>
          <w:i/>
          <w:iCs/>
          <w:color w:val="1A1A1A"/>
          <w:sz w:val="21"/>
          <w:szCs w:val="21"/>
        </w:rPr>
        <w:t xml:space="preserve">whether</w:t>
      </w:r>
      <w:r>
        <w:rPr>
          <w:rFonts w:ascii="Georgia" w:cs="Georgia" w:eastAsia="Georgia" w:hAnsi="Georgia"/>
          <w:color w:val="1A1A1A"/>
          <w:sz w:val="21"/>
          <w:szCs w:val="21"/>
        </w:rPr>
        <w:t xml:space="preserve"> fault-tolerant machines can be built to </w:t>
      </w:r>
      <w:r>
        <w:rPr>
          <w:rFonts w:ascii="Georgia" w:cs="Georgia" w:eastAsia="Georgia" w:hAnsi="Georgia"/>
          <w:i/>
          <w:iCs/>
          <w:color w:val="1A1A1A"/>
          <w:sz w:val="21"/>
          <w:szCs w:val="21"/>
        </w:rPr>
        <w:t xml:space="preserve">when</w:t>
      </w:r>
      <w:r>
        <w:rPr>
          <w:rFonts w:ascii="Georgia" w:cs="Georgia" w:eastAsia="Georgia" w:hAnsi="Georgia"/>
          <w:color w:val="1A1A1A"/>
          <w:sz w:val="21"/>
          <w:szCs w:val="21"/>
        </w:rPr>
        <w:t xml:space="preserve"> and </w:t>
      </w:r>
      <w:r>
        <w:rPr>
          <w:rFonts w:ascii="Georgia" w:cs="Georgia" w:eastAsia="Georgia" w:hAnsi="Georgia"/>
          <w:i/>
          <w:iCs/>
          <w:color w:val="1A1A1A"/>
          <w:sz w:val="21"/>
          <w:szCs w:val="21"/>
        </w:rPr>
        <w:t xml:space="preserve">at what cost</w:t>
      </w:r>
      <w:r>
        <w:rPr>
          <w:rFonts w:ascii="Georgia" w:cs="Georgia" w:eastAsia="Georgia" w:hAnsi="Georgia"/>
          <w:color w:val="1A1A1A"/>
          <w:sz w:val="21"/>
          <w:szCs w:val="21"/>
        </w:rPr>
        <w:t xml:space="preserve">. Early fault-tolerant machines (hundreds of logical qubits) are credibly expected around 2029–2033. A machine able to break RSA-2048 needs far more resources than those first machines, but estimates of what it needs keep falling (§1.6).</w:t>
      </w:r>
    </w:p>
    <w:p>
      <w:pPr>
        <w:pStyle w:val="Heading3"/>
        <w:spacing w:after="70" w:before="160"/>
      </w:pPr>
      <w:r>
        <w:rPr>
          <w:rFonts w:ascii="Calibri" w:cs="Calibri" w:eastAsia="Calibri" w:hAnsi="Calibri"/>
          <w:b/>
          <w:bCs/>
          <w:color w:val="1F2A44"/>
          <w:sz w:val="22"/>
          <w:szCs w:val="22"/>
        </w:rPr>
        <w:t xml:space="preserve">1.5 Quantum sensing and quantum communication</w:t>
      </w:r>
    </w:p>
    <w:p>
      <w:pPr>
        <w:spacing w:after="140" w:line="276"/>
        <w:jc w:val="both"/>
      </w:pPr>
      <w:r>
        <w:rPr>
          <w:rFonts w:ascii="Georgia" w:cs="Georgia" w:eastAsia="Georgia" w:hAnsi="Georgia"/>
          <w:b/>
          <w:bCs/>
          <w:color w:val="1A1A1A"/>
          <w:sz w:val="21"/>
          <w:szCs w:val="21"/>
        </w:rPr>
        <w:t xml:space="preserve">Quantum sensing</w:t>
      </w:r>
      <w:r>
        <w:rPr>
          <w:rFonts w:ascii="Georgia" w:cs="Georgia" w:eastAsia="Georgia" w:hAnsi="Georgia"/>
          <w:color w:val="1A1A1A"/>
          <w:sz w:val="21"/>
          <w:szCs w:val="21"/>
        </w:rPr>
        <w:t xml:space="preserve"> uses the extreme sensitivity of quantum states to their environment as a feature. Examples: next-generation atomic clocks; magnetometers based on defects in diamond (nitrogen-vacancy centres) for brain imaging or detecting underground structures; atom-interferometer gravimeters for mineral exploration and infrastructure monitoring; and quantum inertial navigation that works without GPS. Sensing is closer to market than computing, has strong defence interest, and has attracted almost no dedicated governance attention: a classic early-integration opportunity.</w:t>
      </w:r>
    </w:p>
    <w:p>
      <w:pPr>
        <w:spacing w:after="140" w:line="276"/>
        <w:jc w:val="both"/>
      </w:pPr>
      <w:r>
        <w:rPr>
          <w:rFonts w:ascii="Georgia" w:cs="Georgia" w:eastAsia="Georgia" w:hAnsi="Georgia"/>
          <w:b/>
          <w:bCs/>
          <w:color w:val="1A1A1A"/>
          <w:sz w:val="21"/>
          <w:szCs w:val="21"/>
        </w:rPr>
        <w:t xml:space="preserve">Quantum communication</w:t>
      </w:r>
      <w:r>
        <w:rPr>
          <w:rFonts w:ascii="Georgia" w:cs="Georgia" w:eastAsia="Georgia" w:hAnsi="Georgia"/>
          <w:color w:val="1A1A1A"/>
          <w:sz w:val="21"/>
          <w:szCs w:val="21"/>
        </w:rPr>
        <w:t xml:space="preserve"> centres on </w:t>
      </w:r>
      <w:r>
        <w:rPr>
          <w:rFonts w:ascii="Georgia" w:cs="Georgia" w:eastAsia="Georgia" w:hAnsi="Georgia"/>
          <w:b/>
          <w:bCs/>
          <w:color w:val="1A1A1A"/>
          <w:sz w:val="21"/>
          <w:szCs w:val="21"/>
        </w:rPr>
        <w:t xml:space="preserve">quantum key distribution (QKD)</w:t>
      </w:r>
      <w:r>
        <w:rPr>
          <w:rFonts w:ascii="Georgia" w:cs="Georgia" w:eastAsia="Georgia" w:hAnsi="Georgia"/>
          <w:color w:val="1A1A1A"/>
          <w:sz w:val="21"/>
          <w:szCs w:val="21"/>
        </w:rPr>
        <w:t xml:space="preserve">, first proposed as the BB84 protocol (Bennett and Brassard, 1984). Two parties exchange quantum states to agree a secret key; any eavesdropping disturbs the states and can be detected. China has invested most visibly (the Micius satellite from 2016 and a roughly 2,000 km terrestrial backbone), and the EU is building a quantum communication infrastructure (EuroQCI). QKD has real limits: it needs special hardware, distance is limited without ‘trusted nodes’ or future quantum repeaters, and it still relies on classical cryptography for authentication. Several national security agencies (including the US NSA, the UK NCSC and France’s ANSSI) therefore recommend post-quantum cryptography as the primary defence and see QKD as a niche complement. The long-term vision of a </w:t>
      </w:r>
      <w:r>
        <w:rPr>
          <w:rFonts w:ascii="Georgia" w:cs="Georgia" w:eastAsia="Georgia" w:hAnsi="Georgia"/>
          <w:b/>
          <w:bCs/>
          <w:color w:val="1A1A1A"/>
          <w:sz w:val="21"/>
          <w:szCs w:val="21"/>
        </w:rPr>
        <w:t xml:space="preserve">quantum internet</w:t>
      </w:r>
      <w:r>
        <w:rPr>
          <w:rFonts w:ascii="Georgia" w:cs="Georgia" w:eastAsia="Georgia" w:hAnsi="Georgia"/>
          <w:color w:val="1A1A1A"/>
          <w:sz w:val="21"/>
          <w:szCs w:val="21"/>
        </w:rPr>
        <w:t xml:space="preserve"> (networks distributing entanglement between quantum computers and sensors) remains a research goal.</w:t>
      </w:r>
    </w:p>
    <w:p>
      <w:pPr>
        <w:pStyle w:val="Heading3"/>
        <w:spacing w:after="70" w:before="160"/>
      </w:pPr>
      <w:r>
        <w:rPr>
          <w:rFonts w:ascii="Calibri" w:cs="Calibri" w:eastAsia="Calibri" w:hAnsi="Calibri"/>
          <w:b/>
          <w:bCs/>
          <w:color w:val="1F2A44"/>
          <w:sz w:val="22"/>
          <w:szCs w:val="22"/>
        </w:rPr>
        <w:t xml:space="preserve">1.6 The cryptographic threat</w:t>
      </w:r>
    </w:p>
    <w:p>
      <w:pPr>
        <w:spacing w:after="140" w:line="276"/>
        <w:jc w:val="both"/>
      </w:pPr>
      <w:r>
        <w:rPr>
          <w:rFonts w:ascii="Georgia" w:cs="Georgia" w:eastAsia="Georgia" w:hAnsi="Georgia"/>
          <w:b/>
          <w:bCs/>
          <w:color w:val="1A1A1A"/>
          <w:sz w:val="21"/>
          <w:szCs w:val="21"/>
        </w:rPr>
        <w:t xml:space="preserve">What is at risk.</w:t>
      </w:r>
      <w:r>
        <w:rPr>
          <w:rFonts w:ascii="Georgia" w:cs="Georgia" w:eastAsia="Georgia" w:hAnsi="Georgia"/>
          <w:color w:val="1A1A1A"/>
          <w:sz w:val="21"/>
          <w:szCs w:val="21"/>
        </w:rPr>
        <w:t xml:space="preserve"> Public-key cryptography lets strangers establish secure connections and verify identity. Its two workhorses, RSA (based on the difficulty of factoring large numbers) and elliptic-curve cryptography (based on the discrete-logarithm problem), secure web traffic (TLS), VPNs, software updates, digital certificates and identities, payment systems and blockchain signatures. Shor’s algorithm solves both underlying problems efficiently, so a large enough quantum computer would break confidentiality (anyone could read past and future key exchanges) and authenticity (anyone could forge signatures). Symmetric encryption (such as AES) and hash functions are only weakened, and are protected by using longer keys.</w:t>
      </w:r>
    </w:p>
    <w:p>
      <w:pPr>
        <w:spacing w:after="140" w:line="276"/>
        <w:jc w:val="both"/>
      </w:pPr>
      <w:r>
        <w:rPr>
          <w:rFonts w:ascii="Georgia" w:cs="Georgia" w:eastAsia="Georgia" w:hAnsi="Georgia"/>
          <w:b/>
          <w:bCs/>
          <w:color w:val="1A1A1A"/>
          <w:sz w:val="21"/>
          <w:szCs w:val="21"/>
        </w:rPr>
        <w:t xml:space="preserve">The threat is already active.</w:t>
      </w:r>
      <w:r>
        <w:rPr>
          <w:rFonts w:ascii="Georgia" w:cs="Georgia" w:eastAsia="Georgia" w:hAnsi="Georgia"/>
          <w:color w:val="1A1A1A"/>
          <w:sz w:val="21"/>
          <w:szCs w:val="21"/>
        </w:rPr>
        <w:t xml:space="preserve"> In a </w:t>
      </w:r>
      <w:r>
        <w:rPr>
          <w:rFonts w:ascii="Georgia" w:cs="Georgia" w:eastAsia="Georgia" w:hAnsi="Georgia"/>
          <w:i/>
          <w:iCs/>
          <w:color w:val="1A1A1A"/>
          <w:sz w:val="21"/>
          <w:szCs w:val="21"/>
        </w:rPr>
        <w:t xml:space="preserve">harvest-now, decrypt-later</w:t>
      </w:r>
      <w:r>
        <w:rPr>
          <w:rFonts w:ascii="Georgia" w:cs="Georgia" w:eastAsia="Georgia" w:hAnsi="Georgia"/>
          <w:color w:val="1A1A1A"/>
          <w:sz w:val="21"/>
          <w:szCs w:val="21"/>
        </w:rPr>
        <w:t xml:space="preserve"> attack, adversaries collect encrypted data today to decrypt once a capable machine exists; anything that must stay secret for years (health records, state secrets, intellectual property, financial data) is therefore already exposed. A parallel </w:t>
      </w:r>
      <w:r>
        <w:rPr>
          <w:rFonts w:ascii="Georgia" w:cs="Georgia" w:eastAsia="Georgia" w:hAnsi="Georgia"/>
          <w:i/>
          <w:iCs/>
          <w:color w:val="1A1A1A"/>
          <w:sz w:val="21"/>
          <w:szCs w:val="21"/>
        </w:rPr>
        <w:t xml:space="preserve">trust-now, forge-later</w:t>
      </w:r>
      <w:r>
        <w:rPr>
          <w:rFonts w:ascii="Georgia" w:cs="Georgia" w:eastAsia="Georgia" w:hAnsi="Georgia"/>
          <w:color w:val="1A1A1A"/>
          <w:sz w:val="21"/>
          <w:szCs w:val="21"/>
        </w:rPr>
        <w:t xml:space="preserve"> risk applies to long-lived signatures, for example in firmware of vehicles, satellites or infrastructure that will still be operating when forgery becomes possible.</w:t>
      </w:r>
    </w:p>
    <w:p>
      <w:pPr>
        <w:spacing w:after="140" w:line="276"/>
        <w:jc w:val="both"/>
      </w:pPr>
      <w:r>
        <w:rPr>
          <w:rFonts w:ascii="Georgia" w:cs="Georgia" w:eastAsia="Georgia" w:hAnsi="Georgia"/>
          <w:b/>
          <w:bCs/>
          <w:color w:val="1A1A1A"/>
          <w:sz w:val="21"/>
          <w:szCs w:val="21"/>
        </w:rPr>
        <w:t xml:space="preserve">How big a machine is needed.</w:t>
      </w:r>
      <w:r>
        <w:rPr>
          <w:rFonts w:ascii="Georgia" w:cs="Georgia" w:eastAsia="Georgia" w:hAnsi="Georgia"/>
          <w:color w:val="1A1A1A"/>
          <w:sz w:val="21"/>
          <w:szCs w:val="21"/>
        </w:rPr>
        <w:t xml:space="preserve"> The hypothetical machine is called a </w:t>
      </w:r>
      <w:r>
        <w:rPr>
          <w:rFonts w:ascii="Georgia" w:cs="Georgia" w:eastAsia="Georgia" w:hAnsi="Georgia"/>
          <w:i/>
          <w:iCs/>
          <w:color w:val="1A1A1A"/>
          <w:sz w:val="21"/>
          <w:szCs w:val="21"/>
        </w:rPr>
        <w:t xml:space="preserve">cryptographically relevant quantum computer</w:t>
      </w:r>
      <w:r>
        <w:rPr>
          <w:rFonts w:ascii="Georgia" w:cs="Georgia" w:eastAsia="Georgia" w:hAnsi="Georgia"/>
          <w:color w:val="1A1A1A"/>
          <w:sz w:val="21"/>
          <w:szCs w:val="21"/>
        </w:rPr>
        <w:t xml:space="preserve"> (CRQC); the day it exists is informally called </w:t>
      </w:r>
      <w:r>
        <w:rPr>
          <w:rFonts w:ascii="Georgia" w:cs="Georgia" w:eastAsia="Georgia" w:hAnsi="Georgia"/>
          <w:i/>
          <w:iCs/>
          <w:color w:val="1A1A1A"/>
          <w:sz w:val="21"/>
          <w:szCs w:val="21"/>
        </w:rPr>
        <w:t xml:space="preserve">Q-Day</w:t>
      </w:r>
      <w:r>
        <w:rPr>
          <w:rFonts w:ascii="Georgia" w:cs="Georgia" w:eastAsia="Georgia" w:hAnsi="Georgia"/>
          <w:color w:val="1A1A1A"/>
          <w:sz w:val="21"/>
          <w:szCs w:val="21"/>
        </w:rPr>
        <w:t xml:space="preserve">. Estimates have fallen sharply. In 2019, Gidney and Ekerå estimated that breaking RSA-2048 would take about 20 million noisy qubits running for eight hours. In May 2025, Gidney (Google) estimated fewer than one million noisy qubits running for under a week: a twentyfold reduction in six years, driven by better algorithms and error-correction techniques. No such machine exists (today’s devices have hundreds to a few thousand physical qubits), but the direction of travel is clear. Expert surveys, notably the Global Risk Institute’s annual Quantum Threat Timeline Report, place a meaningful probability on a CRQC within ten to fifteen years.</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Mosca’s theorem (Michele Mosca), the single most useful framework in quantum security.</w:t>
            </w:r>
            <w:r>
              <w:rPr>
                <w:rFonts w:ascii="Georgia" w:cs="Georgia" w:eastAsia="Georgia" w:hAnsi="Georgia"/>
                <w:color w:val="1F2A44"/>
                <w:sz w:val="20"/>
                <w:szCs w:val="20"/>
              </w:rPr>
              <w:t xml:space="preserve"> Let X be how long your data must stay secure, Y how long it will take you to migrate to quantum-safe cryptography, and Z how long until a CRQC exists. If X + Y &gt; Z, you are already too late. Health records must stay confidential for decades; large organisations take a decade or more to migrate. That is why governments are acting now, even though Z is uncertain.</w:t>
            </w:r>
          </w:p>
        </w:tc>
      </w:tr>
    </w:tbl>
    <w:p>
      <w:pPr>
        <w:spacing w:after="80"/>
      </w:pPr>
    </w:p>
    <w:p>
      <w:pPr>
        <w:pStyle w:val="Heading3"/>
        <w:spacing w:after="70" w:before="160"/>
      </w:pPr>
      <w:r>
        <w:rPr>
          <w:rFonts w:ascii="Calibri" w:cs="Calibri" w:eastAsia="Calibri" w:hAnsi="Calibri"/>
          <w:b/>
          <w:bCs/>
          <w:color w:val="1F2A44"/>
          <w:sz w:val="22"/>
          <w:szCs w:val="22"/>
        </w:rPr>
        <w:t xml:space="preserve">1.7 Post-quantum cryptography and the migration</w:t>
      </w:r>
    </w:p>
    <w:p>
      <w:pPr>
        <w:spacing w:after="140" w:line="276"/>
        <w:jc w:val="both"/>
      </w:pPr>
      <w:r>
        <w:rPr>
          <w:rFonts w:ascii="Georgia" w:cs="Georgia" w:eastAsia="Georgia" w:hAnsi="Georgia"/>
          <w:b/>
          <w:bCs/>
          <w:color w:val="1A1A1A"/>
          <w:sz w:val="21"/>
          <w:szCs w:val="21"/>
        </w:rPr>
        <w:t xml:space="preserve">What PQC is.</w:t>
      </w:r>
      <w:r>
        <w:rPr>
          <w:rFonts w:ascii="Georgia" w:cs="Georgia" w:eastAsia="Georgia" w:hAnsi="Georgia"/>
          <w:color w:val="1A1A1A"/>
          <w:sz w:val="21"/>
          <w:szCs w:val="21"/>
        </w:rPr>
        <w:t xml:space="preserve"> Post-quantum cryptography means new </w:t>
      </w:r>
      <w:r>
        <w:rPr>
          <w:rFonts w:ascii="Georgia" w:cs="Georgia" w:eastAsia="Georgia" w:hAnsi="Georgia"/>
          <w:i/>
          <w:iCs/>
          <w:color w:val="1A1A1A"/>
          <w:sz w:val="21"/>
          <w:szCs w:val="21"/>
        </w:rPr>
        <w:t xml:space="preserve">classical</w:t>
      </w:r>
      <w:r>
        <w:rPr>
          <w:rFonts w:ascii="Georgia" w:cs="Georgia" w:eastAsia="Georgia" w:hAnsi="Georgia"/>
          <w:color w:val="1A1A1A"/>
          <w:sz w:val="21"/>
          <w:szCs w:val="21"/>
        </w:rPr>
        <w:t xml:space="preserve"> algorithms, running on ordinary computers, based on mathematical problems believed to be hard for quantum computers as well (mainly lattice problems, hash functions and error-correcting codes). Unlike QKD, it needs no new hardware; it needs software, firmware and protocol upgrades across every system that uses public-key cryptography.</w:t>
      </w:r>
    </w:p>
    <w:p>
      <w:pPr>
        <w:spacing w:after="140" w:line="276"/>
        <w:jc w:val="both"/>
      </w:pPr>
      <w:r>
        <w:rPr>
          <w:rFonts w:ascii="Georgia" w:cs="Georgia" w:eastAsia="Georgia" w:hAnsi="Georgia"/>
          <w:b/>
          <w:bCs/>
          <w:color w:val="1A1A1A"/>
          <w:sz w:val="21"/>
          <w:szCs w:val="21"/>
        </w:rPr>
        <w:t xml:space="preserve">The standards.</w:t>
      </w:r>
      <w:r>
        <w:rPr>
          <w:rFonts w:ascii="Georgia" w:cs="Georgia" w:eastAsia="Georgia" w:hAnsi="Georgia"/>
          <w:color w:val="1A1A1A"/>
          <w:sz w:val="21"/>
          <w:szCs w:val="21"/>
        </w:rPr>
        <w:t xml:space="preserve"> The US National Institute of Standards and Technology (NIST) ran an open international competition from 2016 (82 submissions). In August 2024 it published the first three standards: </w:t>
      </w:r>
      <w:r>
        <w:rPr>
          <w:rFonts w:ascii="Georgia" w:cs="Georgia" w:eastAsia="Georgia" w:hAnsi="Georgia"/>
          <w:b/>
          <w:bCs/>
          <w:color w:val="1A1A1A"/>
          <w:sz w:val="21"/>
          <w:szCs w:val="21"/>
        </w:rPr>
        <w:t xml:space="preserve">FIPS 203 (ML-KEM</w:t>
      </w:r>
      <w:r>
        <w:rPr>
          <w:rFonts w:ascii="Georgia" w:cs="Georgia" w:eastAsia="Georgia" w:hAnsi="Georgia"/>
          <w:color w:val="1A1A1A"/>
          <w:sz w:val="21"/>
          <w:szCs w:val="21"/>
        </w:rPr>
        <w:t xml:space="preserve">, derived from CRYSTALS-Kyber, for establishing keys), </w:t>
      </w:r>
      <w:r>
        <w:rPr>
          <w:rFonts w:ascii="Georgia" w:cs="Georgia" w:eastAsia="Georgia" w:hAnsi="Georgia"/>
          <w:b/>
          <w:bCs/>
          <w:color w:val="1A1A1A"/>
          <w:sz w:val="21"/>
          <w:szCs w:val="21"/>
        </w:rPr>
        <w:t xml:space="preserve">FIPS 204 (ML-DSA</w:t>
      </w:r>
      <w:r>
        <w:rPr>
          <w:rFonts w:ascii="Georgia" w:cs="Georgia" w:eastAsia="Georgia" w:hAnsi="Georgia"/>
          <w:color w:val="1A1A1A"/>
          <w:sz w:val="21"/>
          <w:szCs w:val="21"/>
        </w:rPr>
        <w:t xml:space="preserve">, derived from Dilithium, for signatures) and </w:t>
      </w:r>
      <w:r>
        <w:rPr>
          <w:rFonts w:ascii="Georgia" w:cs="Georgia" w:eastAsia="Georgia" w:hAnsi="Georgia"/>
          <w:b/>
          <w:bCs/>
          <w:color w:val="1A1A1A"/>
          <w:sz w:val="21"/>
          <w:szCs w:val="21"/>
        </w:rPr>
        <w:t xml:space="preserve">FIPS 205 (SLH-DSA</w:t>
      </w:r>
      <w:r>
        <w:rPr>
          <w:rFonts w:ascii="Georgia" w:cs="Georgia" w:eastAsia="Georgia" w:hAnsi="Georgia"/>
          <w:color w:val="1A1A1A"/>
          <w:sz w:val="21"/>
          <w:szCs w:val="21"/>
        </w:rPr>
        <w:t xml:space="preserve">, derived from SPHINCS+, a hash-based signature scheme as a conservative backup). A fourth, </w:t>
      </w:r>
      <w:r>
        <w:rPr>
          <w:rFonts w:ascii="Georgia" w:cs="Georgia" w:eastAsia="Georgia" w:hAnsi="Georgia"/>
          <w:b/>
          <w:bCs/>
          <w:color w:val="1A1A1A"/>
          <w:sz w:val="21"/>
          <w:szCs w:val="21"/>
        </w:rPr>
        <w:t xml:space="preserve">FN-DSA</w:t>
      </w:r>
      <w:r>
        <w:rPr>
          <w:rFonts w:ascii="Georgia" w:cs="Georgia" w:eastAsia="Georgia" w:hAnsi="Georgia"/>
          <w:color w:val="1A1A1A"/>
          <w:sz w:val="21"/>
          <w:szCs w:val="21"/>
        </w:rPr>
        <w:t xml:space="preserve"> (derived from Falcon), is being finalised, and in March 2025 NIST selected </w:t>
      </w:r>
      <w:r>
        <w:rPr>
          <w:rFonts w:ascii="Georgia" w:cs="Georgia" w:eastAsia="Georgia" w:hAnsi="Georgia"/>
          <w:b/>
          <w:bCs/>
          <w:color w:val="1A1A1A"/>
          <w:sz w:val="21"/>
          <w:szCs w:val="21"/>
        </w:rPr>
        <w:t xml:space="preserve">HQC</w:t>
      </w:r>
      <w:r>
        <w:rPr>
          <w:rFonts w:ascii="Georgia" w:cs="Georgia" w:eastAsia="Georgia" w:hAnsi="Georgia"/>
          <w:color w:val="1A1A1A"/>
          <w:sz w:val="21"/>
          <w:szCs w:val="21"/>
        </w:rPr>
        <w:t xml:space="preserve">, a code-based algorithm, as a backup to ML-KEM. Other countries (including China and South Korea) are developing or selecting their own algorithms, which creates a risk of divergence.</w:t>
      </w:r>
    </w:p>
    <w:p>
      <w:pPr>
        <w:spacing w:after="140" w:line="276"/>
        <w:jc w:val="both"/>
      </w:pPr>
      <w:r>
        <w:rPr>
          <w:rFonts w:ascii="Georgia" w:cs="Georgia" w:eastAsia="Georgia" w:hAnsi="Georgia"/>
          <w:b/>
          <w:bCs/>
          <w:color w:val="1A1A1A"/>
          <w:sz w:val="21"/>
          <w:szCs w:val="21"/>
        </w:rPr>
        <w:t xml:space="preserve">How migration works.</w:t>
      </w:r>
      <w:r>
        <w:rPr>
          <w:rFonts w:ascii="Georgia" w:cs="Georgia" w:eastAsia="Georgia" w:hAnsi="Georgia"/>
          <w:color w:val="1A1A1A"/>
          <w:sz w:val="21"/>
          <w:szCs w:val="21"/>
        </w:rPr>
        <w:t xml:space="preserve"> The practical steps are: build a cryptographic inventory (where is public-key cryptography used, by which systems and suppliers?); prioritise by data lifetime and exposure; adopt </w:t>
      </w:r>
      <w:r>
        <w:rPr>
          <w:rFonts w:ascii="Georgia" w:cs="Georgia" w:eastAsia="Georgia" w:hAnsi="Georgia"/>
          <w:b/>
          <w:bCs/>
          <w:color w:val="1A1A1A"/>
          <w:sz w:val="21"/>
          <w:szCs w:val="21"/>
        </w:rPr>
        <w:t xml:space="preserve">crypto-agility</w:t>
      </w:r>
      <w:r>
        <w:rPr>
          <w:rFonts w:ascii="Georgia" w:cs="Georgia" w:eastAsia="Georgia" w:hAnsi="Georgia"/>
          <w:color w:val="1A1A1A"/>
          <w:sz w:val="21"/>
          <w:szCs w:val="21"/>
        </w:rPr>
        <w:t xml:space="preserve"> (designing systems so algorithms can be swapped without rebuilding them); use </w:t>
      </w:r>
      <w:r>
        <w:rPr>
          <w:rFonts w:ascii="Georgia" w:cs="Georgia" w:eastAsia="Georgia" w:hAnsi="Georgia"/>
          <w:b/>
          <w:bCs/>
          <w:color w:val="1A1A1A"/>
          <w:sz w:val="21"/>
          <w:szCs w:val="21"/>
        </w:rPr>
        <w:t xml:space="preserve">hybrid</w:t>
      </w:r>
      <w:r>
        <w:rPr>
          <w:rFonts w:ascii="Georgia" w:cs="Georgia" w:eastAsia="Georgia" w:hAnsi="Georgia"/>
          <w:color w:val="1A1A1A"/>
          <w:sz w:val="21"/>
          <w:szCs w:val="21"/>
        </w:rPr>
        <w:t xml:space="preserve"> schemes during the transition (combining a classical and a post-quantum algorithm so security holds if either survives); and work through suppliers, because most organisations depend on vendors’ products. Early adopters show it is feasible: hybrid post-quantum key exchange is now enabled by default in major web browsers and content-delivery networks, and messaging services such as Signal (2023) and Apple’s iMessage (2024) have added post-quantum protection. The hard cases are long-lived devices (vehicles, satellites, industrial control systems, medical devices) and organisations with little cryptographic expertise.</w:t>
      </w:r>
    </w:p>
    <w:p>
      <w:pPr>
        <w:pStyle w:val="Heading3"/>
        <w:spacing w:after="70" w:before="160"/>
      </w:pPr>
      <w:r>
        <w:rPr>
          <w:rFonts w:ascii="Calibri" w:cs="Calibri" w:eastAsia="Calibri" w:hAnsi="Calibri"/>
          <w:b/>
          <w:bCs/>
          <w:color w:val="1F2A44"/>
          <w:sz w:val="22"/>
          <w:szCs w:val="22"/>
        </w:rPr>
        <w:t xml:space="preserve">1.7.1 The deadlines, jurisdiction by jurisdiction</w:t>
      </w:r>
    </w:p>
    <w:tbl>
      <w:tblPr>
        <w:tblW w:type="dxa" w:w="9360"/>
        <w:tblBorders>
          <w:top w:val="single" w:color="C9D3E0" w:sz="2"/>
          <w:left w:val="none"/>
          <w:bottom w:val="single" w:color="C9D3E0" w:sz="2"/>
          <w:right w:val="none"/>
          <w:insideH w:val="single" w:color="C9D3E0" w:sz="2"/>
          <w:insideV w:val="single" w:color="C9D3E0" w:sz="2"/>
        </w:tblBorders>
      </w:tblPr>
      <w:tblGrid>
        <w:gridCol w:w="1700"/>
        <w:gridCol w:w="3700"/>
        <w:gridCol w:w="3960"/>
      </w:tblGrid>
      <w:tr>
        <w:trPr>
          <w:tblHeader/>
        </w:trPr>
        <w:tc>
          <w:tcPr>
            <w:tcW w:type="dxa" w:w="1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Jurisdiction</w:t>
            </w:r>
          </w:p>
        </w:tc>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Key instruments</w:t>
            </w:r>
          </w:p>
        </w:tc>
        <w:tc>
          <w:tcPr>
            <w:tcW w:type="dxa" w:w="39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Timeline</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States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National Security Memorandum 10 (2022); OMB M-23-02 (annual inventories); NSA’s CNSA 2.0 for national security systems; NIST IR 8547 (draft, Nov 2024).</w:t>
            </w:r>
          </w:p>
        </w:tc>
        <w:tc>
          <w:tcPr>
            <w:tcW w:type="dxa" w:w="3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NIST: quantum-vulnerable algorithms deprecated after 2030 and disallowed after 2035. CNSA 2.0: most national-security categories exclusively quantum-resistant by 2030–2033; all by 2035.</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European Union</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Commission Recommendation on PQC (April 2024); Coordinated Implementation Roadmap adopted by member states (June 2025).</w:t>
            </w:r>
          </w:p>
        </w:tc>
        <w:tc>
          <w:tcPr>
            <w:tcW w:type="dxa" w:w="3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All member states start the transition by end-2026; high-risk use cases migrated by end-2030; as many medium- and low-risk systems as feasible by 2035.</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Kingdom</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NCSC migration timelines (March 2025).</w:t>
            </w:r>
          </w:p>
        </w:tc>
        <w:tc>
          <w:tcPr>
            <w:tcW w:type="dxa" w:w="3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Discovery and planning complete by 2028; highest-priority migration by 2031; full migration by 2035.</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Australia</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Australian Signals Directorate guidance.</w:t>
            </w:r>
          </w:p>
        </w:tc>
        <w:tc>
          <w:tcPr>
            <w:tcW w:type="dxa" w:w="3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 earlier end-date: traditional public-key algorithms to be phased out by around 2030.</w:t>
            </w:r>
          </w:p>
        </w:tc>
      </w:tr>
    </w:tbl>
    <w:p>
      <w:pPr>
        <w:spacing w:after="80"/>
      </w:pPr>
    </w:p>
    <w:p>
      <w:pPr>
        <w:spacing w:after="140" w:line="276"/>
        <w:jc w:val="both"/>
      </w:pPr>
      <w:r>
        <w:rPr>
          <w:rFonts w:ascii="Georgia" w:cs="Georgia" w:eastAsia="Georgia" w:hAnsi="Georgia"/>
          <w:b/>
          <w:bCs/>
          <w:color w:val="1A1A1A"/>
          <w:sz w:val="21"/>
          <w:szCs w:val="21"/>
        </w:rPr>
        <w:t xml:space="preserve">Why this is a GRIP-type problem.</w:t>
      </w:r>
      <w:r>
        <w:rPr>
          <w:rFonts w:ascii="Georgia" w:cs="Georgia" w:eastAsia="Georgia" w:hAnsi="Georgia"/>
          <w:color w:val="1A1A1A"/>
          <w:sz w:val="21"/>
          <w:szCs w:val="21"/>
        </w:rPr>
        <w:t xml:space="preserve"> The broad direction is aligned (start now, prioritise high-risk systems, finish by 2035), but the detail diverges: dates, algorithm choices, whether hybrid schemes are required, certification regimes, and sector-specific supervisory expectations. Multinational companies, global supply chains and cross-border protocols must satisfy all of them. The Forum’s 2024 paper with the UK FCA already named ‘avoid fragmentation’ as a principle for finance; the equivalent work for other critical sectors (telecommunications, energy, health, government services) and across jurisdictions largely does not yet exist.</w:t>
      </w:r>
    </w:p>
    <w:p>
      <w:pPr>
        <w:pStyle w:val="Heading3"/>
        <w:spacing w:after="70" w:before="160"/>
      </w:pPr>
      <w:r>
        <w:rPr>
          <w:rFonts w:ascii="Calibri" w:cs="Calibri" w:eastAsia="Calibri" w:hAnsi="Calibri"/>
          <w:b/>
          <w:bCs/>
          <w:color w:val="1F2A44"/>
          <w:sz w:val="22"/>
          <w:szCs w:val="22"/>
        </w:rPr>
        <w:t xml:space="preserve">1.7.2 Which sectors are most exposed</w:t>
      </w:r>
    </w:p>
    <w:p>
      <w:pPr>
        <w:spacing w:after="140" w:line="276"/>
        <w:jc w:val="both"/>
      </w:pPr>
      <w:r>
        <w:rPr>
          <w:rFonts w:ascii="Georgia" w:cs="Georgia" w:eastAsia="Georgia" w:hAnsi="Georgia"/>
          <w:color w:val="1A1A1A"/>
          <w:sz w:val="21"/>
          <w:szCs w:val="21"/>
        </w:rPr>
        <w:t xml:space="preserve">Exposure depends on two variables from Mosca’s theorem: how long data or systems must remain secure, and how hard the systems are to upgrade.</w:t>
      </w:r>
    </w:p>
    <w:tbl>
      <w:tblPr>
        <w:tblW w:type="dxa" w:w="9360"/>
        <w:tblBorders>
          <w:top w:val="single" w:color="C9D3E0" w:sz="2"/>
          <w:left w:val="none"/>
          <w:bottom w:val="single" w:color="C9D3E0" w:sz="2"/>
          <w:right w:val="none"/>
          <w:insideH w:val="single" w:color="C9D3E0" w:sz="2"/>
          <w:insideV w:val="single" w:color="C9D3E0" w:sz="2"/>
        </w:tblBorders>
      </w:tblPr>
      <w:tblGrid>
        <w:gridCol w:w="1900"/>
        <w:gridCol w:w="4000"/>
        <w:gridCol w:w="3460"/>
      </w:tblGrid>
      <w:tr>
        <w:trPr>
          <w:tblHeader/>
        </w:trPr>
        <w:tc>
          <w:tcPr>
            <w:tcW w:type="dxa" w:w="1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Sector</w:t>
            </w:r>
          </w:p>
        </w:tc>
        <w:tc>
          <w:tcPr>
            <w:tcW w:type="dxa" w:w="4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Why it is exposed</w:t>
            </w:r>
          </w:p>
        </w:tc>
        <w:tc>
          <w:tcPr>
            <w:tcW w:type="dxa" w:w="34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State of preparation</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Financial services</w:t>
            </w:r>
          </w:p>
        </w:tc>
        <w:tc>
          <w:tcPr>
            <w:tcW w:type="dxa" w:w="4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Payments, interbank messaging, trading and long-lived customer data all rely on public-key cryptography.</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Most advanced: supervisors engaged (e.g. the UK FCA with the Forum; BIS Innovation Hub experiments; Europol’s Quantum Safe Financial Forum).</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Telecommunications</w:t>
            </w:r>
          </w:p>
        </w:tc>
        <w:tc>
          <w:tcPr>
            <w:tcW w:type="dxa" w:w="4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Network infrastructure, subscriber authentication and long equipment lifecycles.</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 work through the GSMA’s post-quantum telco task force; uneven across operators.</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Energy and critical infrastructure</w:t>
            </w:r>
          </w:p>
        </w:tc>
        <w:tc>
          <w:tcPr>
            <w:tcW w:type="dxa" w:w="4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Industrial control systems run for 20 to 30 years and are hard to patch.</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Early; often dependent on vendors’ roadmaps.</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Health</w:t>
            </w:r>
          </w:p>
        </w:tc>
        <w:tc>
          <w:tcPr>
            <w:tcW w:type="dxa" w:w="4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Medical records must stay confidential for a lifetime; connected medical devices are long-lived.</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Early; limited cryptographic expertise in many providers.</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Government and defence</w:t>
            </w:r>
          </w:p>
        </w:tc>
        <w:tc>
          <w:tcPr>
            <w:tcW w:type="dxa" w:w="4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Classified information; national identity systems and e-passports.</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Driven by national mandates (NSM-10, CNSA 2.0, EU and UK roadmaps).</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Automotive, IoT and space</w:t>
            </w:r>
          </w:p>
        </w:tc>
        <w:tc>
          <w:tcPr>
            <w:tcW w:type="dxa" w:w="4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Vehicles, devices and satellites operate for 15 years or more, and firmware signatures must stay trustworthy throughout.</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Early; design choices made today determine exposure in the 2040s.</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Digital assets</w:t>
            </w:r>
          </w:p>
        </w:tc>
        <w:tc>
          <w:tcPr>
            <w:tcW w:type="dxa" w:w="4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Blockchain signatures (such as ECDSA) are quantum-vulnerable, and exposed public keys can be targeted.</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Debated within crypto-asset communities; no agreed migration path.</w:t>
            </w:r>
          </w:p>
        </w:tc>
      </w:tr>
    </w:tbl>
    <w:p>
      <w:pPr>
        <w:spacing w:after="80"/>
      </w:pPr>
    </w:p>
    <w:p>
      <w:pPr>
        <w:pStyle w:val="Heading3"/>
        <w:spacing w:after="70" w:before="160"/>
      </w:pPr>
      <w:r>
        <w:rPr>
          <w:rFonts w:ascii="Calibri" w:cs="Calibri" w:eastAsia="Calibri" w:hAnsi="Calibri"/>
          <w:b/>
          <w:bCs/>
          <w:color w:val="1F2A44"/>
          <w:sz w:val="22"/>
          <w:szCs w:val="22"/>
        </w:rPr>
        <w:t xml:space="preserve">1.8 The quantum economy</w:t>
      </w:r>
    </w:p>
    <w:tbl>
      <w:tblPr>
        <w:tblW w:type="dxa" w:w="9360"/>
        <w:tblBorders>
          <w:top w:val="single" w:color="C9D3E0" w:sz="2"/>
          <w:left w:val="none"/>
          <w:bottom w:val="single" w:color="C9D3E0" w:sz="2"/>
          <w:right w:val="none"/>
          <w:insideH w:val="single" w:color="C9D3E0" w:sz="2"/>
          <w:insideV w:val="single" w:color="C9D3E0" w:sz="2"/>
        </w:tblBorders>
      </w:tblPr>
      <w:tblGrid>
        <w:gridCol w:w="3900"/>
        <w:gridCol w:w="2900"/>
        <w:gridCol w:w="2560"/>
      </w:tblGrid>
      <w:tr>
        <w:trPr>
          <w:tblHeader/>
        </w:trPr>
        <w:tc>
          <w:tcPr>
            <w:tcW w:type="dxa" w:w="3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Indicator</w:t>
            </w:r>
          </w:p>
        </w:tc>
        <w:tc>
          <w:tcPr>
            <w:tcW w:type="dxa" w:w="2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Figure</w:t>
            </w:r>
          </w:p>
        </w:tc>
        <w:tc>
          <w:tcPr>
            <w:tcW w:type="dxa" w:w="2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Source</w:t>
            </w:r>
          </w:p>
        </w:tc>
      </w:tr>
      <w:tr>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Investment in quantum start-ups, 2025</w:t>
            </w:r>
          </w:p>
        </w:tc>
        <w:tc>
          <w:tcPr>
            <w:tcW w:type="dxa" w:w="2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About $12.6 billion (roughly 6x 2024)</w:t>
            </w:r>
          </w:p>
        </w:tc>
        <w:tc>
          <w:tcPr>
            <w:tcW w:type="dxa" w:w="2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McKinsey Quantum Technology Monitor 2026</w:t>
            </w:r>
          </w:p>
        </w:tc>
      </w:tr>
      <w:tr>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Revenue of quantum computing companies, 2025</w:t>
            </w:r>
          </w:p>
        </w:tc>
        <w:tc>
          <w:tcPr>
            <w:tcW w:type="dxa" w:w="2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Over $1 billion; projected about $4.4 billion by 2028</w:t>
            </w:r>
          </w:p>
        </w:tc>
        <w:tc>
          <w:tcPr>
            <w:tcW w:type="dxa" w:w="2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McKinsey Quantum Technology Monitor 2026</w:t>
            </w:r>
          </w:p>
        </w:tc>
      </w:tr>
      <w:tr>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Potential quantum technology market</w:t>
            </w:r>
          </w:p>
        </w:tc>
        <w:tc>
          <w:tcPr>
            <w:tcW w:type="dxa" w:w="2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Around $100 billion within a decade</w:t>
            </w:r>
          </w:p>
        </w:tc>
        <w:tc>
          <w:tcPr>
            <w:tcW w:type="dxa" w:w="2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McKinsey Quantum Technology Monitor 2025</w:t>
            </w:r>
          </w:p>
        </w:tc>
      </w:tr>
      <w:tr>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Announced public investment worldwide</w:t>
            </w:r>
          </w:p>
        </w:tc>
        <w:tc>
          <w:tcPr>
            <w:tcW w:type="dxa" w:w="2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Over $39 billion (and rising)</w:t>
            </w:r>
          </w:p>
        </w:tc>
        <w:tc>
          <w:tcPr>
            <w:tcW w:type="dxa" w:w="2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Forum, Quantum Economy Blueprint (2024)</w:t>
            </w:r>
          </w:p>
        </w:tc>
      </w:tr>
      <w:tr>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public funding for quantum R&amp;D</w:t>
            </w:r>
          </w:p>
        </w:tc>
        <w:tc>
          <w:tcPr>
            <w:tcW w:type="dxa" w:w="2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Over €11 billion in the past five years</w:t>
            </w:r>
          </w:p>
        </w:tc>
        <w:tc>
          <w:tcPr>
            <w:tcW w:type="dxa" w:w="2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European Commission</w:t>
            </w:r>
          </w:p>
        </w:tc>
      </w:tr>
      <w:tr>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Companies collaborating with quantum firms</w:t>
            </w:r>
          </w:p>
        </w:tc>
        <w:tc>
          <w:tcPr>
            <w:tcW w:type="dxa" w:w="2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300+</w:t>
            </w:r>
          </w:p>
        </w:tc>
        <w:tc>
          <w:tcPr>
            <w:tcW w:type="dxa" w:w="2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McKinsey Quantum Technology Monitor 2026</w:t>
            </w:r>
          </w:p>
        </w:tc>
      </w:tr>
    </w:tbl>
    <w:p>
      <w:pPr>
        <w:spacing w:after="80"/>
      </w:pPr>
    </w:p>
    <w:p>
      <w:pPr>
        <w:spacing w:after="140" w:line="276"/>
        <w:jc w:val="both"/>
      </w:pPr>
      <w:r>
        <w:rPr>
          <w:rFonts w:ascii="Georgia" w:cs="Georgia" w:eastAsia="Georgia" w:hAnsi="Georgia"/>
          <w:b/>
          <w:bCs/>
          <w:color w:val="1A1A1A"/>
          <w:sz w:val="21"/>
          <w:szCs w:val="21"/>
        </w:rPr>
        <w:t xml:space="preserve">Where value is expected.</w:t>
      </w:r>
      <w:r>
        <w:rPr>
          <w:rFonts w:ascii="Georgia" w:cs="Georgia" w:eastAsia="Georgia" w:hAnsi="Georgia"/>
          <w:color w:val="1A1A1A"/>
          <w:sz w:val="21"/>
          <w:szCs w:val="21"/>
        </w:rPr>
        <w:t xml:space="preserve"> Computing: chemicals, materials, pharmaceuticals, finance and logistics. Communication: security for critical networks. Sensing: defence and navigation, healthcare, geoscience and infrastructure monitoring. The Forum’s 2025 manufacturing paper documents early industrial cases (Part II, §2.1). The binding constraints are talent (a well-documented shortage of quantum engineers and ‘quantum-literate’ professionals), access to hardware, and the long time to value.</w:t>
      </w:r>
    </w:p>
    <w:p>
      <w:pPr>
        <w:pStyle w:val="Heading3"/>
        <w:spacing w:after="70" w:before="160"/>
      </w:pPr>
      <w:r>
        <w:rPr>
          <w:rFonts w:ascii="Calibri" w:cs="Calibri" w:eastAsia="Calibri" w:hAnsi="Calibri"/>
          <w:b/>
          <w:bCs/>
          <w:color w:val="1F2A44"/>
          <w:sz w:val="22"/>
          <w:szCs w:val="22"/>
        </w:rPr>
        <w:t xml:space="preserve">1.9 National strategies and geopolitics</w:t>
      </w:r>
    </w:p>
    <w:tbl>
      <w:tblPr>
        <w:tblW w:type="dxa" w:w="9360"/>
        <w:tblBorders>
          <w:top w:val="single" w:color="C9D3E0" w:sz="2"/>
          <w:left w:val="none"/>
          <w:bottom w:val="single" w:color="C9D3E0" w:sz="2"/>
          <w:right w:val="none"/>
          <w:insideH w:val="single" w:color="C9D3E0" w:sz="2"/>
          <w:insideV w:val="single" w:color="C9D3E0" w:sz="2"/>
        </w:tblBorders>
      </w:tblPr>
      <w:tblGrid>
        <w:gridCol w:w="2200"/>
        <w:gridCol w:w="7160"/>
      </w:tblGrid>
      <w:tr>
        <w:trPr>
          <w:tblHeader/>
        </w:trPr>
        <w:tc>
          <w:tcPr>
            <w:tcW w:type="dxa" w:w="2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Country or bloc</w:t>
            </w:r>
          </w:p>
        </w:tc>
        <w:tc>
          <w:tcPr>
            <w:tcW w:type="dxa" w:w="7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Strategy and posture</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States</w:t>
            </w:r>
          </w:p>
        </w:tc>
        <w:tc>
          <w:tcPr>
            <w:tcW w:type="dxa" w:w="7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National Quantum Initiative Act (2018) coordinating federal R&amp;D; DARPA’s Quantum Benchmarking Initiative testing whether utility-scale machines are feasible; export controls on quantum items introduced in September 2024.</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European Union</w:t>
            </w:r>
          </w:p>
        </w:tc>
        <w:tc>
          <w:tcPr>
            <w:tcW w:type="dxa" w:w="7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Flagship (2018, €1 billion); Quantum Europe Strategy (July 2025) aiming for global leadership by 2030; a European Quantum Act expected in 2026 covering research, industrial capacity (pilot lines, design facilities) and supply-chain resilience and governance; quantum computers integrated into EuroHPC; EuroQCI for secure communication.</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Kingdom</w:t>
            </w:r>
          </w:p>
        </w:tc>
        <w:tc>
          <w:tcPr>
            <w:tcW w:type="dxa" w:w="7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National Quantum Strategy (2023) committing £2.5 billion over ten years, with time-bound quantum missions.</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China</w:t>
            </w:r>
          </w:p>
        </w:tc>
        <w:tc>
          <w:tcPr>
            <w:tcW w:type="dxa" w:w="7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Sustained state investment; world lead in deployed QKD networks; strong programmes in superconducting and photonic computing; its own cryptographic standards.</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India</w:t>
            </w:r>
          </w:p>
        </w:tc>
        <w:tc>
          <w:tcPr>
            <w:tcW w:type="dxa" w:w="7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National Quantum Mission (2023), about ₹6,000 crore to 2031.</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Gulf states</w:t>
            </w:r>
          </w:p>
        </w:tc>
        <w:tc>
          <w:tcPr>
            <w:tcW w:type="dxa" w:w="7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UAE through the Technology Innovation Institute (host of the new Abu Dhabi Centre for Frontier Technologies); Saudi Arabia piloting the Forum’s Quantum Economy Blueprint with C4IR Saudi Arabia.</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Others</w:t>
            </w:r>
          </w:p>
        </w:tc>
        <w:tc>
          <w:tcPr>
            <w:tcW w:type="dxa" w:w="7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Japan, South Korea, Canada, Australia (including a major public investment in PsiQuantum), Singapore, the Netherlands, Germany and France all have national programmes.</w:t>
            </w:r>
          </w:p>
        </w:tc>
      </w:tr>
    </w:tbl>
    <w:p>
      <w:pPr>
        <w:spacing w:after="80"/>
      </w:pPr>
    </w:p>
    <w:p>
      <w:pPr>
        <w:spacing w:after="140" w:line="276"/>
        <w:jc w:val="both"/>
      </w:pPr>
      <w:r>
        <w:rPr>
          <w:rFonts w:ascii="Georgia" w:cs="Georgia" w:eastAsia="Georgia" w:hAnsi="Georgia"/>
          <w:b/>
          <w:bCs/>
          <w:color w:val="1A1A1A"/>
          <w:sz w:val="21"/>
          <w:szCs w:val="21"/>
        </w:rPr>
        <w:t xml:space="preserve">The geopolitical dynamics to name:</w:t>
      </w:r>
      <w:r>
        <w:rPr>
          <w:rFonts w:ascii="Georgia" w:cs="Georgia" w:eastAsia="Georgia" w:hAnsi="Georgia"/>
          <w:color w:val="1A1A1A"/>
          <w:sz w:val="21"/>
          <w:szCs w:val="21"/>
        </w:rPr>
        <w:t xml:space="preserve"> quantum is treated as a strategic technology, so research security, export controls and investment screening sit alongside industrial policy; allied export-control regimes are not fully aligned; and a </w:t>
      </w:r>
      <w:r>
        <w:rPr>
          <w:rFonts w:ascii="Georgia" w:cs="Georgia" w:eastAsia="Georgia" w:hAnsi="Georgia"/>
          <w:b/>
          <w:bCs/>
          <w:color w:val="1A1A1A"/>
          <w:sz w:val="21"/>
          <w:szCs w:val="21"/>
        </w:rPr>
        <w:t xml:space="preserve">quantum divide</w:t>
      </w:r>
      <w:r>
        <w:rPr>
          <w:rFonts w:ascii="Georgia" w:cs="Georgia" w:eastAsia="Georgia" w:hAnsi="Georgia"/>
          <w:color w:val="1A1A1A"/>
          <w:sz w:val="21"/>
          <w:szCs w:val="21"/>
        </w:rPr>
        <w:t xml:space="preserve"> is opening between the few countries with full-stack capability and the many without, which the Forum’s Blueprint was designed to address. The United Nations designated 2025 the International Year of Quantum Science and Technology, marking a century since the foundations of quantum mechanics.</w:t>
      </w:r>
    </w:p>
    <w:p>
      <w:pPr>
        <w:pStyle w:val="Heading3"/>
        <w:spacing w:after="70" w:before="160"/>
      </w:pPr>
      <w:r>
        <w:rPr>
          <w:rFonts w:ascii="Calibri" w:cs="Calibri" w:eastAsia="Calibri" w:hAnsi="Calibri"/>
          <w:b/>
          <w:bCs/>
          <w:color w:val="1F2A44"/>
          <w:sz w:val="22"/>
          <w:szCs w:val="22"/>
        </w:rPr>
        <w:t xml:space="preserve">1.10 The governance issue map for quantum</w:t>
      </w:r>
    </w:p>
    <w:p>
      <w:pPr>
        <w:spacing w:after="140" w:line="276"/>
        <w:jc w:val="both"/>
      </w:pPr>
      <w:r>
        <w:rPr>
          <w:rFonts w:ascii="Georgia" w:cs="Georgia" w:eastAsia="Georgia" w:hAnsi="Georgia"/>
          <w:color w:val="1A1A1A"/>
          <w:sz w:val="21"/>
          <w:szCs w:val="21"/>
        </w:rPr>
        <w:t xml:space="preserve">This is the synthesis an expert carries: the live governance issues, who is already working on them, and where the gaps are. It is the natural starting agenda for a GRIP collaboration with the quantum team.</w:t>
      </w:r>
    </w:p>
    <w:tbl>
      <w:tblPr>
        <w:tblW w:type="dxa" w:w="9360"/>
        <w:tblBorders>
          <w:top w:val="single" w:color="C9D3E0" w:sz="2"/>
          <w:left w:val="none"/>
          <w:bottom w:val="single" w:color="C9D3E0" w:sz="2"/>
          <w:right w:val="none"/>
          <w:insideH w:val="single" w:color="C9D3E0" w:sz="2"/>
          <w:insideV w:val="single" w:color="C9D3E0" w:sz="2"/>
        </w:tblBorders>
      </w:tblPr>
      <w:tblGrid>
        <w:gridCol w:w="1800"/>
        <w:gridCol w:w="2600"/>
        <w:gridCol w:w="2300"/>
        <w:gridCol w:w="2660"/>
      </w:tblGrid>
      <w:tr>
        <w:trPr>
          <w:tblHeader/>
        </w:trPr>
        <w:tc>
          <w:tcPr>
            <w:tcW w:type="dxa" w:w="18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Issue</w:t>
            </w:r>
          </w:p>
        </w:tc>
        <w:tc>
          <w:tcPr>
            <w:tcW w:type="dxa" w:w="26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is at stake</w:t>
            </w:r>
          </w:p>
        </w:tc>
        <w:tc>
          <w:tcPr>
            <w:tcW w:type="dxa" w:w="2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Who is active</w:t>
            </w:r>
          </w:p>
        </w:tc>
        <w:tc>
          <w:tcPr>
            <w:tcW w:type="dxa" w:w="26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Where the gap is</w:t>
            </w:r>
          </w:p>
        </w:tc>
      </w:tr>
      <w:tr>
        <w:tc>
          <w:tcPr>
            <w:tcW w:type="dxa" w:w="1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Security transition (PQC migration)</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Confidentiality and trust in every digital system; hard deadlines to 2035.</w:t>
            </w:r>
          </w:p>
        </w:tc>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NIST, cybersecurity agencies, EU member states, financial regulators; Forum work with the UK FCA (finance).</w:t>
            </w:r>
          </w:p>
        </w:tc>
        <w:tc>
          <w:tcPr>
            <w:tcW w:type="dxa" w:w="26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Coherence across jurisdictions; sectors beyond finance; supply-chain and SME readiness; capacity in the Global South.</w:t>
            </w:r>
          </w:p>
        </w:tc>
      </w:tr>
      <w:tr>
        <w:tc>
          <w:tcPr>
            <w:tcW w:type="dxa" w:w="1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Dual use and export controls</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Security versus open science and talent mobility.</w:t>
            </w:r>
          </w:p>
        </w:tc>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Export-control authorities; research-security offices.</w:t>
            </w:r>
          </w:p>
        </w:tc>
        <w:tc>
          <w:tcPr>
            <w:tcW w:type="dxa" w:w="26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Structured dialogue between security and innovation communities; allied alignment.</w:t>
            </w:r>
          </w:p>
        </w:tc>
      </w:tr>
      <w:tr>
        <w:tc>
          <w:tcPr>
            <w:tcW w:type="dxa" w:w="1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Claims integrity and benchmarking</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Hype distorts investment and public procurement.</w:t>
            </w:r>
          </w:p>
        </w:tc>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DARPA benchmarking; standards bodies.</w:t>
            </w:r>
          </w:p>
        </w:tc>
        <w:tc>
          <w:tcPr>
            <w:tcW w:type="dxa" w:w="26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Shared, trusted benchmarks that governments and investors can use.</w:t>
            </w:r>
          </w:p>
        </w:tc>
      </w:tr>
      <w:tr>
        <w:tc>
          <w:tcPr>
            <w:tcW w:type="dxa" w:w="1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Access and the quantum divide</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Concentration of capability in a few states and firms.</w:t>
            </w:r>
          </w:p>
        </w:tc>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Forum Quantum Economy Blueprint; cloud access providers.</w:t>
            </w:r>
          </w:p>
        </w:tc>
        <w:tc>
          <w:tcPr>
            <w:tcW w:type="dxa" w:w="26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Implementation support for countries adopting strategies.</w:t>
            </w:r>
          </w:p>
        </w:tc>
      </w:tr>
      <w:tr>
        <w:tc>
          <w:tcPr>
            <w:tcW w:type="dxa" w:w="1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Interoperable protocols; certification of QKD and PQC products; hardware metrics.</w:t>
            </w:r>
          </w:p>
        </w:tc>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NIST, ISO/IEC JTC 3, ETSI, IETF.</w:t>
            </w:r>
          </w:p>
        </w:tc>
        <w:tc>
          <w:tcPr>
            <w:tcW w:type="dxa" w:w="26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Coordination between standards bodies and regulators.</w:t>
            </w:r>
          </w:p>
        </w:tc>
      </w:tr>
      <w:tr>
        <w:tc>
          <w:tcPr>
            <w:tcW w:type="dxa" w:w="1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Responsible use of quantum computing</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Future applications in drug design, finance, defence.</w:t>
            </w:r>
          </w:p>
        </w:tc>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Forum Quantum Computing Governance Principles (2022).</w:t>
            </w:r>
          </w:p>
        </w:tc>
        <w:tc>
          <w:tcPr>
            <w:tcW w:type="dxa" w:w="26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Turning principles into practice as applications arrive.</w:t>
            </w:r>
          </w:p>
        </w:tc>
      </w:tr>
      <w:tr>
        <w:tc>
          <w:tcPr>
            <w:tcW w:type="dxa" w:w="1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sensing</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Privacy, surveillance and defence uses; near-term market.</w:t>
            </w:r>
          </w:p>
        </w:tc>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Largely defence ministries.</w:t>
            </w:r>
          </w:p>
        </w:tc>
        <w:tc>
          <w:tcPr>
            <w:tcW w:type="dxa" w:w="26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Almost no civilian governance framework yet: a clear case for anticipatory work.</w:t>
            </w:r>
          </w:p>
        </w:tc>
      </w:tr>
      <w:tr>
        <w:tc>
          <w:tcPr>
            <w:tcW w:type="dxa" w:w="1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Talent and supply chain</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Skills shortages; chokepoints in cryogenics and components.</w:t>
            </w:r>
          </w:p>
        </w:tc>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National strategies; EU Quantum Act.</w:t>
            </w:r>
          </w:p>
        </w:tc>
        <w:tc>
          <w:tcPr>
            <w:tcW w:type="dxa" w:w="26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International cooperation on skills and supply resilience.</w:t>
            </w:r>
          </w:p>
        </w:tc>
      </w:tr>
    </w:tbl>
    <w:p>
      <w:pPr>
        <w:spacing w:after="80"/>
      </w:pPr>
    </w:p>
    <w:p>
      <w:pPr>
        <w:pStyle w:val="Heading3"/>
        <w:spacing w:after="70" w:before="160"/>
      </w:pPr>
      <w:r>
        <w:rPr>
          <w:rFonts w:ascii="Calibri" w:cs="Calibri" w:eastAsia="Calibri" w:hAnsi="Calibri"/>
          <w:b/>
          <w:bCs/>
          <w:color w:val="1F2A44"/>
          <w:sz w:val="22"/>
          <w:szCs w:val="22"/>
        </w:rPr>
        <w:t xml:space="preserve">1.11 The live debates among quantum experts</w:t>
      </w:r>
    </w:p>
    <w:p>
      <w:pPr>
        <w:spacing w:after="140" w:line="276"/>
        <w:jc w:val="both"/>
      </w:pPr>
      <w:r>
        <w:rPr>
          <w:rFonts w:ascii="Georgia" w:cs="Georgia" w:eastAsia="Georgia" w:hAnsi="Georgia"/>
          <w:color w:val="1A1A1A"/>
          <w:sz w:val="21"/>
          <w:szCs w:val="21"/>
        </w:rPr>
        <w:t xml:space="preserve">Knowing where experts disagree is what separates fluency from familiarity. These are the debates you are most likely to hear from the quantum team and its community.</w:t>
      </w:r>
    </w:p>
    <w:p>
      <w:pPr>
        <w:pStyle w:val="ListParagraph"/>
        <w:numPr>
          <w:ilvl w:val="0"/>
          <w:numId w:val="1"/>
        </w:numPr>
        <w:spacing w:after="70" w:line="268"/>
      </w:pPr>
      <w:r>
        <w:rPr>
          <w:rFonts w:ascii="Georgia" w:cs="Georgia" w:eastAsia="Georgia" w:hAnsi="Georgia"/>
          <w:b/>
          <w:bCs/>
          <w:color w:val="1A1A1A"/>
          <w:sz w:val="21"/>
          <w:szCs w:val="21"/>
        </w:rPr>
        <w:t xml:space="preserve">How soon?</w:t>
      </w:r>
      <w:r>
        <w:rPr>
          <w:rFonts w:ascii="Georgia" w:cs="Georgia" w:eastAsia="Georgia" w:hAnsi="Georgia"/>
          <w:color w:val="1A1A1A"/>
          <w:sz w:val="21"/>
          <w:szCs w:val="21"/>
        </w:rPr>
        <w:t xml:space="preserve"> Optimists point to published hardware roadmaps and falling resource estimates and expect early fault-tolerant machines around 2029–2033. Sceptics stress the engineering challenge of scaling (wiring, cooling, control, manufacturing yield) and argue commercially useful advantage may take much longer. The governance consequence is that security preparation cannot wait for the debate to be settled (Mosca’s theorem), while investment and industrial policy should be robust to either outcome.</w:t>
      </w:r>
    </w:p>
    <w:p>
      <w:pPr>
        <w:pStyle w:val="ListParagraph"/>
        <w:numPr>
          <w:ilvl w:val="0"/>
          <w:numId w:val="1"/>
        </w:numPr>
        <w:spacing w:after="70" w:line="268"/>
      </w:pPr>
      <w:r>
        <w:rPr>
          <w:rFonts w:ascii="Georgia" w:cs="Georgia" w:eastAsia="Georgia" w:hAnsi="Georgia"/>
          <w:b/>
          <w:bCs/>
          <w:color w:val="1A1A1A"/>
          <w:sz w:val="21"/>
          <w:szCs w:val="21"/>
        </w:rPr>
        <w:t xml:space="preserve">Hybrid or pure post-quantum cryptography?</w:t>
      </w:r>
      <w:r>
        <w:rPr>
          <w:rFonts w:ascii="Georgia" w:cs="Georgia" w:eastAsia="Georgia" w:hAnsi="Georgia"/>
          <w:color w:val="1A1A1A"/>
          <w:sz w:val="21"/>
          <w:szCs w:val="21"/>
        </w:rPr>
        <w:t xml:space="preserve"> France’s ANSSI and Germany’s BSI recommend hybrid schemes during the transition, as a hedge against weaknesses in new algorithms; the US NSA does not require hybrid for national security systems. Multinationals have to reconcile both positions.</w:t>
      </w:r>
    </w:p>
    <w:p>
      <w:pPr>
        <w:pStyle w:val="ListParagraph"/>
        <w:numPr>
          <w:ilvl w:val="0"/>
          <w:numId w:val="1"/>
        </w:numPr>
        <w:spacing w:after="70" w:line="268"/>
      </w:pPr>
      <w:r>
        <w:rPr>
          <w:rFonts w:ascii="Georgia" w:cs="Georgia" w:eastAsia="Georgia" w:hAnsi="Georgia"/>
          <w:b/>
          <w:bCs/>
          <w:color w:val="1A1A1A"/>
          <w:sz w:val="21"/>
          <w:szCs w:val="21"/>
        </w:rPr>
        <w:t xml:space="preserve">QKD or PQC?</w:t>
      </w:r>
      <w:r>
        <w:rPr>
          <w:rFonts w:ascii="Georgia" w:cs="Georgia" w:eastAsia="Georgia" w:hAnsi="Georgia"/>
          <w:color w:val="1A1A1A"/>
          <w:sz w:val="21"/>
          <w:szCs w:val="21"/>
        </w:rPr>
        <w:t xml:space="preserve"> Covered in §1.5: several Western agencies prefer PQC; China and parts of the EU invest heavily in QKD infrastructure.</w:t>
      </w:r>
    </w:p>
    <w:p>
      <w:pPr>
        <w:pStyle w:val="ListParagraph"/>
        <w:numPr>
          <w:ilvl w:val="0"/>
          <w:numId w:val="1"/>
        </w:numPr>
        <w:spacing w:after="70" w:line="268"/>
      </w:pPr>
      <w:r>
        <w:rPr>
          <w:rFonts w:ascii="Georgia" w:cs="Georgia" w:eastAsia="Georgia" w:hAnsi="Georgia"/>
          <w:b/>
          <w:bCs/>
          <w:color w:val="1A1A1A"/>
          <w:sz w:val="21"/>
          <w:szCs w:val="21"/>
        </w:rPr>
        <w:t xml:space="preserve">Should quantum computing itself be regulated?</w:t>
      </w:r>
      <w:r>
        <w:rPr>
          <w:rFonts w:ascii="Georgia" w:cs="Georgia" w:eastAsia="Georgia" w:hAnsi="Georgia"/>
          <w:color w:val="1A1A1A"/>
          <w:sz w:val="21"/>
          <w:szCs w:val="21"/>
        </w:rPr>
        <w:t xml:space="preserve"> The dominant view is to govern </w:t>
      </w:r>
      <w:r>
        <w:rPr>
          <w:rFonts w:ascii="Georgia" w:cs="Georgia" w:eastAsia="Georgia" w:hAnsi="Georgia"/>
          <w:i/>
          <w:iCs/>
          <w:color w:val="1A1A1A"/>
          <w:sz w:val="21"/>
          <w:szCs w:val="21"/>
        </w:rPr>
        <w:t xml:space="preserve">uses</w:t>
      </w:r>
      <w:r>
        <w:rPr>
          <w:rFonts w:ascii="Georgia" w:cs="Georgia" w:eastAsia="Georgia" w:hAnsi="Georgia"/>
          <w:color w:val="1A1A1A"/>
          <w:sz w:val="21"/>
          <w:szCs w:val="21"/>
        </w:rPr>
        <w:t xml:space="preserve"> (and the security transition) rather than the technology, with export controls as the main exception. Early principles (such as the Forum’s 2022 Governance Principles) are seen as the right instrument at this stage.</w:t>
      </w:r>
    </w:p>
    <w:p>
      <w:pPr>
        <w:pStyle w:val="ListParagraph"/>
        <w:numPr>
          <w:ilvl w:val="0"/>
          <w:numId w:val="1"/>
        </w:numPr>
        <w:spacing w:after="70" w:line="268"/>
      </w:pPr>
      <w:r>
        <w:rPr>
          <w:rFonts w:ascii="Georgia" w:cs="Georgia" w:eastAsia="Georgia" w:hAnsi="Georgia"/>
          <w:b/>
          <w:bCs/>
          <w:color w:val="1A1A1A"/>
          <w:sz w:val="21"/>
          <w:szCs w:val="21"/>
        </w:rPr>
        <w:t xml:space="preserve">Openness versus security.</w:t>
      </w:r>
      <w:r>
        <w:rPr>
          <w:rFonts w:ascii="Georgia" w:cs="Georgia" w:eastAsia="Georgia" w:hAnsi="Georgia"/>
          <w:color w:val="1A1A1A"/>
          <w:sz w:val="21"/>
          <w:szCs w:val="21"/>
        </w:rPr>
        <w:t xml:space="preserve"> Open-source software (such as IBM’s Qiskit) and cloud access have democratised quantum research, while export controls and research-security rules pull in the other direction.</w:t>
      </w:r>
    </w:p>
    <w:p>
      <w:pPr>
        <w:pStyle w:val="ListParagraph"/>
        <w:numPr>
          <w:ilvl w:val="0"/>
          <w:numId w:val="1"/>
        </w:numPr>
        <w:spacing w:after="70" w:line="268"/>
      </w:pPr>
      <w:r>
        <w:rPr>
          <w:rFonts w:ascii="Georgia" w:cs="Georgia" w:eastAsia="Georgia" w:hAnsi="Georgia"/>
          <w:b/>
          <w:bCs/>
          <w:color w:val="1A1A1A"/>
          <w:sz w:val="21"/>
          <w:szCs w:val="21"/>
        </w:rPr>
        <w:t xml:space="preserve">Claims and credibility.</w:t>
      </w:r>
      <w:r>
        <w:rPr>
          <w:rFonts w:ascii="Georgia" w:cs="Georgia" w:eastAsia="Georgia" w:hAnsi="Georgia"/>
          <w:color w:val="1A1A1A"/>
          <w:sz w:val="21"/>
          <w:szCs w:val="21"/>
        </w:rPr>
        <w:t xml:space="preserve"> Each new ‘advantage’ claim is scrutinised by classical-algorithm researchers; experts are wary of hype damaging public and investor trust, as happened with earlier technology cycles.</w:t>
      </w:r>
    </w:p>
    <w:p>
      <w:pPr>
        <w:pStyle w:val="ListParagraph"/>
        <w:numPr>
          <w:ilvl w:val="0"/>
          <w:numId w:val="1"/>
        </w:numPr>
        <w:spacing w:after="70" w:line="268"/>
      </w:pPr>
      <w:r>
        <w:rPr>
          <w:rFonts w:ascii="Georgia" w:cs="Georgia" w:eastAsia="Georgia" w:hAnsi="Georgia"/>
          <w:b/>
          <w:bCs/>
          <w:color w:val="1A1A1A"/>
          <w:sz w:val="21"/>
          <w:szCs w:val="21"/>
        </w:rPr>
        <w:t xml:space="preserve">National champions or global ecosystem?</w:t>
      </w:r>
      <w:r>
        <w:rPr>
          <w:rFonts w:ascii="Georgia" w:cs="Georgia" w:eastAsia="Georgia" w:hAnsi="Georgia"/>
          <w:color w:val="1A1A1A"/>
          <w:sz w:val="21"/>
          <w:szCs w:val="21"/>
        </w:rPr>
        <w:t xml:space="preserve"> Strategies increasingly emphasise sovereignty and domestic supply chains, while the science remains deeply international; the quantum divide is the equity dimension of this tension.</w:t>
      </w:r>
    </w:p>
    <w:p>
      <w:r>
        <w:br w:type="page"/>
      </w:r>
    </w:p>
    <w:p>
      <w:pPr>
        <w:pStyle w:val="Heading2"/>
        <w:spacing w:after="100" w:before="220"/>
      </w:pPr>
      <w:r>
        <w:rPr>
          <w:rFonts w:ascii="Calibri" w:cs="Calibri" w:eastAsia="Calibri" w:hAnsi="Calibri"/>
          <w:b/>
          <w:bCs/>
          <w:color w:val="2F5D8A"/>
          <w:sz w:val="25"/>
          <w:szCs w:val="25"/>
        </w:rPr>
        <w:t xml:space="preserve">2. Autonomous mobility and robotics</w:t>
      </w:r>
    </w:p>
    <w:p>
      <w:pPr>
        <w:spacing w:after="140" w:line="276"/>
        <w:jc w:val="both"/>
      </w:pPr>
      <w:r>
        <w:rPr>
          <w:rFonts w:ascii="Georgia" w:cs="Georgia" w:eastAsia="Georgia" w:hAnsi="Georgia"/>
          <w:color w:val="1A1A1A"/>
          <w:sz w:val="21"/>
          <w:szCs w:val="21"/>
        </w:rPr>
        <w:t xml:space="preserve">This domain covers machines that perceive their surroundings and act in the physical world with limited or no human control: automated and autonomous vehicles (cars, robotaxis, trucks, delivery robots), drones and air mobility, and robots (industrial, collaborative, mobile and humanoid). The unifying governance feature is that software decisions have immediate physical consequences in spaces shared with people. The unifying technology trend is </w:t>
      </w:r>
      <w:r>
        <w:rPr>
          <w:rFonts w:ascii="Georgia" w:cs="Georgia" w:eastAsia="Georgia" w:hAnsi="Georgia"/>
          <w:b/>
          <w:bCs/>
          <w:color w:val="1A1A1A"/>
          <w:sz w:val="21"/>
          <w:szCs w:val="21"/>
        </w:rPr>
        <w:t xml:space="preserve">physical AI</w:t>
      </w:r>
      <w:r>
        <w:rPr>
          <w:rFonts w:ascii="Georgia" w:cs="Georgia" w:eastAsia="Georgia" w:hAnsi="Georgia"/>
          <w:color w:val="1A1A1A"/>
          <w:sz w:val="21"/>
          <w:szCs w:val="21"/>
        </w:rPr>
        <w:t xml:space="preserve">: applying modern AI to machines that act in the physical world.</w:t>
      </w:r>
    </w:p>
    <w:p>
      <w:pPr>
        <w:pStyle w:val="Heading3"/>
        <w:spacing w:after="70" w:before="160"/>
      </w:pPr>
      <w:r>
        <w:rPr>
          <w:rFonts w:ascii="Calibri" w:cs="Calibri" w:eastAsia="Calibri" w:hAnsi="Calibri"/>
          <w:b/>
          <w:bCs/>
          <w:color w:val="1F2A44"/>
          <w:sz w:val="22"/>
          <w:szCs w:val="22"/>
        </w:rPr>
        <w:t xml:space="preserve">2.1 How autonomy works</w:t>
      </w:r>
    </w:p>
    <w:p>
      <w:pPr>
        <w:spacing w:after="140" w:line="276"/>
        <w:jc w:val="both"/>
      </w:pPr>
      <w:r>
        <w:rPr>
          <w:rFonts w:ascii="Georgia" w:cs="Georgia" w:eastAsia="Georgia" w:hAnsi="Georgia"/>
          <w:color w:val="1A1A1A"/>
          <w:sz w:val="21"/>
          <w:szCs w:val="21"/>
        </w:rPr>
        <w:t xml:space="preserve">Every autonomous system runs a continuous loop: </w:t>
      </w:r>
      <w:r>
        <w:rPr>
          <w:rFonts w:ascii="Georgia" w:cs="Georgia" w:eastAsia="Georgia" w:hAnsi="Georgia"/>
          <w:b/>
          <w:bCs/>
          <w:color w:val="1A1A1A"/>
          <w:sz w:val="21"/>
          <w:szCs w:val="21"/>
        </w:rPr>
        <w:t xml:space="preserve">sense, plan, act</w:t>
      </w:r>
      <w:r>
        <w:rPr>
          <w:rFonts w:ascii="Georgia" w:cs="Georgia" w:eastAsia="Georgia" w:hAnsi="Georgia"/>
          <w:color w:val="1A1A1A"/>
          <w:sz w:val="21"/>
          <w:szCs w:val="21"/>
        </w:rPr>
        <w:t xml:space="preserve">. For a self-driving vehicle, that loop is usually broken into five functions.</w:t>
      </w:r>
    </w:p>
    <w:tbl>
      <w:tblPr>
        <w:tblW w:type="dxa" w:w="9360"/>
        <w:tblBorders>
          <w:top w:val="single" w:color="C9D3E0" w:sz="2"/>
          <w:left w:val="none"/>
          <w:bottom w:val="single" w:color="C9D3E0" w:sz="2"/>
          <w:right w:val="none"/>
          <w:insideH w:val="single" w:color="C9D3E0" w:sz="2"/>
          <w:insideV w:val="single" w:color="C9D3E0" w:sz="2"/>
        </w:tblBorders>
      </w:tblPr>
      <w:tblGrid>
        <w:gridCol w:w="1800"/>
        <w:gridCol w:w="3700"/>
        <w:gridCol w:w="3860"/>
      </w:tblGrid>
      <w:tr>
        <w:trPr>
          <w:tblHeader/>
        </w:trPr>
        <w:tc>
          <w:tcPr>
            <w:tcW w:type="dxa" w:w="18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Function</w:t>
            </w:r>
          </w:p>
        </w:tc>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does</w:t>
            </w:r>
          </w:p>
        </w:tc>
        <w:tc>
          <w:tcPr>
            <w:tcW w:type="dxa" w:w="38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Key technologies</w:t>
            </w:r>
          </w:p>
        </w:tc>
      </w:tr>
      <w:tr>
        <w:tc>
          <w:tcPr>
            <w:tcW w:type="dxa" w:w="1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Perception</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Detects and classifies everything around the vehicle: lanes, vehicles, pedestrians, signs, obstacles.</w:t>
            </w:r>
          </w:p>
        </w:tc>
        <w:tc>
          <w:tcPr>
            <w:tcW w:type="dxa" w:w="3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Cameras, radar, lidar and ultrasonic sensors, combined by sensor fusion and interpreted by machine-learning models.</w:t>
            </w:r>
          </w:p>
        </w:tc>
      </w:tr>
      <w:tr>
        <w:tc>
          <w:tcPr>
            <w:tcW w:type="dxa" w:w="1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Localisation</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Establishes precisely where the vehicle is.</w:t>
            </w:r>
          </w:p>
        </w:tc>
        <w:tc>
          <w:tcPr>
            <w:tcW w:type="dxa" w:w="3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High-definition maps, satellite positioning, inertial measurement units, matching sensor data against maps.</w:t>
            </w:r>
          </w:p>
        </w:tc>
      </w:tr>
      <w:tr>
        <w:tc>
          <w:tcPr>
            <w:tcW w:type="dxa" w:w="1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Prediction</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Forecasts what other road users will do next.</w:t>
            </w:r>
          </w:p>
        </w:tc>
        <w:tc>
          <w:tcPr>
            <w:tcW w:type="dxa" w:w="3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Machine-learning models trained on large volumes of driving data.</w:t>
            </w:r>
          </w:p>
        </w:tc>
      </w:tr>
      <w:tr>
        <w:tc>
          <w:tcPr>
            <w:tcW w:type="dxa" w:w="1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Planning</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Chooses a safe, legal and comfortable path and behaviour.</w:t>
            </w:r>
          </w:p>
        </w:tc>
        <w:tc>
          <w:tcPr>
            <w:tcW w:type="dxa" w:w="3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Planning algorithms, increasingly learned rather than hand-coded.</w:t>
            </w:r>
          </w:p>
        </w:tc>
      </w:tr>
      <w:tr>
        <w:tc>
          <w:tcPr>
            <w:tcW w:type="dxa" w:w="1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Control</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Turns the plan into steering, acceleration and braking.</w:t>
            </w:r>
          </w:p>
        </w:tc>
        <w:tc>
          <w:tcPr>
            <w:tcW w:type="dxa" w:w="3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Actuators and drive-by-wire systems with redundant safety layers.</w:t>
            </w:r>
          </w:p>
        </w:tc>
      </w:tr>
    </w:tbl>
    <w:p>
      <w:pPr>
        <w:spacing w:after="80"/>
      </w:pPr>
    </w:p>
    <w:p>
      <w:pPr>
        <w:spacing w:after="140" w:line="276"/>
        <w:jc w:val="both"/>
      </w:pPr>
      <w:r>
        <w:rPr>
          <w:rFonts w:ascii="Georgia" w:cs="Georgia" w:eastAsia="Georgia" w:hAnsi="Georgia"/>
          <w:b/>
          <w:bCs/>
          <w:color w:val="1A1A1A"/>
          <w:sz w:val="21"/>
          <w:szCs w:val="21"/>
        </w:rPr>
        <w:t xml:space="preserve">Sensors and their trade-offs.</w:t>
      </w:r>
      <w:r>
        <w:rPr>
          <w:rFonts w:ascii="Georgia" w:cs="Georgia" w:eastAsia="Georgia" w:hAnsi="Georgia"/>
          <w:color w:val="1A1A1A"/>
          <w:sz w:val="21"/>
          <w:szCs w:val="21"/>
        </w:rPr>
        <w:t xml:space="preserve"> Cameras are cheap and rich in information but struggle in glare and darkness. Radar measures distance and speed reliably in bad weather but with low resolution. Lidar produces precise 3D maps with lasers but has historically been expensive. Most driverless operators combine all three for redundancy; Tesla is the notable exception, relying on cameras alone.</w:t>
      </w:r>
    </w:p>
    <w:p>
      <w:pPr>
        <w:spacing w:after="140" w:line="276"/>
        <w:jc w:val="both"/>
      </w:pPr>
      <w:r>
        <w:rPr>
          <w:rFonts w:ascii="Georgia" w:cs="Georgia" w:eastAsia="Georgia" w:hAnsi="Georgia"/>
          <w:b/>
          <w:bCs/>
          <w:color w:val="1A1A1A"/>
          <w:sz w:val="21"/>
          <w:szCs w:val="21"/>
        </w:rPr>
        <w:t xml:space="preserve">Two architectures.</w:t>
      </w:r>
      <w:r>
        <w:rPr>
          <w:rFonts w:ascii="Georgia" w:cs="Georgia" w:eastAsia="Georgia" w:hAnsi="Georgia"/>
          <w:color w:val="1A1A1A"/>
          <w:sz w:val="21"/>
          <w:szCs w:val="21"/>
        </w:rPr>
        <w:t xml:space="preserve"> The traditional ‘modular’ stack builds each function separately, which makes testing and explanation easier. The newer ‘end-to-end’ approach trains one large neural network to map sensor inputs directly to driving actions, sometimes using ‘world models’ that predict how a scene will evolve. End-to-end systems can handle messy situations better but are harder to validate and explain, which matters to regulators.</w:t>
      </w:r>
    </w:p>
    <w:p>
      <w:pPr>
        <w:spacing w:after="140" w:line="276"/>
        <w:jc w:val="both"/>
      </w:pPr>
      <w:r>
        <w:rPr>
          <w:rFonts w:ascii="Georgia" w:cs="Georgia" w:eastAsia="Georgia" w:hAnsi="Georgia"/>
          <w:b/>
          <w:bCs/>
          <w:color w:val="1A1A1A"/>
          <w:sz w:val="21"/>
          <w:szCs w:val="21"/>
        </w:rPr>
        <w:t xml:space="preserve">Testing and support.</w:t>
      </w:r>
      <w:r>
        <w:rPr>
          <w:rFonts w:ascii="Georgia" w:cs="Georgia" w:eastAsia="Georgia" w:hAnsi="Georgia"/>
          <w:color w:val="1A1A1A"/>
          <w:sz w:val="21"/>
          <w:szCs w:val="21"/>
        </w:rPr>
        <w:t xml:space="preserve"> Developers rely heavily on simulation and scenario-based testing to rehearse rare events safely. Driverless fleets are also supported by </w:t>
      </w:r>
      <w:r>
        <w:rPr>
          <w:rFonts w:ascii="Georgia" w:cs="Georgia" w:eastAsia="Georgia" w:hAnsi="Georgia"/>
          <w:b/>
          <w:bCs/>
          <w:color w:val="1A1A1A"/>
          <w:sz w:val="21"/>
          <w:szCs w:val="21"/>
        </w:rPr>
        <w:t xml:space="preserve">remote assistance</w:t>
      </w:r>
      <w:r>
        <w:rPr>
          <w:rFonts w:ascii="Georgia" w:cs="Georgia" w:eastAsia="Georgia" w:hAnsi="Georgia"/>
          <w:color w:val="1A1A1A"/>
          <w:sz w:val="21"/>
          <w:szCs w:val="21"/>
        </w:rPr>
        <w:t xml:space="preserve">: human staff who can advise a stuck vehicle (for example, confirm it may pass a blocked lane), usually without driving it directly. Where those staff sit, how many vehicles each supervises, and under which jurisdiction’s rules they operate are emerging governance questions.</w:t>
      </w:r>
    </w:p>
    <w:p>
      <w:pPr>
        <w:pStyle w:val="Heading3"/>
        <w:spacing w:after="70" w:before="160"/>
      </w:pPr>
      <w:r>
        <w:rPr>
          <w:rFonts w:ascii="Calibri" w:cs="Calibri" w:eastAsia="Calibri" w:hAnsi="Calibri"/>
          <w:b/>
          <w:bCs/>
          <w:color w:val="1F2A44"/>
          <w:sz w:val="22"/>
          <w:szCs w:val="22"/>
        </w:rPr>
        <w:t xml:space="preserve">2.2 Levels of automation and the ‘long tail’</w:t>
      </w:r>
    </w:p>
    <w:p>
      <w:pPr>
        <w:spacing w:after="140" w:line="276"/>
        <w:jc w:val="both"/>
      </w:pPr>
      <w:r>
        <w:rPr>
          <w:rFonts w:ascii="Georgia" w:cs="Georgia" w:eastAsia="Georgia" w:hAnsi="Georgia"/>
          <w:color w:val="1A1A1A"/>
          <w:sz w:val="21"/>
          <w:szCs w:val="21"/>
        </w:rPr>
        <w:t xml:space="preserve">The universal shorthand is the SAE J3016 scale. What matters for governance is who is responsible for the driving task at each level.</w:t>
      </w:r>
    </w:p>
    <w:tbl>
      <w:tblPr>
        <w:tblW w:type="dxa" w:w="9360"/>
        <w:tblBorders>
          <w:top w:val="single" w:color="C9D3E0" w:sz="2"/>
          <w:left w:val="none"/>
          <w:bottom w:val="single" w:color="C9D3E0" w:sz="2"/>
          <w:right w:val="none"/>
          <w:insideH w:val="single" w:color="C9D3E0" w:sz="2"/>
          <w:insideV w:val="single" w:color="C9D3E0" w:sz="2"/>
        </w:tblBorders>
      </w:tblPr>
      <w:tblGrid>
        <w:gridCol w:w="900"/>
        <w:gridCol w:w="2300"/>
        <w:gridCol w:w="3460"/>
        <w:gridCol w:w="2700"/>
      </w:tblGrid>
      <w:tr>
        <w:trPr>
          <w:tblHeader/>
        </w:trPr>
        <w:tc>
          <w:tcPr>
            <w:tcW w:type="dxa" w:w="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Level</w:t>
            </w:r>
          </w:p>
        </w:tc>
        <w:tc>
          <w:tcPr>
            <w:tcW w:type="dxa" w:w="2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Name</w:t>
            </w:r>
          </w:p>
        </w:tc>
        <w:tc>
          <w:tcPr>
            <w:tcW w:type="dxa" w:w="34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Who is responsible</w:t>
            </w:r>
          </w:p>
        </w:tc>
        <w:tc>
          <w:tcPr>
            <w:tcW w:type="dxa" w:w="2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Example</w:t>
            </w:r>
          </w:p>
        </w:tc>
      </w:tr>
      <w:tr>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0–1</w:t>
            </w:r>
          </w:p>
        </w:tc>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No automation / driver assistance</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human drives; the system helps with steering or speed.</w:t>
            </w:r>
          </w:p>
        </w:tc>
        <w:tc>
          <w:tcPr>
            <w:tcW w:type="dxa" w:w="2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Adaptive cruise control.</w:t>
            </w:r>
          </w:p>
        </w:tc>
      </w:tr>
      <w:tr>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w:t>
            </w:r>
          </w:p>
        </w:tc>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Partial automation</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system steers and controls speed, but the human must supervise constantly and remains responsible.</w:t>
            </w:r>
          </w:p>
        </w:tc>
        <w:tc>
          <w:tcPr>
            <w:tcW w:type="dxa" w:w="2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Most ‘autopilot’-style features on sale today.</w:t>
            </w:r>
          </w:p>
        </w:tc>
      </w:tr>
      <w:tr>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3</w:t>
            </w:r>
          </w:p>
        </w:tc>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Conditional automation</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system drives in defined conditions; the human must take over when asked.</w:t>
            </w:r>
          </w:p>
        </w:tc>
        <w:tc>
          <w:tcPr>
            <w:tcW w:type="dxa" w:w="2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Mercedes-Benz Drive Pilot, approved in Germany and parts of the US.</w:t>
            </w:r>
          </w:p>
        </w:tc>
      </w:tr>
      <w:tr>
        <w:tc>
          <w:tcPr>
            <w:tcW w:type="dxa" w:w="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4</w:t>
            </w:r>
          </w:p>
        </w:tc>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automation</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No human needed within a defined operational design domain (ODD): specific areas, roads, speeds and weather.</w:t>
            </w:r>
          </w:p>
        </w:tc>
        <w:tc>
          <w:tcPr>
            <w:tcW w:type="dxa" w:w="2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Robotaxis in designated cities.</w:t>
            </w:r>
          </w:p>
        </w:tc>
      </w:tr>
      <w:tr>
        <w:tc>
          <w:tcPr>
            <w:tcW w:type="dxa" w:w="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5</w:t>
            </w:r>
          </w:p>
        </w:tc>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Full automation</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No human needed anywhere, in any conditions.</w:t>
            </w:r>
          </w:p>
        </w:tc>
        <w:tc>
          <w:tcPr>
            <w:tcW w:type="dxa" w:w="2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Does not exist.</w:t>
            </w:r>
          </w:p>
        </w:tc>
      </w:tr>
    </w:tbl>
    <w:p>
      <w:pPr>
        <w:spacing w:after="80"/>
      </w:pPr>
    </w:p>
    <w:p>
      <w:pPr>
        <w:spacing w:after="140" w:line="276"/>
        <w:jc w:val="both"/>
      </w:pPr>
      <w:r>
        <w:rPr>
          <w:rFonts w:ascii="Georgia" w:cs="Georgia" w:eastAsia="Georgia" w:hAnsi="Georgia"/>
          <w:b/>
          <w:bCs/>
          <w:color w:val="1A1A1A"/>
          <w:sz w:val="21"/>
          <w:szCs w:val="21"/>
        </w:rPr>
        <w:t xml:space="preserve">The operational design domain (ODD)</w:t>
      </w:r>
      <w:r>
        <w:rPr>
          <w:rFonts w:ascii="Georgia" w:cs="Georgia" w:eastAsia="Georgia" w:hAnsi="Georgia"/>
          <w:color w:val="1A1A1A"/>
          <w:sz w:val="21"/>
          <w:szCs w:val="21"/>
        </w:rPr>
        <w:t xml:space="preserve"> is the key regulatory concept: a system is certified or permitted for a specified set of conditions, not for ‘driving’ in general. </w:t>
      </w:r>
      <w:r>
        <w:rPr>
          <w:rFonts w:ascii="Georgia" w:cs="Georgia" w:eastAsia="Georgia" w:hAnsi="Georgia"/>
          <w:b/>
          <w:bCs/>
          <w:color w:val="1A1A1A"/>
          <w:sz w:val="21"/>
          <w:szCs w:val="21"/>
        </w:rPr>
        <w:t xml:space="preserve">The long tail</w:t>
      </w:r>
      <w:r>
        <w:rPr>
          <w:rFonts w:ascii="Georgia" w:cs="Georgia" w:eastAsia="Georgia" w:hAnsi="Georgia"/>
          <w:color w:val="1A1A1A"/>
          <w:sz w:val="21"/>
          <w:szCs w:val="21"/>
        </w:rPr>
        <w:t xml:space="preserve"> is the key technical challenge: routine driving is largely solved; the difficulty lies in rare events (an unusual road layout, a police officer’s hand signals, debris, extreme weather). How to demonstrate safety against events that are, by definition, rare is the central validation problem. Operators publish performance data (miles between disengagements, injury-crash rates compared with human benchmarks); Waymo has released peer-reviewed and insurer-backed analyses reporting substantially fewer injury crashes than human drivers in its operating areas, although comparison methods are still debated.</w:t>
      </w:r>
    </w:p>
    <w:p>
      <w:pPr>
        <w:pStyle w:val="Heading3"/>
        <w:spacing w:after="70" w:before="160"/>
      </w:pPr>
      <w:r>
        <w:rPr>
          <w:rFonts w:ascii="Calibri" w:cs="Calibri" w:eastAsia="Calibri" w:hAnsi="Calibri"/>
          <w:b/>
          <w:bCs/>
          <w:color w:val="1F2A44"/>
          <w:sz w:val="22"/>
          <w:szCs w:val="22"/>
        </w:rPr>
        <w:t xml:space="preserve">2.3 Deployment reality in 2026</w:t>
      </w:r>
    </w:p>
    <w:tbl>
      <w:tblPr>
        <w:tblW w:type="dxa" w:w="9360"/>
        <w:tblBorders>
          <w:top w:val="single" w:color="C9D3E0" w:sz="2"/>
          <w:left w:val="none"/>
          <w:bottom w:val="single" w:color="C9D3E0" w:sz="2"/>
          <w:right w:val="none"/>
          <w:insideH w:val="single" w:color="C9D3E0" w:sz="2"/>
          <w:insideV w:val="single" w:color="C9D3E0" w:sz="2"/>
        </w:tblBorders>
      </w:tblPr>
      <w:tblGrid>
        <w:gridCol w:w="2200"/>
        <w:gridCol w:w="7160"/>
      </w:tblGrid>
      <w:tr>
        <w:trPr>
          <w:tblHeader/>
        </w:trPr>
        <w:tc>
          <w:tcPr>
            <w:tcW w:type="dxa" w:w="2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Segment</w:t>
            </w:r>
          </w:p>
        </w:tc>
        <w:tc>
          <w:tcPr>
            <w:tcW w:type="dxa" w:w="7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State of play</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Robotaxis, US</w:t>
            </w:r>
          </w:p>
        </w:tc>
        <w:tc>
          <w:tcPr>
            <w:tcW w:type="dxa" w:w="7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Waymo reached roughly 500,000 paid rides a week across about ten US cities by early 2026, a tenfold increase in under two years. Zoox operates purpose-built vehicles without manual controls. Tesla runs a small unsupervised service in several Texas and Florida cities.</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Robotaxis, China</w:t>
            </w:r>
          </w:p>
        </w:tc>
        <w:tc>
          <w:tcPr>
            <w:tcW w:type="dxa" w:w="7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Baidu’s Apollo Go passed 250,000 fully driverless rides a week in late 2025, operates in over twenty cities, and passed 20 million cumulative rides by early 2026. Pony.ai and WeRide operate at scale domestically.</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Robotaxis, Gulf and Europe</w:t>
            </w:r>
          </w:p>
        </w:tc>
        <w:tc>
          <w:tcPr>
            <w:tcW w:type="dxa" w:w="7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WeRide launched fully driverless paid service in Dubai with Uber in 2026 and operates in Abu Dhabi and Riyadh; Baidu (with Lyft) and Waymo target European launches, enabled by new UK and German legislation.</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Trucks</w:t>
            </w:r>
          </w:p>
        </w:tc>
        <w:tc>
          <w:tcPr>
            <w:tcW w:type="dxa" w:w="7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Driverless hub-to-hub freight on highways has begun in Texas. The Forum’s 2025 timeline projects hub-to-hub autonomous trucks could reach roughly 30% of new mid-distance truck sales in the US by 2035.</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Personal vehicles</w:t>
            </w:r>
          </w:p>
        </w:tc>
        <w:tc>
          <w:tcPr>
            <w:tcW w:type="dxa" w:w="7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Driver assistance (Level 2) dominates. The Forum’s 2025 timeline expects assisted rather than autonomous features to dominate new personal vehicles through 2035.</w:t>
            </w:r>
          </w:p>
        </w:tc>
      </w:tr>
    </w:tbl>
    <w:p>
      <w:pPr>
        <w:spacing w:after="80"/>
      </w:pPr>
    </w:p>
    <w:p>
      <w:pPr>
        <w:pStyle w:val="Heading3"/>
        <w:spacing w:after="70" w:before="160"/>
      </w:pPr>
      <w:r>
        <w:rPr>
          <w:rFonts w:ascii="Calibri" w:cs="Calibri" w:eastAsia="Calibri" w:hAnsi="Calibri"/>
          <w:b/>
          <w:bCs/>
          <w:color w:val="1F2A44"/>
          <w:sz w:val="22"/>
          <w:szCs w:val="22"/>
        </w:rPr>
        <w:t xml:space="preserve">2.4 Robotics and physical AI</w:t>
      </w:r>
    </w:p>
    <w:p>
      <w:pPr>
        <w:pStyle w:val="ListParagraph"/>
        <w:numPr>
          <w:ilvl w:val="0"/>
          <w:numId w:val="1"/>
        </w:numPr>
        <w:spacing w:after="70" w:line="268"/>
      </w:pPr>
      <w:r>
        <w:rPr>
          <w:rFonts w:ascii="Georgia" w:cs="Georgia" w:eastAsia="Georgia" w:hAnsi="Georgia"/>
          <w:b/>
          <w:bCs/>
          <w:color w:val="1A1A1A"/>
          <w:sz w:val="21"/>
          <w:szCs w:val="21"/>
        </w:rPr>
        <w:t xml:space="preserve">Industrial robots:</w:t>
      </w:r>
      <w:r>
        <w:rPr>
          <w:rFonts w:ascii="Georgia" w:cs="Georgia" w:eastAsia="Georgia" w:hAnsi="Georgia"/>
          <w:color w:val="1A1A1A"/>
          <w:sz w:val="21"/>
          <w:szCs w:val="21"/>
        </w:rPr>
        <w:t xml:space="preserve"> over four million are in operation worldwide (International Federation of Robotics), with China accounting for more than half of new installations. Mature, well-regulated through machinery-safety law and ISO 10218 (revised 2025).</w:t>
      </w:r>
    </w:p>
    <w:p>
      <w:pPr>
        <w:pStyle w:val="ListParagraph"/>
        <w:numPr>
          <w:ilvl w:val="0"/>
          <w:numId w:val="1"/>
        </w:numPr>
        <w:spacing w:after="70" w:line="268"/>
      </w:pPr>
      <w:r>
        <w:rPr>
          <w:rFonts w:ascii="Georgia" w:cs="Georgia" w:eastAsia="Georgia" w:hAnsi="Georgia"/>
          <w:b/>
          <w:bCs/>
          <w:color w:val="1A1A1A"/>
          <w:sz w:val="21"/>
          <w:szCs w:val="21"/>
        </w:rPr>
        <w:t xml:space="preserve">Collaborative robots (cobots):</w:t>
      </w:r>
      <w:r>
        <w:rPr>
          <w:rFonts w:ascii="Georgia" w:cs="Georgia" w:eastAsia="Georgia" w:hAnsi="Georgia"/>
          <w:color w:val="1A1A1A"/>
          <w:sz w:val="21"/>
          <w:szCs w:val="21"/>
        </w:rPr>
        <w:t xml:space="preserve"> designed to work alongside people without fences, using force and speed limits defined in ISO/TS 15066.</w:t>
      </w:r>
    </w:p>
    <w:p>
      <w:pPr>
        <w:pStyle w:val="ListParagraph"/>
        <w:numPr>
          <w:ilvl w:val="0"/>
          <w:numId w:val="1"/>
        </w:numPr>
        <w:spacing w:after="70" w:line="268"/>
      </w:pPr>
      <w:r>
        <w:rPr>
          <w:rFonts w:ascii="Georgia" w:cs="Georgia" w:eastAsia="Georgia" w:hAnsi="Georgia"/>
          <w:b/>
          <w:bCs/>
          <w:color w:val="1A1A1A"/>
          <w:sz w:val="21"/>
          <w:szCs w:val="21"/>
        </w:rPr>
        <w:t xml:space="preserve">Autonomous mobile robots (AMRs):</w:t>
      </w:r>
      <w:r>
        <w:rPr>
          <w:rFonts w:ascii="Georgia" w:cs="Georgia" w:eastAsia="Georgia" w:hAnsi="Georgia"/>
          <w:color w:val="1A1A1A"/>
          <w:sz w:val="21"/>
          <w:szCs w:val="21"/>
        </w:rPr>
        <w:t xml:space="preserve"> navigate warehouses, hospitals and pavements dynamically, unlike automated guided vehicles (AGVs), which follow fixed routes.</w:t>
      </w:r>
    </w:p>
    <w:p>
      <w:pPr>
        <w:pStyle w:val="ListParagraph"/>
        <w:numPr>
          <w:ilvl w:val="0"/>
          <w:numId w:val="1"/>
        </w:numPr>
        <w:spacing w:after="70" w:line="268"/>
      </w:pPr>
      <w:r>
        <w:rPr>
          <w:rFonts w:ascii="Georgia" w:cs="Georgia" w:eastAsia="Georgia" w:hAnsi="Georgia"/>
          <w:b/>
          <w:bCs/>
          <w:color w:val="1A1A1A"/>
          <w:sz w:val="21"/>
          <w:szCs w:val="21"/>
        </w:rPr>
        <w:t xml:space="preserve">Humanoid and general-purpose robots:</w:t>
      </w:r>
      <w:r>
        <w:rPr>
          <w:rFonts w:ascii="Georgia" w:cs="Georgia" w:eastAsia="Georgia" w:hAnsi="Georgia"/>
          <w:color w:val="1A1A1A"/>
          <w:sz w:val="21"/>
          <w:szCs w:val="21"/>
        </w:rPr>
        <w:t xml:space="preserve"> the new frontier. China describes 2025 as its first year of humanoid mass production, with more than 140 domestic manufacturers releasing over 330 models; US firms (including Figure, Agility Robotics, Tesla and Boston Dynamics) are running pilots in factories and logistics.</w:t>
      </w:r>
    </w:p>
    <w:p>
      <w:pPr>
        <w:pStyle w:val="ListParagraph"/>
        <w:numPr>
          <w:ilvl w:val="0"/>
          <w:numId w:val="1"/>
        </w:numPr>
        <w:spacing w:after="70" w:line="268"/>
      </w:pPr>
      <w:r>
        <w:rPr>
          <w:rFonts w:ascii="Georgia" w:cs="Georgia" w:eastAsia="Georgia" w:hAnsi="Georgia"/>
          <w:b/>
          <w:bCs/>
          <w:color w:val="1A1A1A"/>
          <w:sz w:val="21"/>
          <w:szCs w:val="21"/>
        </w:rPr>
        <w:t xml:space="preserve">Robot foundation models:</w:t>
      </w:r>
      <w:r>
        <w:rPr>
          <w:rFonts w:ascii="Georgia" w:cs="Georgia" w:eastAsia="Georgia" w:hAnsi="Georgia"/>
          <w:color w:val="1A1A1A"/>
          <w:sz w:val="21"/>
          <w:szCs w:val="21"/>
        </w:rPr>
        <w:t xml:space="preserve"> ‘vision-language-action’ models that let one AI system control many robot bodies and follow natural-language instructions. Their main bottleneck is training data, which firms gather through simulation and human teleoperation.</w:t>
      </w:r>
    </w:p>
    <w:p>
      <w:pPr>
        <w:spacing w:after="140" w:line="276"/>
        <w:jc w:val="both"/>
      </w:pPr>
      <w:r>
        <w:rPr>
          <w:rFonts w:ascii="Georgia" w:cs="Georgia" w:eastAsia="Georgia" w:hAnsi="Georgia"/>
          <w:b/>
          <w:bCs/>
          <w:color w:val="1A1A1A"/>
          <w:sz w:val="21"/>
          <w:szCs w:val="21"/>
        </w:rPr>
        <w:t xml:space="preserve">Why humanoids matter for governance:</w:t>
      </w:r>
      <w:r>
        <w:rPr>
          <w:rFonts w:ascii="Georgia" w:cs="Georgia" w:eastAsia="Georgia" w:hAnsi="Georgia"/>
          <w:color w:val="1A1A1A"/>
          <w:sz w:val="21"/>
          <w:szCs w:val="21"/>
        </w:rPr>
        <w:t xml:space="preserve"> they are designed to operate in human environments (homes, shops, care settings), not behind factory fences, yet existing robot-safety standards were written for industrial settings. No jurisdiction yet has a dedicated regime for general-purpose robots in public or domestic spaces. China published a national </w:t>
      </w:r>
      <w:r>
        <w:rPr>
          <w:rFonts w:ascii="Georgia" w:cs="Georgia" w:eastAsia="Georgia" w:hAnsi="Georgia"/>
          <w:b/>
          <w:bCs/>
          <w:color w:val="1A1A1A"/>
          <w:sz w:val="21"/>
          <w:szCs w:val="21"/>
        </w:rPr>
        <w:t xml:space="preserve">Humanoid Robots and Embodied Intelligence Standard System (2026 edition)</w:t>
      </w:r>
      <w:r>
        <w:rPr>
          <w:rFonts w:ascii="Georgia" w:cs="Georgia" w:eastAsia="Georgia" w:hAnsi="Georgia"/>
          <w:color w:val="1A1A1A"/>
          <w:sz w:val="21"/>
          <w:szCs w:val="21"/>
        </w:rPr>
        <w:t xml:space="preserve"> in February 2026, the first attempt at a comprehensive standards architecture.</w:t>
      </w:r>
    </w:p>
    <w:p>
      <w:pPr>
        <w:pStyle w:val="Heading3"/>
        <w:spacing w:after="70" w:before="160"/>
      </w:pPr>
      <w:r>
        <w:rPr>
          <w:rFonts w:ascii="Calibri" w:cs="Calibri" w:eastAsia="Calibri" w:hAnsi="Calibri"/>
          <w:b/>
          <w:bCs/>
          <w:color w:val="1F2A44"/>
          <w:sz w:val="22"/>
          <w:szCs w:val="22"/>
        </w:rPr>
        <w:t xml:space="preserve">2.5 Drones and advanced air mobility</w:t>
      </w:r>
    </w:p>
    <w:p>
      <w:pPr>
        <w:spacing w:after="140" w:line="276"/>
        <w:jc w:val="both"/>
      </w:pPr>
      <w:r>
        <w:rPr>
          <w:rFonts w:ascii="Georgia" w:cs="Georgia" w:eastAsia="Georgia" w:hAnsi="Georgia"/>
          <w:color w:val="1A1A1A"/>
          <w:sz w:val="21"/>
          <w:szCs w:val="21"/>
        </w:rPr>
        <w:t xml:space="preserve">Drone regulation turns on </w:t>
      </w:r>
      <w:r>
        <w:rPr>
          <w:rFonts w:ascii="Georgia" w:cs="Georgia" w:eastAsia="Georgia" w:hAnsi="Georgia"/>
          <w:b/>
          <w:bCs/>
          <w:color w:val="1A1A1A"/>
          <w:sz w:val="21"/>
          <w:szCs w:val="21"/>
        </w:rPr>
        <w:t xml:space="preserve">beyond-visual-line-of-sight (BVLOS)</w:t>
      </w:r>
      <w:r>
        <w:rPr>
          <w:rFonts w:ascii="Georgia" w:cs="Georgia" w:eastAsia="Georgia" w:hAnsi="Georgia"/>
          <w:color w:val="1A1A1A"/>
          <w:sz w:val="21"/>
          <w:szCs w:val="21"/>
        </w:rPr>
        <w:t xml:space="preserve"> operations, which unlock delivery, inspection and emergency uses. The US Federal Aviation Administration proposed a dedicated BVLOS rule (Part 108) in 2025; the EU is building ‘U-space’ airspace services. Rwanda is the reference case of early integration: working with the Forum’s Centre for the Fourth Industrial Revolution, it adopted performance-based drone regulations in 2018, enabling Zipline’s national medical-delivery network. It illustrates the Forum model precisely: a co-designed framework that a government chose to adopt. Electric vertical take-off and landing (eVTOL) air taxis are moving through certification in the US and EU, with early commercial services targeted in the Gulf.</w:t>
      </w:r>
    </w:p>
    <w:p>
      <w:pPr>
        <w:pStyle w:val="Heading3"/>
        <w:spacing w:after="70" w:before="160"/>
      </w:pPr>
      <w:r>
        <w:rPr>
          <w:rFonts w:ascii="Calibri" w:cs="Calibri" w:eastAsia="Calibri" w:hAnsi="Calibri"/>
          <w:b/>
          <w:bCs/>
          <w:color w:val="1F2A44"/>
          <w:sz w:val="22"/>
          <w:szCs w:val="22"/>
        </w:rPr>
        <w:t xml:space="preserve">2.6 The regulatory landscape</w:t>
      </w:r>
    </w:p>
    <w:tbl>
      <w:tblPr>
        <w:tblW w:type="dxa" w:w="9360"/>
        <w:tblBorders>
          <w:top w:val="single" w:color="C9D3E0" w:sz="2"/>
          <w:left w:val="none"/>
          <w:bottom w:val="single" w:color="C9D3E0" w:sz="2"/>
          <w:right w:val="none"/>
          <w:insideH w:val="single" w:color="C9D3E0" w:sz="2"/>
          <w:insideV w:val="single" w:color="C9D3E0" w:sz="2"/>
        </w:tblBorders>
      </w:tblPr>
      <w:tblGrid>
        <w:gridCol w:w="2000"/>
        <w:gridCol w:w="7360"/>
      </w:tblGrid>
      <w:tr>
        <w:trPr>
          <w:tblHeader/>
        </w:trPr>
        <w:tc>
          <w:tcPr>
            <w:tcW w:type="dxa" w:w="2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Jurisdiction</w:t>
            </w:r>
          </w:p>
        </w:tc>
        <w:tc>
          <w:tcPr>
            <w:tcW w:type="dxa" w:w="73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Approach</w:t>
            </w:r>
          </w:p>
        </w:tc>
      </w:tr>
      <w:tr>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International (UNECE)</w:t>
            </w:r>
          </w:p>
        </w:tc>
        <w:tc>
          <w:tcPr>
            <w:tcW w:type="dxa" w:w="7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Vehicle rules are harmonised through the UN World Forum for Harmonization of Vehicle Regulations (WP.29) and its automated-vehicle working party (GRVA). UN Regulation 157 (2021) covers Level 3 lane-keeping systems. A UN regulation on Automated Driving Systems adopted in January 2026 anchors approval in a safety-case approach. UN Regulations 155 and 156 require cybersecurity and software-update management systems for new vehicles in the EU, Japan and other contracting parties. The 1968 Vienna Convention on Road Traffic was amended in 2016 to accommodate automated systems.</w:t>
            </w:r>
          </w:p>
        </w:tc>
      </w:tr>
      <w:tr>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States</w:t>
            </w:r>
          </w:p>
        </w:tc>
        <w:tc>
          <w:tcPr>
            <w:tcW w:type="dxa" w:w="7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No federal AV statute; federal vehicle safety standards were written for human drivers, so driverless designs rely on exemptions. NHTSA requires crash reporting under a Standing General Order (2021), set out an AV framework in 2025, and in July 2026 granted the first commercial exemption for robotaxis (Zoox, up to 2,500 vehicles a year for two years) while launching work on a national AV performance standard with SAE. States license operations: California through its DMV and Public Utilities Commission; Texas and Arizona more permissively.</w:t>
            </w:r>
          </w:p>
        </w:tc>
      </w:tr>
      <w:tr>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European Union</w:t>
            </w:r>
          </w:p>
        </w:tc>
        <w:tc>
          <w:tcPr>
            <w:tcW w:type="dxa" w:w="7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Vehicle type approval (including a 2022 regulation for fully automated vehicles in small series); the AI Act, which treats AI safety components in vehicles and machinery as high-risk; the revised Product Liability Directive (2024), which extends strict liability to software; and the Machinery Regulation (applying from January 2027), which adds requirements for autonomous and AI-enabled machines. Germany legislated for Level 4 in 2021.</w:t>
            </w:r>
          </w:p>
        </w:tc>
      </w:tr>
      <w:tr>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Kingdom</w:t>
            </w:r>
          </w:p>
        </w:tc>
        <w:tc>
          <w:tcPr>
            <w:tcW w:type="dxa" w:w="7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Automated Vehicles Act 2024 creates ‘authorised self-driving entities’ legally responsible for the vehicle’s driving when it is self-driving, ‘no-user-in-charge’ operators, and immunity for the human occupant. Secondary legislation followed in 2026, and pilots of driverless passenger services began in spring 2026 under a Self-Driving Vehicle Pilot Scheme.</w:t>
            </w:r>
          </w:p>
        </w:tc>
      </w:tr>
      <w:tr>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China</w:t>
            </w:r>
          </w:p>
        </w:tc>
        <w:tc>
          <w:tcPr>
            <w:tcW w:type="dxa" w:w="7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City-led permits for testing and commercial operation (Beijing’s autonomous vehicle regulations took effect in 2025; Shenzhen set an early liability framework in 2022; Wuhan hosts the largest fleets), with national pilot programmes for Level 3 and 4 access and national standards for humanoid robots.</w:t>
            </w:r>
          </w:p>
        </w:tc>
      </w:tr>
      <w:tr>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Japan</w:t>
            </w:r>
          </w:p>
        </w:tc>
        <w:tc>
          <w:tcPr>
            <w:tcW w:type="dxa" w:w="7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Level 4 operations permitted in designated areas since April 2023.</w:t>
            </w:r>
          </w:p>
        </w:tc>
      </w:tr>
      <w:tr>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Gulf</w:t>
            </w:r>
          </w:p>
        </w:tc>
        <w:tc>
          <w:tcPr>
            <w:tcW w:type="dxa" w:w="7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Dubai has a strategy to make a large share of trips autonomous by 2030; Abu Dhabi and Riyadh host commercial robotaxi services.</w:t>
            </w:r>
          </w:p>
        </w:tc>
      </w:tr>
    </w:tbl>
    <w:p>
      <w:pPr>
        <w:spacing w:after="80"/>
      </w:pPr>
    </w:p>
    <w:p>
      <w:pPr>
        <w:spacing w:after="140" w:line="276"/>
        <w:jc w:val="both"/>
      </w:pPr>
      <w:r>
        <w:rPr>
          <w:rFonts w:ascii="Georgia" w:cs="Georgia" w:eastAsia="Georgia" w:hAnsi="Georgia"/>
          <w:b/>
          <w:bCs/>
          <w:color w:val="1A1A1A"/>
          <w:sz w:val="21"/>
          <w:szCs w:val="21"/>
        </w:rPr>
        <w:t xml:space="preserve">Key standards to recognise:</w:t>
      </w:r>
      <w:r>
        <w:rPr>
          <w:rFonts w:ascii="Georgia" w:cs="Georgia" w:eastAsia="Georgia" w:hAnsi="Georgia"/>
          <w:color w:val="1A1A1A"/>
          <w:sz w:val="21"/>
          <w:szCs w:val="21"/>
        </w:rPr>
        <w:t xml:space="preserve"> ISO 26262 (functional safety of vehicle electronics); ISO 21448, known as SOTIF (safety of the intended functionality, covering hazards from performance limits rather than faults); UL 4600 (safety cases for autonomous products); ISO 34502 (scenario-based safety evaluation); ISO 10218 (industrial robots, revised 2025); ISO/TS 15066 (collaborative robots); ISO 13482 (personal care robots).</w:t>
      </w:r>
    </w:p>
    <w:p>
      <w:pPr>
        <w:pStyle w:val="Heading3"/>
        <w:spacing w:after="70" w:before="160"/>
      </w:pPr>
      <w:r>
        <w:rPr>
          <w:rFonts w:ascii="Calibri" w:cs="Calibri" w:eastAsia="Calibri" w:hAnsi="Calibri"/>
          <w:b/>
          <w:bCs/>
          <w:color w:val="1F2A44"/>
          <w:sz w:val="22"/>
          <w:szCs w:val="22"/>
        </w:rPr>
        <w:t xml:space="preserve">2.7 The governance issue map for autonomous mobility and robotics</w:t>
      </w:r>
    </w:p>
    <w:tbl>
      <w:tblPr>
        <w:tblW w:type="dxa" w:w="9360"/>
        <w:tblBorders>
          <w:top w:val="single" w:color="C9D3E0" w:sz="2"/>
          <w:left w:val="none"/>
          <w:bottom w:val="single" w:color="C9D3E0" w:sz="2"/>
          <w:right w:val="none"/>
          <w:insideH w:val="single" w:color="C9D3E0" w:sz="2"/>
          <w:insideV w:val="single" w:color="C9D3E0" w:sz="2"/>
        </w:tblBorders>
      </w:tblPr>
      <w:tblGrid>
        <w:gridCol w:w="2100"/>
        <w:gridCol w:w="3500"/>
        <w:gridCol w:w="3760"/>
      </w:tblGrid>
      <w:tr>
        <w:trPr>
          <w:tblHeader/>
        </w:trPr>
        <w:tc>
          <w:tcPr>
            <w:tcW w:type="dxa" w:w="2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Issue</w:t>
            </w:r>
          </w:p>
        </w:tc>
        <w:tc>
          <w:tcPr>
            <w:tcW w:type="dxa" w:w="3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is at stake</w:t>
            </w:r>
          </w:p>
        </w:tc>
        <w:tc>
          <w:tcPr>
            <w:tcW w:type="dxa" w:w="37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Where the gap is</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Safety assurance</w:t>
            </w:r>
          </w:p>
        </w:tc>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How to demonstrate that a learning system is safe enough before and during deployment; no agreed answer to ‘how safe is safe enough’.</w:t>
            </w:r>
          </w:p>
        </w:tc>
        <w:tc>
          <w:tcPr>
            <w:tcW w:type="dxa" w:w="3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Shared validation approaches (safety cases, scenarios, performance metrics) that regulators in different jurisdictions can recognise.</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Liability and insurance</w:t>
            </w:r>
          </w:p>
        </w:tc>
        <w:tc>
          <w:tcPr>
            <w:tcW w:type="dxa" w:w="3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Who pays when a driverless vehicle or robot causes harm: manufacturer, operator, software provider, owner.</w:t>
            </w:r>
          </w:p>
        </w:tc>
        <w:tc>
          <w:tcPr>
            <w:tcW w:type="dxa" w:w="3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UK has a clear model; the EU relies on product liability after withdrawing its AI Liability Directive; the US is a state patchwork.</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Incident data and shared learning</w:t>
            </w:r>
          </w:p>
        </w:tc>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Regulators learn slowly if crash and near-miss data stays within one jurisdiction or company.</w:t>
            </w:r>
          </w:p>
        </w:tc>
        <w:tc>
          <w:tcPr>
            <w:tcW w:type="dxa" w:w="3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Cross-jurisdiction learning mechanisms: the subject of the Forum’s 2026 paper on regulatory diversity.</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Remote operations</w:t>
            </w:r>
          </w:p>
        </w:tc>
        <w:tc>
          <w:tcPr>
            <w:tcW w:type="dxa" w:w="3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Remote-assistance staff may sit in another jurisdiction; ratios and responsibilities are unregulated in most places.</w:t>
            </w:r>
          </w:p>
        </w:tc>
        <w:tc>
          <w:tcPr>
            <w:tcW w:type="dxa" w:w="3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Norms for remote supervision and cross-border operation.</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Cybersecurity and software updates</w:t>
            </w:r>
          </w:p>
        </w:tc>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Over-the-air updates change the vehicle after approval.</w:t>
            </w:r>
          </w:p>
        </w:tc>
        <w:tc>
          <w:tcPr>
            <w:tcW w:type="dxa" w:w="3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Extending update and cyber governance to robots and to non-vehicle autonomous systems.</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Robots in shared spaces</w:t>
            </w:r>
          </w:p>
        </w:tc>
        <w:tc>
          <w:tcPr>
            <w:tcW w:type="dxa" w:w="3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Humanoids and mobile robots in homes, shops and care settings fall outside industrial safety rules.</w:t>
            </w:r>
          </w:p>
        </w:tc>
        <w:tc>
          <w:tcPr>
            <w:tcW w:type="dxa" w:w="3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Early frameworks for general-purpose robots before mass deployment: a textbook early-integration case.</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Work and skills</w:t>
            </w:r>
          </w:p>
        </w:tc>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Displacement of drivers and warehouse workers; occupational safety alongside robots.</w:t>
            </w:r>
          </w:p>
        </w:tc>
        <w:tc>
          <w:tcPr>
            <w:tcW w:type="dxa" w:w="3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Transition planning involving employers, unions and governments.</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Public trust and accessibility</w:t>
            </w:r>
          </w:p>
        </w:tc>
        <w:tc>
          <w:tcPr>
            <w:tcW w:type="dxa" w:w="3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Incidents trigger backlash; the benefits for elderly and disabled users are rarely designed in.</w:t>
            </w:r>
          </w:p>
        </w:tc>
        <w:tc>
          <w:tcPr>
            <w:tcW w:type="dxa" w:w="3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Inclusive design and transparent performance reporting.</w:t>
            </w:r>
          </w:p>
        </w:tc>
      </w:tr>
    </w:tbl>
    <w:p>
      <w:pPr>
        <w:spacing w:after="80"/>
      </w:pPr>
    </w:p>
    <w:p>
      <w:pPr>
        <w:pStyle w:val="Heading3"/>
        <w:spacing w:after="70" w:before="160"/>
      </w:pPr>
      <w:r>
        <w:rPr>
          <w:rFonts w:ascii="Calibri" w:cs="Calibri" w:eastAsia="Calibri" w:hAnsi="Calibri"/>
          <w:b/>
          <w:bCs/>
          <w:color w:val="1F2A44"/>
          <w:sz w:val="22"/>
          <w:szCs w:val="22"/>
        </w:rPr>
        <w:t xml:space="preserve">2.8 The live debates</w:t>
      </w:r>
    </w:p>
    <w:p>
      <w:pPr>
        <w:pStyle w:val="ListParagraph"/>
        <w:numPr>
          <w:ilvl w:val="0"/>
          <w:numId w:val="1"/>
        </w:numPr>
        <w:spacing w:after="70" w:line="268"/>
      </w:pPr>
      <w:r>
        <w:rPr>
          <w:rFonts w:ascii="Georgia" w:cs="Georgia" w:eastAsia="Georgia" w:hAnsi="Georgia"/>
          <w:b/>
          <w:bCs/>
          <w:color w:val="1A1A1A"/>
          <w:sz w:val="21"/>
          <w:szCs w:val="21"/>
        </w:rPr>
        <w:t xml:space="preserve">How safe is safe enough?</w:t>
      </w:r>
      <w:r>
        <w:rPr>
          <w:rFonts w:ascii="Georgia" w:cs="Georgia" w:eastAsia="Georgia" w:hAnsi="Georgia"/>
          <w:color w:val="1A1A1A"/>
          <w:sz w:val="21"/>
          <w:szCs w:val="21"/>
        </w:rPr>
        <w:t xml:space="preserve"> Should automated vehicles merely match a careful and competent human driver (the benchmark in the UK’s approach) or be demonstrably safer before scaling? Germany’s ethics commission (2017) argued for a ‘positive risk balance’. The measurement question (which human baseline, which crash types) is as contested as the threshold.</w:t>
      </w:r>
    </w:p>
    <w:p>
      <w:pPr>
        <w:pStyle w:val="ListParagraph"/>
        <w:numPr>
          <w:ilvl w:val="0"/>
          <w:numId w:val="1"/>
        </w:numPr>
        <w:spacing w:after="70" w:line="268"/>
      </w:pPr>
      <w:r>
        <w:rPr>
          <w:rFonts w:ascii="Georgia" w:cs="Georgia" w:eastAsia="Georgia" w:hAnsi="Georgia"/>
          <w:b/>
          <w:bCs/>
          <w:color w:val="1A1A1A"/>
          <w:sz w:val="21"/>
          <w:szCs w:val="21"/>
        </w:rPr>
        <w:t xml:space="preserve">Sensor redundancy.</w:t>
      </w:r>
      <w:r>
        <w:rPr>
          <w:rFonts w:ascii="Georgia" w:cs="Georgia" w:eastAsia="Georgia" w:hAnsi="Georgia"/>
          <w:color w:val="1A1A1A"/>
          <w:sz w:val="21"/>
          <w:szCs w:val="21"/>
        </w:rPr>
        <w:t xml:space="preserve"> Most operators combine cameras, radar and lidar; Tesla argues cameras alone are sufficient. Regulators must decide whether to be technology-neutral or require redundancy.</w:t>
      </w:r>
    </w:p>
    <w:p>
      <w:pPr>
        <w:pStyle w:val="ListParagraph"/>
        <w:numPr>
          <w:ilvl w:val="0"/>
          <w:numId w:val="1"/>
        </w:numPr>
        <w:spacing w:after="70" w:line="268"/>
      </w:pPr>
      <w:r>
        <w:rPr>
          <w:rFonts w:ascii="Georgia" w:cs="Georgia" w:eastAsia="Georgia" w:hAnsi="Georgia"/>
          <w:b/>
          <w:bCs/>
          <w:color w:val="1A1A1A"/>
          <w:sz w:val="21"/>
          <w:szCs w:val="21"/>
        </w:rPr>
        <w:t xml:space="preserve">Explainability versus performance.</w:t>
      </w:r>
      <w:r>
        <w:rPr>
          <w:rFonts w:ascii="Georgia" w:cs="Georgia" w:eastAsia="Georgia" w:hAnsi="Georgia"/>
          <w:color w:val="1A1A1A"/>
          <w:sz w:val="21"/>
          <w:szCs w:val="21"/>
        </w:rPr>
        <w:t xml:space="preserve"> End-to-end neural systems may drive better but are harder to explain and validate than modular stacks.</w:t>
      </w:r>
    </w:p>
    <w:p>
      <w:pPr>
        <w:pStyle w:val="ListParagraph"/>
        <w:numPr>
          <w:ilvl w:val="0"/>
          <w:numId w:val="1"/>
        </w:numPr>
        <w:spacing w:after="70" w:line="268"/>
      </w:pPr>
      <w:r>
        <w:rPr>
          <w:rFonts w:ascii="Georgia" w:cs="Georgia" w:eastAsia="Georgia" w:hAnsi="Georgia"/>
          <w:b/>
          <w:bCs/>
          <w:color w:val="1A1A1A"/>
          <w:sz w:val="21"/>
          <w:szCs w:val="21"/>
        </w:rPr>
        <w:t xml:space="preserve">Who regulates, in the US?</w:t>
      </w:r>
      <w:r>
        <w:rPr>
          <w:rFonts w:ascii="Georgia" w:cs="Georgia" w:eastAsia="Georgia" w:hAnsi="Georgia"/>
          <w:color w:val="1A1A1A"/>
          <w:sz w:val="21"/>
          <w:szCs w:val="21"/>
        </w:rPr>
        <w:t xml:space="preserve"> Whether federal performance standards should pre-empt the patchwork of state rules.</w:t>
      </w:r>
    </w:p>
    <w:p>
      <w:pPr>
        <w:pStyle w:val="ListParagraph"/>
        <w:numPr>
          <w:ilvl w:val="0"/>
          <w:numId w:val="1"/>
        </w:numPr>
        <w:spacing w:after="70" w:line="268"/>
      </w:pPr>
      <w:r>
        <w:rPr>
          <w:rFonts w:ascii="Georgia" w:cs="Georgia" w:eastAsia="Georgia" w:hAnsi="Georgia"/>
          <w:b/>
          <w:bCs/>
          <w:color w:val="1A1A1A"/>
          <w:sz w:val="21"/>
          <w:szCs w:val="21"/>
        </w:rPr>
        <w:t xml:space="preserve">Humanoid timelines.</w:t>
      </w:r>
      <w:r>
        <w:rPr>
          <w:rFonts w:ascii="Georgia" w:cs="Georgia" w:eastAsia="Georgia" w:hAnsi="Georgia"/>
          <w:color w:val="1A1A1A"/>
          <w:sz w:val="21"/>
          <w:szCs w:val="21"/>
        </w:rPr>
        <w:t xml:space="preserve"> Supporters expect rapid deployment in logistics and manufacturing; sceptics point to cost, dexterity, reliability and safety, and expect narrower uses for years.</w:t>
      </w:r>
    </w:p>
    <w:p>
      <w:pPr>
        <w:pStyle w:val="ListParagraph"/>
        <w:numPr>
          <w:ilvl w:val="0"/>
          <w:numId w:val="1"/>
        </w:numPr>
        <w:spacing w:after="70" w:line="268"/>
      </w:pPr>
      <w:r>
        <w:rPr>
          <w:rFonts w:ascii="Georgia" w:cs="Georgia" w:eastAsia="Georgia" w:hAnsi="Georgia"/>
          <w:b/>
          <w:bCs/>
          <w:color w:val="1A1A1A"/>
          <w:sz w:val="21"/>
          <w:szCs w:val="21"/>
        </w:rPr>
        <w:t xml:space="preserve">Work and public space.</w:t>
      </w:r>
      <w:r>
        <w:rPr>
          <w:rFonts w:ascii="Georgia" w:cs="Georgia" w:eastAsia="Georgia" w:hAnsi="Georgia"/>
          <w:color w:val="1A1A1A"/>
          <w:sz w:val="21"/>
          <w:szCs w:val="21"/>
        </w:rPr>
        <w:t xml:space="preserve"> How fast to accept displacement of drivers and warehouse workers, and how much public space (pavements, kerbs, airspace) to allocate to machines.</w:t>
      </w:r>
    </w:p>
    <w:p>
      <w:r>
        <w:br w:type="page"/>
      </w:r>
    </w:p>
    <w:p>
      <w:pPr>
        <w:pStyle w:val="Heading2"/>
        <w:spacing w:after="100" w:before="220"/>
      </w:pPr>
      <w:r>
        <w:rPr>
          <w:rFonts w:ascii="Calibri" w:cs="Calibri" w:eastAsia="Calibri" w:hAnsi="Calibri"/>
          <w:b/>
          <w:bCs/>
          <w:color w:val="2F5D8A"/>
          <w:sz w:val="25"/>
          <w:szCs w:val="25"/>
        </w:rPr>
        <w:t xml:space="preserve">3. Biotechnology</w:t>
      </w:r>
    </w:p>
    <w:p>
      <w:pPr>
        <w:spacing w:after="140" w:line="276"/>
        <w:jc w:val="both"/>
      </w:pPr>
      <w:r>
        <w:rPr>
          <w:rFonts w:ascii="Georgia" w:cs="Georgia" w:eastAsia="Georgia" w:hAnsi="Georgia"/>
          <w:color w:val="1A1A1A"/>
          <w:sz w:val="21"/>
          <w:szCs w:val="21"/>
        </w:rPr>
        <w:t xml:space="preserve">Biotechnology is the use of living systems, or their components, to make products and solve problems. What makes it a frontier field now is that biology has become an </w:t>
      </w:r>
      <w:r>
        <w:rPr>
          <w:rFonts w:ascii="Georgia" w:cs="Georgia" w:eastAsia="Georgia" w:hAnsi="Georgia"/>
          <w:i/>
          <w:iCs/>
          <w:color w:val="1A1A1A"/>
          <w:sz w:val="21"/>
          <w:szCs w:val="21"/>
        </w:rPr>
        <w:t xml:space="preserve">information technology</w:t>
      </w:r>
      <w:r>
        <w:rPr>
          <w:rFonts w:ascii="Georgia" w:cs="Georgia" w:eastAsia="Georgia" w:hAnsi="Georgia"/>
          <w:color w:val="1A1A1A"/>
          <w:sz w:val="21"/>
          <w:szCs w:val="21"/>
        </w:rPr>
        <w:t xml:space="preserve">: it can be read, written and edited with increasing speed and precision, and designed with the help of AI. The Forum frames much of its work in this area around the </w:t>
      </w:r>
      <w:r>
        <w:rPr>
          <w:rFonts w:ascii="Georgia" w:cs="Georgia" w:eastAsia="Georgia" w:hAnsi="Georgia"/>
          <w:b/>
          <w:bCs/>
          <w:color w:val="1A1A1A"/>
          <w:sz w:val="21"/>
          <w:szCs w:val="21"/>
        </w:rPr>
        <w:t xml:space="preserve">bioeconomy</w:t>
      </w:r>
      <w:r>
        <w:rPr>
          <w:rFonts w:ascii="Georgia" w:cs="Georgia" w:eastAsia="Georgia" w:hAnsi="Georgia"/>
          <w:color w:val="1A1A1A"/>
          <w:sz w:val="21"/>
          <w:szCs w:val="21"/>
        </w:rPr>
        <w:t xml:space="preserve">: the share of economic activity based on biological resources and processes.</w:t>
      </w:r>
    </w:p>
    <w:p>
      <w:pPr>
        <w:pStyle w:val="Heading3"/>
        <w:spacing w:after="70" w:before="160"/>
      </w:pPr>
      <w:r>
        <w:rPr>
          <w:rFonts w:ascii="Calibri" w:cs="Calibri" w:eastAsia="Calibri" w:hAnsi="Calibri"/>
          <w:b/>
          <w:bCs/>
          <w:color w:val="1F2A44"/>
          <w:sz w:val="22"/>
          <w:szCs w:val="22"/>
        </w:rPr>
        <w:t xml:space="preserve">3.1 The biology you need</w:t>
      </w:r>
    </w:p>
    <w:p>
      <w:pPr>
        <w:spacing w:after="140" w:line="276"/>
        <w:jc w:val="both"/>
      </w:pPr>
      <w:r>
        <w:rPr>
          <w:rFonts w:ascii="Georgia" w:cs="Georgia" w:eastAsia="Georgia" w:hAnsi="Georgia"/>
          <w:b/>
          <w:bCs/>
          <w:color w:val="1A1A1A"/>
          <w:sz w:val="21"/>
          <w:szCs w:val="21"/>
        </w:rPr>
        <w:t xml:space="preserve">DNA</w:t>
      </w:r>
      <w:r>
        <w:rPr>
          <w:rFonts w:ascii="Georgia" w:cs="Georgia" w:eastAsia="Georgia" w:hAnsi="Georgia"/>
          <w:color w:val="1A1A1A"/>
          <w:sz w:val="21"/>
          <w:szCs w:val="21"/>
        </w:rPr>
        <w:t xml:space="preserve"> stores genetic information as a sequence of four chemical ‘letters’ (A, C, G and T). A </w:t>
      </w:r>
      <w:r>
        <w:rPr>
          <w:rFonts w:ascii="Georgia" w:cs="Georgia" w:eastAsia="Georgia" w:hAnsi="Georgia"/>
          <w:b/>
          <w:bCs/>
          <w:color w:val="1A1A1A"/>
          <w:sz w:val="21"/>
          <w:szCs w:val="21"/>
        </w:rPr>
        <w:t xml:space="preserve">gene</w:t>
      </w:r>
      <w:r>
        <w:rPr>
          <w:rFonts w:ascii="Georgia" w:cs="Georgia" w:eastAsia="Georgia" w:hAnsi="Georgia"/>
          <w:color w:val="1A1A1A"/>
          <w:sz w:val="21"/>
          <w:szCs w:val="21"/>
        </w:rPr>
        <w:t xml:space="preserve"> is a stretch of DNA that encodes a product, usually a protein; the complete DNA of an organism is its </w:t>
      </w:r>
      <w:r>
        <w:rPr>
          <w:rFonts w:ascii="Georgia" w:cs="Georgia" w:eastAsia="Georgia" w:hAnsi="Georgia"/>
          <w:b/>
          <w:bCs/>
          <w:color w:val="1A1A1A"/>
          <w:sz w:val="21"/>
          <w:szCs w:val="21"/>
        </w:rPr>
        <w:t xml:space="preserve">genome</w:t>
      </w:r>
      <w:r>
        <w:rPr>
          <w:rFonts w:ascii="Georgia" w:cs="Georgia" w:eastAsia="Georgia" w:hAnsi="Georgia"/>
          <w:color w:val="1A1A1A"/>
          <w:sz w:val="21"/>
          <w:szCs w:val="21"/>
        </w:rPr>
        <w:t xml:space="preserve">. Cells copy (transcribe) a gene into </w:t>
      </w:r>
      <w:r>
        <w:rPr>
          <w:rFonts w:ascii="Georgia" w:cs="Georgia" w:eastAsia="Georgia" w:hAnsi="Georgia"/>
          <w:b/>
          <w:bCs/>
          <w:color w:val="1A1A1A"/>
          <w:sz w:val="21"/>
          <w:szCs w:val="21"/>
        </w:rPr>
        <w:t xml:space="preserve">RNA</w:t>
      </w:r>
      <w:r>
        <w:rPr>
          <w:rFonts w:ascii="Georgia" w:cs="Georgia" w:eastAsia="Georgia" w:hAnsi="Georgia"/>
          <w:color w:val="1A1A1A"/>
          <w:sz w:val="21"/>
          <w:szCs w:val="21"/>
        </w:rPr>
        <w:t xml:space="preserve">, and then translate the RNA into a </w:t>
      </w:r>
      <w:r>
        <w:rPr>
          <w:rFonts w:ascii="Georgia" w:cs="Georgia" w:eastAsia="Georgia" w:hAnsi="Georgia"/>
          <w:b/>
          <w:bCs/>
          <w:color w:val="1A1A1A"/>
          <w:sz w:val="21"/>
          <w:szCs w:val="21"/>
        </w:rPr>
        <w:t xml:space="preserve">protein</w:t>
      </w:r>
      <w:r>
        <w:rPr>
          <w:rFonts w:ascii="Georgia" w:cs="Georgia" w:eastAsia="Georgia" w:hAnsi="Georgia"/>
          <w:color w:val="1A1A1A"/>
          <w:sz w:val="21"/>
          <w:szCs w:val="21"/>
        </w:rPr>
        <w:t xml:space="preserve">, reading the letters three at a time, each triplet specifying one amino acid. Proteins fold into three-dimensional shapes, and their shape determines what they do: enzymes, antibodies, hormones, structural materials. This flow of information (DNA to RNA to protein) is known as the central dogma of molecular biology.</w:t>
      </w:r>
    </w:p>
    <w:p>
      <w:pPr>
        <w:spacing w:after="140" w:line="276"/>
        <w:jc w:val="both"/>
      </w:pPr>
      <w:r>
        <w:rPr>
          <w:rFonts w:ascii="Georgia" w:cs="Georgia" w:eastAsia="Georgia" w:hAnsi="Georgia"/>
          <w:color w:val="1A1A1A"/>
          <w:sz w:val="21"/>
          <w:szCs w:val="21"/>
        </w:rPr>
        <w:t xml:space="preserve">Two further distinctions come up constantly in governance debates. </w:t>
      </w:r>
      <w:r>
        <w:rPr>
          <w:rFonts w:ascii="Georgia" w:cs="Georgia" w:eastAsia="Georgia" w:hAnsi="Georgia"/>
          <w:b/>
          <w:bCs/>
          <w:color w:val="1A1A1A"/>
          <w:sz w:val="21"/>
          <w:szCs w:val="21"/>
        </w:rPr>
        <w:t xml:space="preserve">Genotype</w:t>
      </w:r>
      <w:r>
        <w:rPr>
          <w:rFonts w:ascii="Georgia" w:cs="Georgia" w:eastAsia="Georgia" w:hAnsi="Georgia"/>
          <w:color w:val="1A1A1A"/>
          <w:sz w:val="21"/>
          <w:szCs w:val="21"/>
        </w:rPr>
        <w:t xml:space="preserve"> is the genetic code; </w:t>
      </w:r>
      <w:r>
        <w:rPr>
          <w:rFonts w:ascii="Georgia" w:cs="Georgia" w:eastAsia="Georgia" w:hAnsi="Georgia"/>
          <w:b/>
          <w:bCs/>
          <w:color w:val="1A1A1A"/>
          <w:sz w:val="21"/>
          <w:szCs w:val="21"/>
        </w:rPr>
        <w:t xml:space="preserve">phenotype</w:t>
      </w:r>
      <w:r>
        <w:rPr>
          <w:rFonts w:ascii="Georgia" w:cs="Georgia" w:eastAsia="Georgia" w:hAnsi="Georgia"/>
          <w:color w:val="1A1A1A"/>
          <w:sz w:val="21"/>
          <w:szCs w:val="21"/>
        </w:rPr>
        <w:t xml:space="preserve"> is the observable trait it produces. </w:t>
      </w:r>
      <w:r>
        <w:rPr>
          <w:rFonts w:ascii="Georgia" w:cs="Georgia" w:eastAsia="Georgia" w:hAnsi="Georgia"/>
          <w:b/>
          <w:bCs/>
          <w:color w:val="1A1A1A"/>
          <w:sz w:val="21"/>
          <w:szCs w:val="21"/>
        </w:rPr>
        <w:t xml:space="preserve">Somatic</w:t>
      </w:r>
      <w:r>
        <w:rPr>
          <w:rFonts w:ascii="Georgia" w:cs="Georgia" w:eastAsia="Georgia" w:hAnsi="Georgia"/>
          <w:color w:val="1A1A1A"/>
          <w:sz w:val="21"/>
          <w:szCs w:val="21"/>
        </w:rPr>
        <w:t xml:space="preserve"> cells make up the body and changes to them are not inherited; </w:t>
      </w:r>
      <w:r>
        <w:rPr>
          <w:rFonts w:ascii="Georgia" w:cs="Georgia" w:eastAsia="Georgia" w:hAnsi="Georgia"/>
          <w:b/>
          <w:bCs/>
          <w:color w:val="1A1A1A"/>
          <w:sz w:val="21"/>
          <w:szCs w:val="21"/>
        </w:rPr>
        <w:t xml:space="preserve">germline</w:t>
      </w:r>
      <w:r>
        <w:rPr>
          <w:rFonts w:ascii="Georgia" w:cs="Georgia" w:eastAsia="Georgia" w:hAnsi="Georgia"/>
          <w:color w:val="1A1A1A"/>
          <w:sz w:val="21"/>
          <w:szCs w:val="21"/>
        </w:rPr>
        <w:t xml:space="preserve"> cells (eggs, sperm, embryos) pass changes to future generations.</w:t>
      </w:r>
    </w:p>
    <w:p>
      <w:pPr>
        <w:pStyle w:val="Heading3"/>
        <w:spacing w:after="70" w:before="160"/>
      </w:pPr>
      <w:r>
        <w:rPr>
          <w:rFonts w:ascii="Calibri" w:cs="Calibri" w:eastAsia="Calibri" w:hAnsi="Calibri"/>
          <w:b/>
          <w:bCs/>
          <w:color w:val="1F2A44"/>
          <w:sz w:val="22"/>
          <w:szCs w:val="22"/>
        </w:rPr>
        <w:t xml:space="preserve">3.2 Reading, writing and editing DNA</w:t>
      </w:r>
    </w:p>
    <w:tbl>
      <w:tblPr>
        <w:tblW w:type="dxa" w:w="9360"/>
        <w:tblBorders>
          <w:top w:val="single" w:color="C9D3E0" w:sz="2"/>
          <w:left w:val="none"/>
          <w:bottom w:val="single" w:color="C9D3E0" w:sz="2"/>
          <w:right w:val="none"/>
          <w:insideH w:val="single" w:color="C9D3E0" w:sz="2"/>
          <w:insideV w:val="single" w:color="C9D3E0" w:sz="2"/>
        </w:tblBorders>
      </w:tblPr>
      <w:tblGrid>
        <w:gridCol w:w="1700"/>
        <w:gridCol w:w="3900"/>
        <w:gridCol w:w="3760"/>
      </w:tblGrid>
      <w:tr>
        <w:trPr>
          <w:tblHeader/>
        </w:trPr>
        <w:tc>
          <w:tcPr>
            <w:tcW w:type="dxa" w:w="1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Capability</w:t>
            </w:r>
          </w:p>
        </w:tc>
        <w:tc>
          <w:tcPr>
            <w:tcW w:type="dxa" w:w="3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is</w:t>
            </w:r>
          </w:p>
        </w:tc>
        <w:tc>
          <w:tcPr>
            <w:tcW w:type="dxa" w:w="37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Where it stands</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Reading (sequencing)</w:t>
            </w:r>
          </w:p>
        </w:tc>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Determining the order of letters in DNA.</w:t>
            </w:r>
          </w:p>
        </w:tc>
        <w:tc>
          <w:tcPr>
            <w:tcW w:type="dxa" w:w="3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first human genome (completed 2003) cost around $3 billion; a genome now costs a few hundred dollars on the latest machines. Cheap sequencing underpins diagnostics, pathogen surveillance and research.</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Writing (synthesis)</w:t>
            </w:r>
          </w:p>
        </w:tc>
        <w:tc>
          <w:tcPr>
            <w:tcW w:type="dxa" w:w="3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Manufacturing DNA to a designed sequence, from short fragments to whole genes.</w:t>
            </w:r>
          </w:p>
        </w:tc>
        <w:tc>
          <w:tcPr>
            <w:tcW w:type="dxa" w:w="3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Ordered online from commercial providers; benchtop synthesisers now allow labs to make DNA in-house, which complicates biosecurity screening.</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Editing</w:t>
            </w:r>
          </w:p>
        </w:tc>
        <w:tc>
          <w:tcPr>
            <w:tcW w:type="dxa" w:w="3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Changing a specific sequence inside a living cell.</w:t>
            </w:r>
          </w:p>
        </w:tc>
        <w:tc>
          <w:tcPr>
            <w:tcW w:type="dxa" w:w="3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CRISPR tools (below) have made editing cheap, precise and widely accessible.</w:t>
            </w:r>
          </w:p>
        </w:tc>
      </w:tr>
    </w:tbl>
    <w:p>
      <w:pPr>
        <w:spacing w:after="80"/>
      </w:pPr>
    </w:p>
    <w:p>
      <w:pPr>
        <w:spacing w:after="140" w:line="276"/>
        <w:jc w:val="both"/>
      </w:pPr>
      <w:r>
        <w:rPr>
          <w:rFonts w:ascii="Georgia" w:cs="Georgia" w:eastAsia="Georgia" w:hAnsi="Georgia"/>
          <w:b/>
          <w:bCs/>
          <w:color w:val="1A1A1A"/>
          <w:sz w:val="21"/>
          <w:szCs w:val="21"/>
        </w:rPr>
        <w:t xml:space="preserve">How CRISPR works.</w:t>
      </w:r>
      <w:r>
        <w:rPr>
          <w:rFonts w:ascii="Georgia" w:cs="Georgia" w:eastAsia="Georgia" w:hAnsi="Georgia"/>
          <w:color w:val="1A1A1A"/>
          <w:sz w:val="21"/>
          <w:szCs w:val="21"/>
        </w:rPr>
        <w:t xml:space="preserve"> CRISPR-Cas9, adapted from a bacterial immune system (Doudna and Charpentier, Nobel Prize in Chemistry 2020), has two parts: a short </w:t>
      </w:r>
      <w:r>
        <w:rPr>
          <w:rFonts w:ascii="Georgia" w:cs="Georgia" w:eastAsia="Georgia" w:hAnsi="Georgia"/>
          <w:b/>
          <w:bCs/>
          <w:color w:val="1A1A1A"/>
          <w:sz w:val="21"/>
          <w:szCs w:val="21"/>
        </w:rPr>
        <w:t xml:space="preserve">guide RNA</w:t>
      </w:r>
      <w:r>
        <w:rPr>
          <w:rFonts w:ascii="Georgia" w:cs="Georgia" w:eastAsia="Georgia" w:hAnsi="Georgia"/>
          <w:color w:val="1A1A1A"/>
          <w:sz w:val="21"/>
          <w:szCs w:val="21"/>
        </w:rPr>
        <w:t xml:space="preserve"> matching the target sequence, and the </w:t>
      </w:r>
      <w:r>
        <w:rPr>
          <w:rFonts w:ascii="Georgia" w:cs="Georgia" w:eastAsia="Georgia" w:hAnsi="Georgia"/>
          <w:b/>
          <w:bCs/>
          <w:color w:val="1A1A1A"/>
          <w:sz w:val="21"/>
          <w:szCs w:val="21"/>
        </w:rPr>
        <w:t xml:space="preserve">Cas9</w:t>
      </w:r>
      <w:r>
        <w:rPr>
          <w:rFonts w:ascii="Georgia" w:cs="Georgia" w:eastAsia="Georgia" w:hAnsi="Georgia"/>
          <w:color w:val="1A1A1A"/>
          <w:sz w:val="21"/>
          <w:szCs w:val="21"/>
        </w:rPr>
        <w:t xml:space="preserve"> enzyme, which cuts DNA where the guide binds. The cell then repairs the cut, either imprecisely (disabling the gene) or, if a template is supplied, by writing in a chosen sequence. Two newer tools refine this. </w:t>
      </w:r>
      <w:r>
        <w:rPr>
          <w:rFonts w:ascii="Georgia" w:cs="Georgia" w:eastAsia="Georgia" w:hAnsi="Georgia"/>
          <w:b/>
          <w:bCs/>
          <w:color w:val="1A1A1A"/>
          <w:sz w:val="21"/>
          <w:szCs w:val="21"/>
        </w:rPr>
        <w:t xml:space="preserve">Base editing</w:t>
      </w:r>
      <w:r>
        <w:rPr>
          <w:rFonts w:ascii="Georgia" w:cs="Georgia" w:eastAsia="Georgia" w:hAnsi="Georgia"/>
          <w:color w:val="1A1A1A"/>
          <w:sz w:val="21"/>
          <w:szCs w:val="21"/>
        </w:rPr>
        <w:t xml:space="preserve"> chemically converts one letter into another without cutting both strands of DNA. </w:t>
      </w:r>
      <w:r>
        <w:rPr>
          <w:rFonts w:ascii="Georgia" w:cs="Georgia" w:eastAsia="Georgia" w:hAnsi="Georgia"/>
          <w:b/>
          <w:bCs/>
          <w:color w:val="1A1A1A"/>
          <w:sz w:val="21"/>
          <w:szCs w:val="21"/>
        </w:rPr>
        <w:t xml:space="preserve">Prime editing</w:t>
      </w:r>
      <w:r>
        <w:rPr>
          <w:rFonts w:ascii="Georgia" w:cs="Georgia" w:eastAsia="Georgia" w:hAnsi="Georgia"/>
          <w:color w:val="1A1A1A"/>
          <w:sz w:val="21"/>
          <w:szCs w:val="21"/>
        </w:rPr>
        <w:t xml:space="preserve"> works as a ‘search and replace’ for short sequences. Both reduce unintended changes. Getting editors into the right cells (‘delivery’) relies mainly on engineered viruses or lipid nanoparticles, the same technology used in mRNA vaccines.</w:t>
      </w:r>
    </w:p>
    <w:p>
      <w:pPr>
        <w:pStyle w:val="Heading3"/>
        <w:spacing w:after="70" w:before="160"/>
      </w:pPr>
      <w:r>
        <w:rPr>
          <w:rFonts w:ascii="Calibri" w:cs="Calibri" w:eastAsia="Calibri" w:hAnsi="Calibri"/>
          <w:b/>
          <w:bCs/>
          <w:color w:val="1F2A44"/>
          <w:sz w:val="22"/>
          <w:szCs w:val="22"/>
        </w:rPr>
        <w:t xml:space="preserve">3.3 The main application platforms</w:t>
      </w:r>
    </w:p>
    <w:tbl>
      <w:tblPr>
        <w:tblW w:type="dxa" w:w="9360"/>
        <w:tblBorders>
          <w:top w:val="single" w:color="C9D3E0" w:sz="2"/>
          <w:left w:val="none"/>
          <w:bottom w:val="single" w:color="C9D3E0" w:sz="2"/>
          <w:right w:val="none"/>
          <w:insideH w:val="single" w:color="C9D3E0" w:sz="2"/>
          <w:insideV w:val="single" w:color="C9D3E0" w:sz="2"/>
        </w:tblBorders>
      </w:tblPr>
      <w:tblGrid>
        <w:gridCol w:w="2000"/>
        <w:gridCol w:w="3500"/>
        <w:gridCol w:w="3860"/>
      </w:tblGrid>
      <w:tr>
        <w:trPr>
          <w:tblHeader/>
        </w:trPr>
        <w:tc>
          <w:tcPr>
            <w:tcW w:type="dxa" w:w="2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Platform</w:t>
            </w:r>
          </w:p>
        </w:tc>
        <w:tc>
          <w:tcPr>
            <w:tcW w:type="dxa" w:w="3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does</w:t>
            </w:r>
          </w:p>
        </w:tc>
        <w:tc>
          <w:tcPr>
            <w:tcW w:type="dxa" w:w="38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Milestones and examples</w:t>
            </w:r>
          </w:p>
        </w:tc>
      </w:tr>
      <w:tr>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mRNA medicines</w:t>
            </w:r>
          </w:p>
        </w:tc>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Deliver instructions for the body’s cells to make a protein (for example a viral antigen).</w:t>
            </w:r>
          </w:p>
        </w:tc>
        <w:tc>
          <w:tcPr>
            <w:tcW w:type="dxa" w:w="3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COVID-19 vaccines (2020) proved the platform; now extending to cancer vaccines and other diseases.</w:t>
            </w:r>
          </w:p>
        </w:tc>
      </w:tr>
      <w:tr>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 and cell therapies</w:t>
            </w:r>
          </w:p>
        </w:tc>
        <w:tc>
          <w:tcPr>
            <w:tcW w:type="dxa" w:w="3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Correct or replace faulty genes, or engineer immune cells to attack disease.</w:t>
            </w:r>
          </w:p>
        </w:tc>
        <w:tc>
          <w:tcPr>
            <w:tcW w:type="dxa" w:w="3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Casgevy, the first approved CRISPR therapy (UK and US, 2023), for sickle cell disease and beta thalassaemia; CAR-T cell therapies for blood cancers; in 2025 a custom base-editing therapy was developed for a single infant with a rare metabolic disorder, raising the question of how to regulate bespoke ‘N-of-1’ treatments.</w:t>
            </w:r>
          </w:p>
        </w:tc>
      </w:tr>
      <w:tr>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Agriculture and food</w:t>
            </w:r>
          </w:p>
        </w:tc>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Gene-edited crops and livestock; precision fermentation of food ingredients; cultivated meat.</w:t>
            </w:r>
          </w:p>
        </w:tc>
        <w:tc>
          <w:tcPr>
            <w:tcW w:type="dxa" w:w="3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Gene-edited crops approved in several countries; cultivated meat approved in Singapore (2020) and the US (2023).</w:t>
            </w:r>
          </w:p>
        </w:tc>
      </w:tr>
      <w:tr>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Industrial biomanufacturing</w:t>
            </w:r>
          </w:p>
        </w:tc>
        <w:tc>
          <w:tcPr>
            <w:tcW w:type="dxa" w:w="3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Engineered microbes and cells producing chemicals, materials, fuels and ingredients.</w:t>
            </w:r>
          </w:p>
        </w:tc>
        <w:tc>
          <w:tcPr>
            <w:tcW w:type="dxa" w:w="3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Frequently cited estimate: up to 60% of the physical inputs to the economy could in principle be made biologically. The bottleneck is scale-up and cost.</w:t>
            </w:r>
          </w:p>
        </w:tc>
      </w:tr>
      <w:tr>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Environmental applications</w:t>
            </w:r>
          </w:p>
        </w:tc>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Bioremediation; engineered organisms released into the environment.</w:t>
            </w:r>
          </w:p>
        </w:tc>
        <w:tc>
          <w:tcPr>
            <w:tcW w:type="dxa" w:w="3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 drives (edits designed to spread through wild populations, for example to suppress malaria-carrying mosquitoes) remain in contained trials and are highly contested.</w:t>
            </w:r>
          </w:p>
        </w:tc>
      </w:tr>
    </w:tbl>
    <w:p>
      <w:pPr>
        <w:spacing w:after="80"/>
      </w:pPr>
    </w:p>
    <w:p>
      <w:pPr>
        <w:pStyle w:val="Heading3"/>
        <w:spacing w:after="70" w:before="160"/>
      </w:pPr>
      <w:r>
        <w:rPr>
          <w:rFonts w:ascii="Calibri" w:cs="Calibri" w:eastAsia="Calibri" w:hAnsi="Calibri"/>
          <w:b/>
          <w:bCs/>
          <w:color w:val="1F2A44"/>
          <w:sz w:val="22"/>
          <w:szCs w:val="22"/>
        </w:rPr>
        <w:t xml:space="preserve">3.4 AI and biology: the convergence</w:t>
      </w:r>
    </w:p>
    <w:p>
      <w:pPr>
        <w:spacing w:after="140" w:line="276"/>
        <w:jc w:val="both"/>
      </w:pPr>
      <w:r>
        <w:rPr>
          <w:rFonts w:ascii="Georgia" w:cs="Georgia" w:eastAsia="Georgia" w:hAnsi="Georgia"/>
          <w:color w:val="1A1A1A"/>
          <w:sz w:val="21"/>
          <w:szCs w:val="21"/>
        </w:rPr>
        <w:t xml:space="preserve">AI has transformed biology’s design cycle. </w:t>
      </w:r>
      <w:r>
        <w:rPr>
          <w:rFonts w:ascii="Georgia" w:cs="Georgia" w:eastAsia="Georgia" w:hAnsi="Georgia"/>
          <w:b/>
          <w:bCs/>
          <w:color w:val="1A1A1A"/>
          <w:sz w:val="21"/>
          <w:szCs w:val="21"/>
        </w:rPr>
        <w:t xml:space="preserve">AlphaFold</w:t>
      </w:r>
      <w:r>
        <w:rPr>
          <w:rFonts w:ascii="Georgia" w:cs="Georgia" w:eastAsia="Georgia" w:hAnsi="Georgia"/>
          <w:color w:val="1A1A1A"/>
          <w:sz w:val="21"/>
          <w:szCs w:val="21"/>
        </w:rPr>
        <w:t xml:space="preserve"> (Google DeepMind) predicts a protein’s 3D structure from its sequence; together with protein-design work at the University of Washington, it earned the 2024 Nobel Prize in Chemistry (Hassabis, Jumper and Baker). Generative models now </w:t>
      </w:r>
      <w:r>
        <w:rPr>
          <w:rFonts w:ascii="Georgia" w:cs="Georgia" w:eastAsia="Georgia" w:hAnsi="Georgia"/>
          <w:i/>
          <w:iCs/>
          <w:color w:val="1A1A1A"/>
          <w:sz w:val="21"/>
          <w:szCs w:val="21"/>
        </w:rPr>
        <w:t xml:space="preserve">design</w:t>
      </w:r>
      <w:r>
        <w:rPr>
          <w:rFonts w:ascii="Georgia" w:cs="Georgia" w:eastAsia="Georgia" w:hAnsi="Georgia"/>
          <w:color w:val="1A1A1A"/>
          <w:sz w:val="21"/>
          <w:szCs w:val="21"/>
        </w:rPr>
        <w:t xml:space="preserve"> new proteins with specified functions, and </w:t>
      </w:r>
      <w:r>
        <w:rPr>
          <w:rFonts w:ascii="Georgia" w:cs="Georgia" w:eastAsia="Georgia" w:hAnsi="Georgia"/>
          <w:b/>
          <w:bCs/>
          <w:color w:val="1A1A1A"/>
          <w:sz w:val="21"/>
          <w:szCs w:val="21"/>
        </w:rPr>
        <w:t xml:space="preserve">biological foundation models</w:t>
      </w:r>
      <w:r>
        <w:rPr>
          <w:rFonts w:ascii="Georgia" w:cs="Georgia" w:eastAsia="Georgia" w:hAnsi="Georgia"/>
          <w:color w:val="1A1A1A"/>
          <w:sz w:val="21"/>
          <w:szCs w:val="21"/>
        </w:rPr>
        <w:t xml:space="preserve"> trained on vast genomic datasets (such as ESM3 and Evo 2) can propose novel sequences. Combined with automated ‘cloud labs’, this compresses discovery from years to months.</w:t>
      </w:r>
    </w:p>
    <w:p>
      <w:pPr>
        <w:spacing w:after="140" w:line="276"/>
        <w:jc w:val="both"/>
      </w:pPr>
      <w:r>
        <w:rPr>
          <w:rFonts w:ascii="Georgia" w:cs="Georgia" w:eastAsia="Georgia" w:hAnsi="Georgia"/>
          <w:color w:val="1A1A1A"/>
          <w:sz w:val="21"/>
          <w:szCs w:val="21"/>
        </w:rPr>
        <w:t xml:space="preserve">The same capability lowers barriers to misuse. The governance concern is twofold: AI models may provide meaningful help to someone attempting to create a dangerous agent, and AI-designed sequences may evade DNA-synthesis screening that works by comparing orders against databases of known threats. Frontier AI developers now run biosecurity evaluations on their models, and screening providers are moving towards function-based rather than sequence-matching approaches. This convergence sits between AI and biotechnology regulators, and between Forum teams, which makes it a natural cross-cutting issue.</w:t>
      </w:r>
    </w:p>
    <w:p>
      <w:pPr>
        <w:pStyle w:val="Heading3"/>
        <w:spacing w:after="70" w:before="160"/>
      </w:pPr>
      <w:r>
        <w:rPr>
          <w:rFonts w:ascii="Calibri" w:cs="Calibri" w:eastAsia="Calibri" w:hAnsi="Calibri"/>
          <w:b/>
          <w:bCs/>
          <w:color w:val="1F2A44"/>
          <w:sz w:val="22"/>
          <w:szCs w:val="22"/>
        </w:rPr>
        <w:t xml:space="preserve">3.5 Scale and strategic context</w:t>
      </w:r>
    </w:p>
    <w:p>
      <w:pPr>
        <w:pStyle w:val="ListParagraph"/>
        <w:numPr>
          <w:ilvl w:val="0"/>
          <w:numId w:val="1"/>
        </w:numPr>
        <w:spacing w:after="70" w:line="268"/>
      </w:pPr>
      <w:r>
        <w:rPr>
          <w:rFonts w:ascii="Georgia" w:cs="Georgia" w:eastAsia="Georgia" w:hAnsi="Georgia"/>
          <w:color w:val="1A1A1A"/>
          <w:sz w:val="21"/>
          <w:szCs w:val="21"/>
        </w:rPr>
        <w:t xml:space="preserve">The bioeconomy is estimated at $4–5 trillion today, with potential to reach around $30 trillion by 2050 (Forum estimates).</w:t>
      </w:r>
    </w:p>
    <w:p>
      <w:pPr>
        <w:pStyle w:val="ListParagraph"/>
        <w:numPr>
          <w:ilvl w:val="0"/>
          <w:numId w:val="1"/>
        </w:numPr>
        <w:spacing w:after="70" w:line="268"/>
      </w:pPr>
      <w:r>
        <w:rPr>
          <w:rFonts w:ascii="Georgia" w:cs="Georgia" w:eastAsia="Georgia" w:hAnsi="Georgia"/>
          <w:color w:val="1A1A1A"/>
          <w:sz w:val="21"/>
          <w:szCs w:val="21"/>
        </w:rPr>
        <w:t xml:space="preserve">At least 50 countries have a national bioeconomy strategy or policy; China adopted one in 2022, and the EU published a Strategy for a Competitive and Sustainable Bioeconomy in November 2025.</w:t>
      </w:r>
    </w:p>
    <w:p>
      <w:pPr>
        <w:pStyle w:val="ListParagraph"/>
        <w:numPr>
          <w:ilvl w:val="0"/>
          <w:numId w:val="1"/>
        </w:numPr>
        <w:spacing w:after="70" w:line="268"/>
      </w:pPr>
      <w:r>
        <w:rPr>
          <w:rFonts w:ascii="Georgia" w:cs="Georgia" w:eastAsia="Georgia" w:hAnsi="Georgia"/>
          <w:color w:val="1A1A1A"/>
          <w:sz w:val="21"/>
          <w:szCs w:val="21"/>
        </w:rPr>
        <w:t xml:space="preserve">The synthetic-biology market was around $25–27 billion in 2025, growing at roughly 20% a year.</w:t>
      </w:r>
    </w:p>
    <w:p>
      <w:pPr>
        <w:pStyle w:val="ListParagraph"/>
        <w:numPr>
          <w:ilvl w:val="0"/>
          <w:numId w:val="1"/>
        </w:numPr>
        <w:spacing w:after="70" w:line="268"/>
      </w:pPr>
      <w:r>
        <w:rPr>
          <w:rFonts w:ascii="Georgia" w:cs="Georgia" w:eastAsia="Georgia" w:hAnsi="Georgia"/>
          <w:color w:val="1A1A1A"/>
          <w:sz w:val="21"/>
          <w:szCs w:val="21"/>
        </w:rPr>
        <w:t xml:space="preserve">Biotechnology is now framed as a matter of national security and strategic autonomy. The US National Security Commission on Emerging Biotechnology (final report, April 2025) concluded that China is rapidly gaining ground after two decades of strategic prioritisation, and recommended major federal investment and the use of national-security tools to protect the US biotech base.</w:t>
      </w:r>
    </w:p>
    <w:p>
      <w:pPr>
        <w:pStyle w:val="Heading3"/>
        <w:spacing w:after="70" w:before="160"/>
      </w:pPr>
      <w:r>
        <w:rPr>
          <w:rFonts w:ascii="Calibri" w:cs="Calibri" w:eastAsia="Calibri" w:hAnsi="Calibri"/>
          <w:b/>
          <w:bCs/>
          <w:color w:val="1F2A44"/>
          <w:sz w:val="22"/>
          <w:szCs w:val="22"/>
        </w:rPr>
        <w:t xml:space="preserve">3.6 The regulatory landscape</w:t>
      </w:r>
    </w:p>
    <w:p>
      <w:pPr>
        <w:spacing w:after="140" w:line="276"/>
        <w:jc w:val="both"/>
      </w:pPr>
      <w:r>
        <w:rPr>
          <w:rFonts w:ascii="Georgia" w:cs="Georgia" w:eastAsia="Georgia" w:hAnsi="Georgia"/>
          <w:b/>
          <w:bCs/>
          <w:color w:val="1A1A1A"/>
          <w:sz w:val="21"/>
          <w:szCs w:val="21"/>
        </w:rPr>
        <w:t xml:space="preserve">The fundamental split: product versus process.</w:t>
      </w:r>
      <w:r>
        <w:rPr>
          <w:rFonts w:ascii="Georgia" w:cs="Georgia" w:eastAsia="Georgia" w:hAnsi="Georgia"/>
          <w:color w:val="1A1A1A"/>
          <w:sz w:val="21"/>
          <w:szCs w:val="21"/>
        </w:rPr>
        <w:t xml:space="preserve"> The US regulates biotechnology by the characteristics of the </w:t>
      </w:r>
      <w:r>
        <w:rPr>
          <w:rFonts w:ascii="Georgia" w:cs="Georgia" w:eastAsia="Georgia" w:hAnsi="Georgia"/>
          <w:i/>
          <w:iCs/>
          <w:color w:val="1A1A1A"/>
          <w:sz w:val="21"/>
          <w:szCs w:val="21"/>
        </w:rPr>
        <w:t xml:space="preserve">product</w:t>
      </w:r>
      <w:r>
        <w:rPr>
          <w:rFonts w:ascii="Georgia" w:cs="Georgia" w:eastAsia="Georgia" w:hAnsi="Georgia"/>
          <w:color w:val="1A1A1A"/>
          <w:sz w:val="21"/>
          <w:szCs w:val="21"/>
        </w:rPr>
        <w:t xml:space="preserve">, under the Coordinated Framework for the Regulation of Biotechnology (1986), which divides responsibility between the FDA, USDA and EPA. The EU has regulated by the </w:t>
      </w:r>
      <w:r>
        <w:rPr>
          <w:rFonts w:ascii="Georgia" w:cs="Georgia" w:eastAsia="Georgia" w:hAnsi="Georgia"/>
          <w:i/>
          <w:iCs/>
          <w:color w:val="1A1A1A"/>
          <w:sz w:val="21"/>
          <w:szCs w:val="21"/>
        </w:rPr>
        <w:t xml:space="preserve">process</w:t>
      </w:r>
      <w:r>
        <w:rPr>
          <w:rFonts w:ascii="Georgia" w:cs="Georgia" w:eastAsia="Georgia" w:hAnsi="Georgia"/>
          <w:color w:val="1A1A1A"/>
          <w:sz w:val="21"/>
          <w:szCs w:val="21"/>
        </w:rPr>
        <w:t xml:space="preserve"> used: organisms produced by genetic modification fall under its GMO rules, and in 2018 the EU Court of Justice ruled that gene-edited organisms are GMOs too. This single difference explains much of the transatlantic divergence in agriculture and food.</w:t>
      </w:r>
    </w:p>
    <w:tbl>
      <w:tblPr>
        <w:tblW w:type="dxa" w:w="9360"/>
        <w:tblBorders>
          <w:top w:val="single" w:color="C9D3E0" w:sz="2"/>
          <w:left w:val="none"/>
          <w:bottom w:val="single" w:color="C9D3E0" w:sz="2"/>
          <w:right w:val="none"/>
          <w:insideH w:val="single" w:color="C9D3E0" w:sz="2"/>
          <w:insideV w:val="single" w:color="C9D3E0" w:sz="2"/>
        </w:tblBorders>
      </w:tblPr>
      <w:tblGrid>
        <w:gridCol w:w="2200"/>
        <w:gridCol w:w="7160"/>
      </w:tblGrid>
      <w:tr>
        <w:trPr>
          <w:tblHeader/>
        </w:trPr>
        <w:tc>
          <w:tcPr>
            <w:tcW w:type="dxa" w:w="2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Area</w:t>
            </w:r>
          </w:p>
        </w:tc>
        <w:tc>
          <w:tcPr>
            <w:tcW w:type="dxa" w:w="7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Key developments</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plants and food</w:t>
            </w:r>
          </w:p>
        </w:tc>
        <w:tc>
          <w:tcPr>
            <w:tcW w:type="dxa" w:w="7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Provisional agreement (December 2025) on a regulation for plants produced by new genomic techniques (NGTs): category 1 plants, comparable to conventionally bred ones, would be treated like conventional plants; category 2 plants remain under GMO rules, including labelling. An expert group will examine the effect of patents on NGT plants.</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 industrial strategy</w:t>
            </w:r>
          </w:p>
        </w:tc>
        <w:tc>
          <w:tcPr>
            <w:tcW w:type="dxa" w:w="7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Proposal for a European Biotech Act (December 2025) to strengthen biotechnology and biomanufacturing and speed the path from research to market; Bioeconomy Strategy (November 2025).</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Medicines</w:t>
            </w:r>
          </w:p>
        </w:tc>
        <w:tc>
          <w:tcPr>
            <w:tcW w:type="dxa" w:w="7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Advanced therapies are regulated by the FDA in the US and as advanced therapy medicinal products by the EMA in the EU. Bespoke and platform therapies strain approval models designed for mass-produced drugs, and regulators are developing new pathways.</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US security posture</w:t>
            </w:r>
          </w:p>
        </w:tc>
        <w:tc>
          <w:tcPr>
            <w:tcW w:type="dxa" w:w="7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NSCEB report (April 2025); a May 2025 executive order tightening oversight of dangerous gain-of-function research; federal expectations that DNA-synthesis providers screen orders; legislative efforts to restrict certain Chinese biotech suppliers.</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Biosecurity, international</w:t>
            </w:r>
          </w:p>
        </w:tc>
        <w:tc>
          <w:tcPr>
            <w:tcW w:type="dxa" w:w="7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Biological Weapons Convention (in force since 1975, over 180 states parties) prohibits biological weapons but has no verification mechanism; a working group has been exploring how to strengthen it. Screening norms are set largely by industry (the International Gene Synthesis Consortium) and by initiatives such as IBBIS (the International Biosecurity and Biosafety Initiative for Science, launched 2024).</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Biosafety and benefit sharing</w:t>
            </w:r>
          </w:p>
        </w:tc>
        <w:tc>
          <w:tcPr>
            <w:tcW w:type="dxa" w:w="7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Cartagena Protocol governs cross-border movement of living modified organisms; the Nagoya Protocol governs access to genetic resources and benefit sharing. In 2024 the Convention on Biological Diversity created the ‘Cali Fund’ for sharing benefits from the use of digital sequence information.</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Human genome editing</w:t>
            </w:r>
          </w:p>
        </w:tc>
        <w:tc>
          <w:tcPr>
            <w:tcW w:type="dxa" w:w="7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Germline editing is broadly prohibited after the 2018 He Jiankui case; the WHO issued a governance framework in 2021. China adopted a Biosecurity Law (2021) and tighter ethics rules.</w:t>
            </w:r>
          </w:p>
        </w:tc>
      </w:tr>
    </w:tbl>
    <w:p>
      <w:pPr>
        <w:spacing w:after="80"/>
      </w:pPr>
    </w:p>
    <w:p>
      <w:pPr>
        <w:spacing w:after="140" w:line="276"/>
        <w:jc w:val="both"/>
      </w:pPr>
      <w:r>
        <w:rPr>
          <w:rFonts w:ascii="Georgia" w:cs="Georgia" w:eastAsia="Georgia" w:hAnsi="Georgia"/>
          <w:b/>
          <w:bCs/>
          <w:color w:val="1A1A1A"/>
          <w:sz w:val="21"/>
          <w:szCs w:val="21"/>
        </w:rPr>
        <w:t xml:space="preserve">Biosafety versus biosecurity.</w:t>
      </w:r>
      <w:r>
        <w:rPr>
          <w:rFonts w:ascii="Georgia" w:cs="Georgia" w:eastAsia="Georgia" w:hAnsi="Georgia"/>
          <w:color w:val="1A1A1A"/>
          <w:sz w:val="21"/>
          <w:szCs w:val="21"/>
        </w:rPr>
        <w:t xml:space="preserve"> Biosafety protects people and the environment from accidental exposure or release (laboratories are graded from biosafety level 1 to 4 according to containment). Biosecurity prevents deliberate misuse. Dual-use research of concern (DURC) and gain-of-function research (enhancing a pathogen’s properties) are where the two overlap.</w:t>
      </w:r>
    </w:p>
    <w:p>
      <w:pPr>
        <w:pStyle w:val="Heading3"/>
        <w:spacing w:after="70" w:before="160"/>
      </w:pPr>
      <w:r>
        <w:rPr>
          <w:rFonts w:ascii="Calibri" w:cs="Calibri" w:eastAsia="Calibri" w:hAnsi="Calibri"/>
          <w:b/>
          <w:bCs/>
          <w:color w:val="1F2A44"/>
          <w:sz w:val="22"/>
          <w:szCs w:val="22"/>
        </w:rPr>
        <w:t xml:space="preserve">3.7 The governance issue map for biotechnology</w:t>
      </w:r>
    </w:p>
    <w:tbl>
      <w:tblPr>
        <w:tblW w:type="dxa" w:w="9360"/>
        <w:tblBorders>
          <w:top w:val="single" w:color="C9D3E0" w:sz="2"/>
          <w:left w:val="none"/>
          <w:bottom w:val="single" w:color="C9D3E0" w:sz="2"/>
          <w:right w:val="none"/>
          <w:insideH w:val="single" w:color="C9D3E0" w:sz="2"/>
          <w:insideV w:val="single" w:color="C9D3E0" w:sz="2"/>
        </w:tblBorders>
      </w:tblPr>
      <w:tblGrid>
        <w:gridCol w:w="2100"/>
        <w:gridCol w:w="3500"/>
        <w:gridCol w:w="3760"/>
      </w:tblGrid>
      <w:tr>
        <w:trPr>
          <w:tblHeader/>
        </w:trPr>
        <w:tc>
          <w:tcPr>
            <w:tcW w:type="dxa" w:w="2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Issue</w:t>
            </w:r>
          </w:p>
        </w:tc>
        <w:tc>
          <w:tcPr>
            <w:tcW w:type="dxa" w:w="3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is at stake</w:t>
            </w:r>
          </w:p>
        </w:tc>
        <w:tc>
          <w:tcPr>
            <w:tcW w:type="dxa" w:w="37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Where the gap is</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AI-enabled biosecurity</w:t>
            </w:r>
          </w:p>
        </w:tc>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lowers barriers to designing harmful agents; screening built for known sequences is outpaced.</w:t>
            </w:r>
          </w:p>
        </w:tc>
        <w:tc>
          <w:tcPr>
            <w:tcW w:type="dxa" w:w="3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Shared standards linking AI model safeguards, synthesis screening and customer verification across countries.</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Divergent classification</w:t>
            </w:r>
          </w:p>
        </w:tc>
        <w:tc>
          <w:tcPr>
            <w:tcW w:type="dxa" w:w="3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same gene-edited product is ‘conventional’ in one market and a GMO in another.</w:t>
            </w:r>
          </w:p>
        </w:tc>
        <w:tc>
          <w:tcPr>
            <w:tcW w:type="dxa" w:w="3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Mutual understanding of classification approaches; trade and investment impacts.</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Regulating novel therapies</w:t>
            </w:r>
          </w:p>
        </w:tc>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Bespoke, platform and in-body editing therapies do not fit approval models built for mass-produced drugs.</w:t>
            </w:r>
          </w:p>
        </w:tc>
        <w:tc>
          <w:tcPr>
            <w:tcW w:type="dxa" w:w="3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Shared learning among medicines regulators on new pathways.</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Scaling biomanufacturing</w:t>
            </w:r>
          </w:p>
        </w:tc>
        <w:tc>
          <w:tcPr>
            <w:tcW w:type="dxa" w:w="3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Permitting, facility standards and capacity limit industrial scale-up.</w:t>
            </w:r>
          </w:p>
        </w:tc>
        <w:tc>
          <w:tcPr>
            <w:tcW w:type="dxa" w:w="3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clarity for new products and facilities; cross-border recognition.</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Access and benefit sharing</w:t>
            </w:r>
          </w:p>
        </w:tc>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 therapies can cost millions per patient; benefits from genetic data flow mostly to rich countries.</w:t>
            </w:r>
          </w:p>
        </w:tc>
        <w:tc>
          <w:tcPr>
            <w:tcW w:type="dxa" w:w="3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Mechanisms such as the Cali Fund need implementation; pricing and access models.</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Genomic data</w:t>
            </w:r>
          </w:p>
        </w:tc>
        <w:tc>
          <w:tcPr>
            <w:tcW w:type="dxa" w:w="3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Privacy, consent and data sovereignty for genetic information.</w:t>
            </w:r>
          </w:p>
        </w:tc>
        <w:tc>
          <w:tcPr>
            <w:tcW w:type="dxa" w:w="3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Interoperable rules for sharing genomic data for research while protecting individuals.</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Public trust</w:t>
            </w:r>
          </w:p>
        </w:tc>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Europe’s GMO history shows public rejection can shape regulation for decades.</w:t>
            </w:r>
          </w:p>
        </w:tc>
        <w:tc>
          <w:tcPr>
            <w:tcW w:type="dxa" w:w="3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Early, inclusive public engagement before products reach the market.</w:t>
            </w:r>
          </w:p>
        </w:tc>
      </w:tr>
    </w:tbl>
    <w:p>
      <w:pPr>
        <w:spacing w:after="80"/>
      </w:pPr>
    </w:p>
    <w:p>
      <w:pPr>
        <w:pStyle w:val="Heading3"/>
        <w:spacing w:after="70" w:before="160"/>
      </w:pPr>
      <w:r>
        <w:rPr>
          <w:rFonts w:ascii="Calibri" w:cs="Calibri" w:eastAsia="Calibri" w:hAnsi="Calibri"/>
          <w:b/>
          <w:bCs/>
          <w:color w:val="1F2A44"/>
          <w:sz w:val="22"/>
          <w:szCs w:val="22"/>
        </w:rPr>
        <w:t xml:space="preserve">3.8 The live debates</w:t>
      </w:r>
    </w:p>
    <w:p>
      <w:pPr>
        <w:pStyle w:val="ListParagraph"/>
        <w:numPr>
          <w:ilvl w:val="0"/>
          <w:numId w:val="1"/>
        </w:numPr>
        <w:spacing w:after="70" w:line="268"/>
      </w:pPr>
      <w:r>
        <w:rPr>
          <w:rFonts w:ascii="Georgia" w:cs="Georgia" w:eastAsia="Georgia" w:hAnsi="Georgia"/>
          <w:b/>
          <w:bCs/>
          <w:color w:val="1A1A1A"/>
          <w:sz w:val="21"/>
          <w:szCs w:val="21"/>
        </w:rPr>
        <w:t xml:space="preserve">Open science versus biosecurity.</w:t>
      </w:r>
      <w:r>
        <w:rPr>
          <w:rFonts w:ascii="Georgia" w:cs="Georgia" w:eastAsia="Georgia" w:hAnsi="Georgia"/>
          <w:color w:val="1A1A1A"/>
          <w:sz w:val="21"/>
          <w:szCs w:val="21"/>
        </w:rPr>
        <w:t xml:space="preserve"> Whether to publish methods that could be misused, and whether biological AI models should be released openly or with access controls.</w:t>
      </w:r>
    </w:p>
    <w:p>
      <w:pPr>
        <w:pStyle w:val="ListParagraph"/>
        <w:numPr>
          <w:ilvl w:val="0"/>
          <w:numId w:val="1"/>
        </w:numPr>
        <w:spacing w:after="70" w:line="268"/>
      </w:pPr>
      <w:r>
        <w:rPr>
          <w:rFonts w:ascii="Georgia" w:cs="Georgia" w:eastAsia="Georgia" w:hAnsi="Georgia"/>
          <w:b/>
          <w:bCs/>
          <w:color w:val="1A1A1A"/>
          <w:sz w:val="21"/>
          <w:szCs w:val="21"/>
        </w:rPr>
        <w:t xml:space="preserve">Product versus process.</w:t>
      </w:r>
      <w:r>
        <w:rPr>
          <w:rFonts w:ascii="Georgia" w:cs="Georgia" w:eastAsia="Georgia" w:hAnsi="Georgia"/>
          <w:color w:val="1A1A1A"/>
          <w:sz w:val="21"/>
          <w:szCs w:val="21"/>
        </w:rPr>
        <w:t xml:space="preserve"> Whether gene-edited products that could have arisen through conventional breeding should face GMO rules; the EU’s NGT reform is a partial shift towards the product view.</w:t>
      </w:r>
    </w:p>
    <w:p>
      <w:pPr>
        <w:pStyle w:val="ListParagraph"/>
        <w:numPr>
          <w:ilvl w:val="0"/>
          <w:numId w:val="1"/>
        </w:numPr>
        <w:spacing w:after="70" w:line="268"/>
      </w:pPr>
      <w:r>
        <w:rPr>
          <w:rFonts w:ascii="Georgia" w:cs="Georgia" w:eastAsia="Georgia" w:hAnsi="Georgia"/>
          <w:b/>
          <w:bCs/>
          <w:color w:val="1A1A1A"/>
          <w:sz w:val="21"/>
          <w:szCs w:val="21"/>
        </w:rPr>
        <w:t xml:space="preserve">Speed versus assurance for new therapies.</w:t>
      </w:r>
      <w:r>
        <w:rPr>
          <w:rFonts w:ascii="Georgia" w:cs="Georgia" w:eastAsia="Georgia" w:hAnsi="Georgia"/>
          <w:color w:val="1A1A1A"/>
          <w:sz w:val="21"/>
          <w:szCs w:val="21"/>
        </w:rPr>
        <w:t xml:space="preserve"> How far regulators should accept smaller trials, platform approvals and bespoke treatments for rare diseases.</w:t>
      </w:r>
    </w:p>
    <w:p>
      <w:pPr>
        <w:pStyle w:val="ListParagraph"/>
        <w:numPr>
          <w:ilvl w:val="0"/>
          <w:numId w:val="1"/>
        </w:numPr>
        <w:spacing w:after="70" w:line="268"/>
      </w:pPr>
      <w:r>
        <w:rPr>
          <w:rFonts w:ascii="Georgia" w:cs="Georgia" w:eastAsia="Georgia" w:hAnsi="Georgia"/>
          <w:b/>
          <w:bCs/>
          <w:color w:val="1A1A1A"/>
          <w:sz w:val="21"/>
          <w:szCs w:val="21"/>
        </w:rPr>
        <w:t xml:space="preserve">Environmental release.</w:t>
      </w:r>
      <w:r>
        <w:rPr>
          <w:rFonts w:ascii="Georgia" w:cs="Georgia" w:eastAsia="Georgia" w:hAnsi="Georgia"/>
          <w:color w:val="1A1A1A"/>
          <w:sz w:val="21"/>
          <w:szCs w:val="21"/>
        </w:rPr>
        <w:t xml:space="preserve"> Whether gene drives should ever be released, who decides for shared ecosystems, and how to obtain consent from affected communities.</w:t>
      </w:r>
    </w:p>
    <w:p>
      <w:pPr>
        <w:pStyle w:val="ListParagraph"/>
        <w:numPr>
          <w:ilvl w:val="0"/>
          <w:numId w:val="1"/>
        </w:numPr>
        <w:spacing w:after="70" w:line="268"/>
      </w:pPr>
      <w:r>
        <w:rPr>
          <w:rFonts w:ascii="Georgia" w:cs="Georgia" w:eastAsia="Georgia" w:hAnsi="Georgia"/>
          <w:b/>
          <w:bCs/>
          <w:color w:val="1A1A1A"/>
          <w:sz w:val="21"/>
          <w:szCs w:val="21"/>
        </w:rPr>
        <w:t xml:space="preserve">Access and fairness.</w:t>
      </w:r>
      <w:r>
        <w:rPr>
          <w:rFonts w:ascii="Georgia" w:cs="Georgia" w:eastAsia="Georgia" w:hAnsi="Georgia"/>
          <w:color w:val="1A1A1A"/>
          <w:sz w:val="21"/>
          <w:szCs w:val="21"/>
        </w:rPr>
        <w:t xml:space="preserve"> The price of gene therapies, and whether benefit-sharing for genetic data (the Cali Fund) will deliver meaningful resources.</w:t>
      </w:r>
    </w:p>
    <w:p>
      <w:pPr>
        <w:pStyle w:val="ListParagraph"/>
        <w:numPr>
          <w:ilvl w:val="0"/>
          <w:numId w:val="1"/>
        </w:numPr>
        <w:spacing w:after="70" w:line="268"/>
      </w:pPr>
      <w:r>
        <w:rPr>
          <w:rFonts w:ascii="Georgia" w:cs="Georgia" w:eastAsia="Georgia" w:hAnsi="Georgia"/>
          <w:b/>
          <w:bCs/>
          <w:color w:val="1A1A1A"/>
          <w:sz w:val="21"/>
          <w:szCs w:val="21"/>
        </w:rPr>
        <w:t xml:space="preserve">Security framing.</w:t>
      </w:r>
      <w:r>
        <w:rPr>
          <w:rFonts w:ascii="Georgia" w:cs="Georgia" w:eastAsia="Georgia" w:hAnsi="Georgia"/>
          <w:color w:val="1A1A1A"/>
          <w:sz w:val="21"/>
          <w:szCs w:val="21"/>
        </w:rPr>
        <w:t xml:space="preserve"> Whether treating biotechnology as a national-security contest undermines the international cooperation that biosafety and biosecurity require.</w:t>
      </w:r>
    </w:p>
    <w:p>
      <w:r>
        <w:br w:type="page"/>
      </w:r>
    </w:p>
    <w:p>
      <w:pPr>
        <w:pStyle w:val="Heading2"/>
        <w:spacing w:after="100" w:before="220"/>
      </w:pPr>
      <w:r>
        <w:rPr>
          <w:rFonts w:ascii="Calibri" w:cs="Calibri" w:eastAsia="Calibri" w:hAnsi="Calibri"/>
          <w:b/>
          <w:bCs/>
          <w:color w:val="2F5D8A"/>
          <w:sz w:val="25"/>
          <w:szCs w:val="25"/>
        </w:rPr>
        <w:t xml:space="preserve">4. Space and planetary systems</w:t>
      </w:r>
    </w:p>
    <w:p>
      <w:pPr>
        <w:pStyle w:val="Heading3"/>
        <w:spacing w:after="70" w:before="160"/>
      </w:pPr>
      <w:r>
        <w:rPr>
          <w:rFonts w:ascii="Calibri" w:cs="Calibri" w:eastAsia="Calibri" w:hAnsi="Calibri"/>
          <w:b/>
          <w:bCs/>
          <w:color w:val="1F2A44"/>
          <w:sz w:val="22"/>
          <w:szCs w:val="22"/>
        </w:rPr>
        <w:t xml:space="preserve">4.1 The primer</w:t>
      </w:r>
    </w:p>
    <w:p>
      <w:pPr>
        <w:spacing w:after="140" w:line="276"/>
        <w:jc w:val="both"/>
      </w:pPr>
      <w:r>
        <w:rPr>
          <w:rFonts w:ascii="Georgia" w:cs="Georgia" w:eastAsia="Georgia" w:hAnsi="Georgia"/>
          <w:color w:val="1A1A1A"/>
          <w:sz w:val="21"/>
          <w:szCs w:val="21"/>
        </w:rPr>
        <w:t xml:space="preserve">Satellites operate in orbits defined by altitude. </w:t>
      </w:r>
      <w:r>
        <w:rPr>
          <w:rFonts w:ascii="Georgia" w:cs="Georgia" w:eastAsia="Georgia" w:hAnsi="Georgia"/>
          <w:b/>
          <w:bCs/>
          <w:color w:val="1A1A1A"/>
          <w:sz w:val="21"/>
          <w:szCs w:val="21"/>
        </w:rPr>
        <w:t xml:space="preserve">Low Earth Orbit (LEO)</w:t>
      </w:r>
      <w:r>
        <w:rPr>
          <w:rFonts w:ascii="Georgia" w:cs="Georgia" w:eastAsia="Georgia" w:hAnsi="Georgia"/>
          <w:color w:val="1A1A1A"/>
          <w:sz w:val="21"/>
          <w:szCs w:val="21"/>
        </w:rPr>
        <w:t xml:space="preserve">, roughly 160 to 2,000 km, offers low latency and cheap access, and hosts the ‘mega-constellations’ of thousands of small satellites providing broadband (such as Starlink). </w:t>
      </w:r>
      <w:r>
        <w:rPr>
          <w:rFonts w:ascii="Georgia" w:cs="Georgia" w:eastAsia="Georgia" w:hAnsi="Georgia"/>
          <w:b/>
          <w:bCs/>
          <w:color w:val="1A1A1A"/>
          <w:sz w:val="21"/>
          <w:szCs w:val="21"/>
        </w:rPr>
        <w:t xml:space="preserve">Medium Earth Orbit</w:t>
      </w:r>
      <w:r>
        <w:rPr>
          <w:rFonts w:ascii="Georgia" w:cs="Georgia" w:eastAsia="Georgia" w:hAnsi="Georgia"/>
          <w:color w:val="1A1A1A"/>
          <w:sz w:val="21"/>
          <w:szCs w:val="21"/>
        </w:rPr>
        <w:t xml:space="preserve"> hosts navigation systems (GPS, Galileo). </w:t>
      </w:r>
      <w:r>
        <w:rPr>
          <w:rFonts w:ascii="Georgia" w:cs="Georgia" w:eastAsia="Georgia" w:hAnsi="Georgia"/>
          <w:b/>
          <w:bCs/>
          <w:color w:val="1A1A1A"/>
          <w:sz w:val="21"/>
          <w:szCs w:val="21"/>
        </w:rPr>
        <w:t xml:space="preserve">Geostationary orbit</w:t>
      </w:r>
      <w:r>
        <w:rPr>
          <w:rFonts w:ascii="Georgia" w:cs="Georgia" w:eastAsia="Georgia" w:hAnsi="Georgia"/>
          <w:color w:val="1A1A1A"/>
          <w:sz w:val="21"/>
          <w:szCs w:val="21"/>
        </w:rPr>
        <w:t xml:space="preserve"> (about 35,786 km) keeps a satellite fixed over one point, suited to broadcasting and weather. The transformation of the last decade is economic: reusable rockets have cut launch costs by roughly an order of magnitude, opening space to commercial operators and to many more countries.</w:t>
      </w:r>
    </w:p>
    <w:p>
      <w:pPr>
        <w:spacing w:after="140" w:line="276"/>
        <w:jc w:val="both"/>
      </w:pPr>
      <w:r>
        <w:rPr>
          <w:rFonts w:ascii="Georgia" w:cs="Georgia" w:eastAsia="Georgia" w:hAnsi="Georgia"/>
          <w:color w:val="1A1A1A"/>
          <w:sz w:val="21"/>
          <w:szCs w:val="21"/>
        </w:rPr>
        <w:t xml:space="preserve">Space value comes from three services used on Earth: communications, positioning-navigation-timing (PNT), and Earth observation. The Forum’s 2024 analysis with McKinsey projects the space economy growing from about $630 billion (2023) to $1.8 trillion by 2035, with more than 60% of demand coming from sectors such as supply chains and transport, food, defence, retail and digital communications. Space is therefore increasingly an enabling infrastructure for the whole economy rather than a sector apart.</w:t>
      </w:r>
    </w:p>
    <w:p>
      <w:pPr>
        <w:pStyle w:val="Heading3"/>
        <w:spacing w:after="70" w:before="160"/>
      </w:pPr>
      <w:r>
        <w:rPr>
          <w:rFonts w:ascii="Calibri" w:cs="Calibri" w:eastAsia="Calibri" w:hAnsi="Calibri"/>
          <w:b/>
          <w:bCs/>
          <w:color w:val="1F2A44"/>
          <w:sz w:val="22"/>
          <w:szCs w:val="22"/>
        </w:rPr>
        <w:t xml:space="preserve">4.2 Debris and sustainability</w:t>
      </w:r>
    </w:p>
    <w:p>
      <w:pPr>
        <w:spacing w:after="140" w:line="276"/>
        <w:jc w:val="both"/>
      </w:pPr>
      <w:r>
        <w:rPr>
          <w:rFonts w:ascii="Georgia" w:cs="Georgia" w:eastAsia="Georgia" w:hAnsi="Georgia"/>
          <w:color w:val="1A1A1A"/>
          <w:sz w:val="21"/>
          <w:szCs w:val="21"/>
        </w:rPr>
        <w:t xml:space="preserve">There are over one million pieces of debris larger than one centimetre in orbit, travelling at over 25,000 km/h. The systemic risk is a collision cascade (the </w:t>
      </w:r>
      <w:r>
        <w:rPr>
          <w:rFonts w:ascii="Georgia" w:cs="Georgia" w:eastAsia="Georgia" w:hAnsi="Georgia"/>
          <w:b/>
          <w:bCs/>
          <w:color w:val="1A1A1A"/>
          <w:sz w:val="21"/>
          <w:szCs w:val="21"/>
        </w:rPr>
        <w:t xml:space="preserve">Kessler syndrome</w:t>
      </w:r>
      <w:r>
        <w:rPr>
          <w:rFonts w:ascii="Georgia" w:cs="Georgia" w:eastAsia="Georgia" w:hAnsi="Georgia"/>
          <w:color w:val="1A1A1A"/>
          <w:sz w:val="21"/>
          <w:szCs w:val="21"/>
        </w:rPr>
        <w:t xml:space="preserve">), in which collisions create debris that causes further collisions, potentially rendering valuable orbits unusable. The Forum’s 2026 report estimates the direct cost of inaction at up to about $42 billion over a decade. Responses include post-mission disposal rules (the US FCC cut the permitted time for deorbiting LEO satellites from 25 to 5 years in 2022), industry commitments (the Forum’s 2023 Debris Mitigation Recommendations), ratings (the Space Sustainability Rating) and active debris removal missions.</w:t>
      </w:r>
    </w:p>
    <w:p>
      <w:pPr>
        <w:pStyle w:val="Heading3"/>
        <w:spacing w:after="70" w:before="160"/>
      </w:pPr>
      <w:r>
        <w:rPr>
          <w:rFonts w:ascii="Calibri" w:cs="Calibri" w:eastAsia="Calibri" w:hAnsi="Calibri"/>
          <w:b/>
          <w:bCs/>
          <w:color w:val="1F2A44"/>
          <w:sz w:val="22"/>
          <w:szCs w:val="22"/>
        </w:rPr>
        <w:t xml:space="preserve">4.3 The legal framework and its gaps</w:t>
      </w:r>
    </w:p>
    <w:p>
      <w:pPr>
        <w:spacing w:after="140" w:line="276"/>
        <w:jc w:val="both"/>
      </w:pPr>
      <w:r>
        <w:rPr>
          <w:rFonts w:ascii="Georgia" w:cs="Georgia" w:eastAsia="Georgia" w:hAnsi="Georgia"/>
          <w:color w:val="1A1A1A"/>
          <w:sz w:val="21"/>
          <w:szCs w:val="21"/>
        </w:rPr>
        <w:t xml:space="preserve">The foundation is the </w:t>
      </w:r>
      <w:r>
        <w:rPr>
          <w:rFonts w:ascii="Georgia" w:cs="Georgia" w:eastAsia="Georgia" w:hAnsi="Georgia"/>
          <w:b/>
          <w:bCs/>
          <w:color w:val="1A1A1A"/>
          <w:sz w:val="21"/>
          <w:szCs w:val="21"/>
        </w:rPr>
        <w:t xml:space="preserve">Outer Space Treaty (1967)</w:t>
      </w:r>
      <w:r>
        <w:rPr>
          <w:rFonts w:ascii="Georgia" w:cs="Georgia" w:eastAsia="Georgia" w:hAnsi="Georgia"/>
          <w:color w:val="1A1A1A"/>
          <w:sz w:val="21"/>
          <w:szCs w:val="21"/>
        </w:rPr>
        <w:t xml:space="preserve">: space is free for exploration by all, cannot be claimed by any nation, and states are responsible for their national activities, including those of private companies. Four further UN treaties cover rescue, liability, registration and the Moon; UNOOSA and the UN Committee on the Peaceful Uses of Outer Space (COPUOS) are the multilateral forums; the ITU allocates radio spectrum and orbital positions; national agencies license launches and operations. The US-led </w:t>
      </w:r>
      <w:r>
        <w:rPr>
          <w:rFonts w:ascii="Georgia" w:cs="Georgia" w:eastAsia="Georgia" w:hAnsi="Georgia"/>
          <w:b/>
          <w:bCs/>
          <w:color w:val="1A1A1A"/>
          <w:sz w:val="21"/>
          <w:szCs w:val="21"/>
        </w:rPr>
        <w:t xml:space="preserve">Artemis Accords</w:t>
      </w:r>
      <w:r>
        <w:rPr>
          <w:rFonts w:ascii="Georgia" w:cs="Georgia" w:eastAsia="Georgia" w:hAnsi="Georgia"/>
          <w:color w:val="1A1A1A"/>
          <w:sz w:val="21"/>
          <w:szCs w:val="21"/>
        </w:rPr>
        <w:t xml:space="preserve"> (2020) set out principles for civil exploration and resource use and have attracted dozens of signatories; the European Commission proposed an </w:t>
      </w:r>
      <w:r>
        <w:rPr>
          <w:rFonts w:ascii="Georgia" w:cs="Georgia" w:eastAsia="Georgia" w:hAnsi="Georgia"/>
          <w:b/>
          <w:bCs/>
          <w:color w:val="1A1A1A"/>
          <w:sz w:val="21"/>
          <w:szCs w:val="21"/>
        </w:rPr>
        <w:t xml:space="preserve">EU Space Act</w:t>
      </w:r>
      <w:r>
        <w:rPr>
          <w:rFonts w:ascii="Georgia" w:cs="Georgia" w:eastAsia="Georgia" w:hAnsi="Georgia"/>
          <w:color w:val="1A1A1A"/>
          <w:sz w:val="21"/>
          <w:szCs w:val="21"/>
        </w:rPr>
        <w:t xml:space="preserve"> in 2025 on safety, resilience and sustainability.</w:t>
      </w:r>
    </w:p>
    <w:p>
      <w:pPr>
        <w:spacing w:after="140" w:line="276"/>
        <w:jc w:val="both"/>
      </w:pPr>
      <w:r>
        <w:rPr>
          <w:rFonts w:ascii="Georgia" w:cs="Georgia" w:eastAsia="Georgia" w:hAnsi="Georgia"/>
          <w:color w:val="1A1A1A"/>
          <w:sz w:val="21"/>
          <w:szCs w:val="21"/>
        </w:rPr>
        <w:t xml:space="preserve">The gaps are well known: no binding international regime for </w:t>
      </w:r>
      <w:r>
        <w:rPr>
          <w:rFonts w:ascii="Georgia" w:cs="Georgia" w:eastAsia="Georgia" w:hAnsi="Georgia"/>
          <w:b/>
          <w:bCs/>
          <w:color w:val="1A1A1A"/>
          <w:sz w:val="21"/>
          <w:szCs w:val="21"/>
        </w:rPr>
        <w:t xml:space="preserve">space traffic management</w:t>
      </w:r>
      <w:r>
        <w:rPr>
          <w:rFonts w:ascii="Georgia" w:cs="Georgia" w:eastAsia="Georgia" w:hAnsi="Georgia"/>
          <w:color w:val="1A1A1A"/>
          <w:sz w:val="21"/>
          <w:szCs w:val="21"/>
        </w:rPr>
        <w:t xml:space="preserve">, for </w:t>
      </w:r>
      <w:r>
        <w:rPr>
          <w:rFonts w:ascii="Georgia" w:cs="Georgia" w:eastAsia="Georgia" w:hAnsi="Georgia"/>
          <w:b/>
          <w:bCs/>
          <w:color w:val="1A1A1A"/>
          <w:sz w:val="21"/>
          <w:szCs w:val="21"/>
        </w:rPr>
        <w:t xml:space="preserve">active debris removal</w:t>
      </w:r>
      <w:r>
        <w:rPr>
          <w:rFonts w:ascii="Georgia" w:cs="Georgia" w:eastAsia="Georgia" w:hAnsi="Georgia"/>
          <w:color w:val="1A1A1A"/>
          <w:sz w:val="21"/>
          <w:szCs w:val="21"/>
        </w:rPr>
        <w:t xml:space="preserve">, or for </w:t>
      </w:r>
      <w:r>
        <w:rPr>
          <w:rFonts w:ascii="Georgia" w:cs="Georgia" w:eastAsia="Georgia" w:hAnsi="Georgia"/>
          <w:b/>
          <w:bCs/>
          <w:color w:val="1A1A1A"/>
          <w:sz w:val="21"/>
          <w:szCs w:val="21"/>
        </w:rPr>
        <w:t xml:space="preserve">property rights over space resources</w:t>
      </w:r>
      <w:r>
        <w:rPr>
          <w:rFonts w:ascii="Georgia" w:cs="Georgia" w:eastAsia="Georgia" w:hAnsi="Georgia"/>
          <w:color w:val="1A1A1A"/>
          <w:sz w:val="21"/>
          <w:szCs w:val="21"/>
        </w:rPr>
        <w:t xml:space="preserve">; unclear liability for private collisions; and growing concerns over the impact of mega-constellations on astronomy and on equitable access to orbits and spectrum.</w:t>
      </w:r>
    </w:p>
    <w:p>
      <w:pPr>
        <w:pStyle w:val="Heading3"/>
        <w:spacing w:after="70" w:before="160"/>
      </w:pPr>
      <w:r>
        <w:rPr>
          <w:rFonts w:ascii="Calibri" w:cs="Calibri" w:eastAsia="Calibri" w:hAnsi="Calibri"/>
          <w:b/>
          <w:bCs/>
          <w:color w:val="1F2A44"/>
          <w:sz w:val="22"/>
          <w:szCs w:val="22"/>
        </w:rPr>
        <w:t xml:space="preserve">4.4 Earth systems and climate intervention</w:t>
      </w:r>
    </w:p>
    <w:p>
      <w:pPr>
        <w:spacing w:after="140" w:line="276"/>
        <w:jc w:val="both"/>
      </w:pPr>
      <w:r>
        <w:rPr>
          <w:rFonts w:ascii="Georgia" w:cs="Georgia" w:eastAsia="Georgia" w:hAnsi="Georgia"/>
          <w:color w:val="1A1A1A"/>
          <w:sz w:val="21"/>
          <w:szCs w:val="21"/>
        </w:rPr>
        <w:t xml:space="preserve">‘Planetary systems’ may also extend to technologies that observe or intervene in Earth’s systems. Earth observation from space is central to climate monitoring, agriculture and disaster response. Deliberate climate intervention divides into </w:t>
      </w:r>
      <w:r>
        <w:rPr>
          <w:rFonts w:ascii="Georgia" w:cs="Georgia" w:eastAsia="Georgia" w:hAnsi="Georgia"/>
          <w:b/>
          <w:bCs/>
          <w:color w:val="1A1A1A"/>
          <w:sz w:val="21"/>
          <w:szCs w:val="21"/>
        </w:rPr>
        <w:t xml:space="preserve">carbon dioxide removal</w:t>
      </w:r>
      <w:r>
        <w:rPr>
          <w:rFonts w:ascii="Georgia" w:cs="Georgia" w:eastAsia="Georgia" w:hAnsi="Georgia"/>
          <w:color w:val="1A1A1A"/>
          <w:sz w:val="21"/>
          <w:szCs w:val="21"/>
        </w:rPr>
        <w:t xml:space="preserve"> (removing CO₂ from the atmosphere; broadly seen as necessary and governable) and </w:t>
      </w:r>
      <w:r>
        <w:rPr>
          <w:rFonts w:ascii="Georgia" w:cs="Georgia" w:eastAsia="Georgia" w:hAnsi="Georgia"/>
          <w:b/>
          <w:bCs/>
          <w:color w:val="1A1A1A"/>
          <w:sz w:val="21"/>
          <w:szCs w:val="21"/>
        </w:rPr>
        <w:t xml:space="preserve">solar radiation modification</w:t>
      </w:r>
      <w:r>
        <w:rPr>
          <w:rFonts w:ascii="Georgia" w:cs="Georgia" w:eastAsia="Georgia" w:hAnsi="Georgia"/>
          <w:color w:val="1A1A1A"/>
          <w:sz w:val="21"/>
          <w:szCs w:val="21"/>
        </w:rPr>
        <w:t xml:space="preserve"> (reflecting sunlight, for example by injecting aerosols into the stratosphere; cheap and fast but globally consequential, unevenly distributed in its effects, and subject to ‘termination shock’ if stopped abruptly). Governance of the latter is contested: the Convention on Biological Diversity maintains a moratorium on deployment, and a scientist-led non-use initiative opposes outdoor experiments, while others argue for transparent research governance.</w:t>
      </w:r>
    </w:p>
    <w:p>
      <w:pPr>
        <w:pStyle w:val="Heading3"/>
        <w:spacing w:after="70" w:before="160"/>
      </w:pPr>
      <w:r>
        <w:rPr>
          <w:rFonts w:ascii="Calibri" w:cs="Calibri" w:eastAsia="Calibri" w:hAnsi="Calibri"/>
          <w:b/>
          <w:bCs/>
          <w:color w:val="1F2A44"/>
          <w:sz w:val="22"/>
          <w:szCs w:val="22"/>
        </w:rPr>
        <w:t xml:space="preserve">4.5 The governance issue map for space</w:t>
      </w:r>
    </w:p>
    <w:tbl>
      <w:tblPr>
        <w:tblW w:type="dxa" w:w="9360"/>
        <w:tblBorders>
          <w:top w:val="single" w:color="C9D3E0" w:sz="2"/>
          <w:left w:val="none"/>
          <w:bottom w:val="single" w:color="C9D3E0" w:sz="2"/>
          <w:right w:val="none"/>
          <w:insideH w:val="single" w:color="C9D3E0" w:sz="2"/>
          <w:insideV w:val="single" w:color="C9D3E0" w:sz="2"/>
        </w:tblBorders>
      </w:tblPr>
      <w:tblGrid>
        <w:gridCol w:w="2800"/>
        <w:gridCol w:w="6560"/>
      </w:tblGrid>
      <w:tr>
        <w:trPr>
          <w:tblHeader/>
        </w:trPr>
        <w:tc>
          <w:tcPr>
            <w:tcW w:type="dxa" w:w="28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Issue</w:t>
            </w:r>
          </w:p>
        </w:tc>
        <w:tc>
          <w:tcPr>
            <w:tcW w:type="dxa" w:w="6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Where the gap is</w:t>
            </w:r>
          </w:p>
        </w:tc>
      </w:tr>
      <w:tr>
        <w:tc>
          <w:tcPr>
            <w:tcW w:type="dxa" w:w="2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traffic management and debris</w:t>
            </w:r>
          </w:p>
        </w:tc>
        <w:tc>
          <w:tcPr>
            <w:tcW w:type="dxa" w:w="6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No binding international regime; coordination between operators is voluntary.</w:t>
            </w:r>
          </w:p>
        </w:tc>
      </w:tr>
      <w:tr>
        <w:tc>
          <w:tcPr>
            <w:tcW w:type="dxa" w:w="2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Resource rights</w:t>
            </w:r>
          </w:p>
        </w:tc>
        <w:tc>
          <w:tcPr>
            <w:tcW w:type="dxa" w:w="6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Divergent national laws and the Artemis Accords versus other states’ positions.</w:t>
            </w:r>
          </w:p>
        </w:tc>
      </w:tr>
      <w:tr>
        <w:tc>
          <w:tcPr>
            <w:tcW w:type="dxa" w:w="2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Access and equity</w:t>
            </w:r>
          </w:p>
        </w:tc>
        <w:tc>
          <w:tcPr>
            <w:tcW w:type="dxa" w:w="6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Emerging space nations risk being rule-takers on orbits and spectrum.</w:t>
            </w:r>
          </w:p>
        </w:tc>
      </w:tr>
      <w:tr>
        <w:tc>
          <w:tcPr>
            <w:tcW w:type="dxa" w:w="2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Dual use and security</w:t>
            </w:r>
          </w:p>
        </w:tc>
        <w:tc>
          <w:tcPr>
            <w:tcW w:type="dxa" w:w="6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Commercial capabilities increasingly used in conflicts; rising counter-space activity.</w:t>
            </w:r>
          </w:p>
        </w:tc>
      </w:tr>
    </w:tbl>
    <w:p>
      <w:pPr>
        <w:spacing w:after="80"/>
      </w:pPr>
    </w:p>
    <w:p>
      <w:pPr>
        <w:pStyle w:val="Heading2"/>
        <w:spacing w:after="100" w:before="220"/>
      </w:pPr>
      <w:r>
        <w:rPr>
          <w:rFonts w:ascii="Calibri" w:cs="Calibri" w:eastAsia="Calibri" w:hAnsi="Calibri"/>
          <w:b/>
          <w:bCs/>
          <w:color w:val="2F5D8A"/>
          <w:sz w:val="25"/>
          <w:szCs w:val="25"/>
        </w:rPr>
        <w:t xml:space="preserve">5. AI as the convergence layer</w:t>
      </w:r>
    </w:p>
    <w:p>
      <w:pPr>
        <w:spacing w:after="140" w:line="276"/>
        <w:jc w:val="both"/>
      </w:pPr>
      <w:r>
        <w:rPr>
          <w:rFonts w:ascii="Georgia" w:cs="Georgia" w:eastAsia="Georgia" w:hAnsi="Georgia"/>
          <w:color w:val="1A1A1A"/>
          <w:sz w:val="21"/>
          <w:szCs w:val="21"/>
        </w:rPr>
        <w:t xml:space="preserve">AI is owned at the Forum by the Centre for AI Excellence, so it is covered here in brief, as the layer that runs through every other frontier technology. You need enough to recognise where AI changes the governance questions of the domains you would work on.</w:t>
      </w:r>
    </w:p>
    <w:p>
      <w:pPr>
        <w:pStyle w:val="Heading3"/>
        <w:spacing w:after="70" w:before="160"/>
      </w:pPr>
      <w:r>
        <w:rPr>
          <w:rFonts w:ascii="Calibri" w:cs="Calibri" w:eastAsia="Calibri" w:hAnsi="Calibri"/>
          <w:b/>
          <w:bCs/>
          <w:color w:val="1F2A44"/>
          <w:sz w:val="22"/>
          <w:szCs w:val="22"/>
        </w:rPr>
        <w:t xml:space="preserve">5.1 The primer in brief</w:t>
      </w:r>
    </w:p>
    <w:p>
      <w:pPr>
        <w:spacing w:after="140" w:line="276"/>
        <w:jc w:val="both"/>
      </w:pPr>
      <w:r>
        <w:rPr>
          <w:rFonts w:ascii="Georgia" w:cs="Georgia" w:eastAsia="Georgia" w:hAnsi="Georgia"/>
          <w:color w:val="1A1A1A"/>
          <w:sz w:val="21"/>
          <w:szCs w:val="21"/>
        </w:rPr>
        <w:t xml:space="preserve">Machine learning systems learn patterns from data rather than following hand-written rules. Deep learning uses many-layered neural networks. The </w:t>
      </w:r>
      <w:r>
        <w:rPr>
          <w:rFonts w:ascii="Georgia" w:cs="Georgia" w:eastAsia="Georgia" w:hAnsi="Georgia"/>
          <w:b/>
          <w:bCs/>
          <w:color w:val="1A1A1A"/>
          <w:sz w:val="21"/>
          <w:szCs w:val="21"/>
        </w:rPr>
        <w:t xml:space="preserve">transformer</w:t>
      </w:r>
      <w:r>
        <w:rPr>
          <w:rFonts w:ascii="Georgia" w:cs="Georgia" w:eastAsia="Georgia" w:hAnsi="Georgia"/>
          <w:color w:val="1A1A1A"/>
          <w:sz w:val="21"/>
          <w:szCs w:val="21"/>
        </w:rPr>
        <w:t xml:space="preserve"> architecture (2017) made it possible to train very large </w:t>
      </w:r>
      <w:r>
        <w:rPr>
          <w:rFonts w:ascii="Georgia" w:cs="Georgia" w:eastAsia="Georgia" w:hAnsi="Georgia"/>
          <w:b/>
          <w:bCs/>
          <w:color w:val="1A1A1A"/>
          <w:sz w:val="21"/>
          <w:szCs w:val="21"/>
        </w:rPr>
        <w:t xml:space="preserve">foundation models</w:t>
      </w:r>
      <w:r>
        <w:rPr>
          <w:rFonts w:ascii="Georgia" w:cs="Georgia" w:eastAsia="Georgia" w:hAnsi="Georgia"/>
          <w:color w:val="1A1A1A"/>
          <w:sz w:val="21"/>
          <w:szCs w:val="21"/>
        </w:rPr>
        <w:t xml:space="preserve"> on broad data and adapt them to many tasks; large language models are the best-known example. Capability has improved predictably with more data, parameters and computing power (‘scaling laws’), and new abilities often appear at scale without being explicitly trained. The current frontier is </w:t>
      </w:r>
      <w:r>
        <w:rPr>
          <w:rFonts w:ascii="Georgia" w:cs="Georgia" w:eastAsia="Georgia" w:hAnsi="Georgia"/>
          <w:b/>
          <w:bCs/>
          <w:color w:val="1A1A1A"/>
          <w:sz w:val="21"/>
          <w:szCs w:val="21"/>
        </w:rPr>
        <w:t xml:space="preserve">agentic AI</w:t>
      </w:r>
      <w:r>
        <w:rPr>
          <w:rFonts w:ascii="Georgia" w:cs="Georgia" w:eastAsia="Georgia" w:hAnsi="Georgia"/>
          <w:color w:val="1A1A1A"/>
          <w:sz w:val="21"/>
          <w:szCs w:val="21"/>
        </w:rPr>
        <w:t xml:space="preserve"> (systems that plan and act through tools) and </w:t>
      </w:r>
      <w:r>
        <w:rPr>
          <w:rFonts w:ascii="Georgia" w:cs="Georgia" w:eastAsia="Georgia" w:hAnsi="Georgia"/>
          <w:b/>
          <w:bCs/>
          <w:color w:val="1A1A1A"/>
          <w:sz w:val="21"/>
          <w:szCs w:val="21"/>
        </w:rPr>
        <w:t xml:space="preserve">multimodal</w:t>
      </w:r>
      <w:r>
        <w:rPr>
          <w:rFonts w:ascii="Georgia" w:cs="Georgia" w:eastAsia="Georgia" w:hAnsi="Georgia"/>
          <w:color w:val="1A1A1A"/>
          <w:sz w:val="21"/>
          <w:szCs w:val="21"/>
        </w:rPr>
        <w:t xml:space="preserve"> models. The binding inputs are specialised chips, data centres, data and capital.</w:t>
      </w:r>
    </w:p>
    <w:p>
      <w:pPr>
        <w:pStyle w:val="Heading3"/>
        <w:spacing w:after="70" w:before="160"/>
      </w:pPr>
      <w:r>
        <w:rPr>
          <w:rFonts w:ascii="Calibri" w:cs="Calibri" w:eastAsia="Calibri" w:hAnsi="Calibri"/>
          <w:b/>
          <w:bCs/>
          <w:color w:val="1F2A44"/>
          <w:sz w:val="22"/>
          <w:szCs w:val="22"/>
        </w:rPr>
        <w:t xml:space="preserve">5.2 The governance landscape in brief</w:t>
      </w:r>
    </w:p>
    <w:tbl>
      <w:tblPr>
        <w:tblW w:type="dxa" w:w="9360"/>
        <w:tblBorders>
          <w:top w:val="single" w:color="C9D3E0" w:sz="2"/>
          <w:left w:val="none"/>
          <w:bottom w:val="single" w:color="C9D3E0" w:sz="2"/>
          <w:right w:val="none"/>
          <w:insideH w:val="single" w:color="C9D3E0" w:sz="2"/>
          <w:insideV w:val="single" w:color="C9D3E0" w:sz="2"/>
        </w:tblBorders>
      </w:tblPr>
      <w:tblGrid>
        <w:gridCol w:w="2100"/>
        <w:gridCol w:w="7260"/>
      </w:tblGrid>
      <w:tr>
        <w:trPr>
          <w:tblHeader/>
        </w:trPr>
        <w:tc>
          <w:tcPr>
            <w:tcW w:type="dxa" w:w="2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Jurisdiction</w:t>
            </w:r>
          </w:p>
        </w:tc>
        <w:tc>
          <w:tcPr>
            <w:tcW w:type="dxa" w:w="72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Approach</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European Union</w:t>
            </w:r>
          </w:p>
        </w:tc>
        <w:tc>
          <w:tcPr>
            <w:tcW w:type="dxa" w:w="7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AI Act (in force since August 2024, applying in phases to 2027): risk-based tiers, with specific obligations for general-purpose AI models since August 2025, supported by a voluntary Code of Practice.</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States</w:t>
            </w:r>
          </w:p>
        </w:tc>
        <w:tc>
          <w:tcPr>
            <w:tcW w:type="dxa" w:w="7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Largely sectoral and market-led at federal level, with voluntary NIST frameworks and a growing body of state law.</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Kingdom</w:t>
            </w:r>
          </w:p>
        </w:tc>
        <w:tc>
          <w:tcPr>
            <w:tcW w:type="dxa" w:w="7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 applied by existing sector regulators, with the AI Security Institute evaluating frontier models.</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China</w:t>
            </w:r>
          </w:p>
        </w:tc>
        <w:tc>
          <w:tcPr>
            <w:tcW w:type="dxa" w:w="7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Targeted rules on recommendation algorithms, deep synthesis and generative AI, with registration and labelling requirements.</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International</w:t>
            </w:r>
          </w:p>
        </w:tc>
        <w:tc>
          <w:tcPr>
            <w:tcW w:type="dxa" w:w="7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OECD AI Principles; the G7 Hiroshima Process; the Council of Europe Framework Convention on AI (the first binding international AI treaty); and, since 2025, a UN Independent International Scientific Panel on AI and a Global Dialogue on AI Governance.</w:t>
            </w:r>
          </w:p>
        </w:tc>
      </w:tr>
    </w:tbl>
    <w:p>
      <w:pPr>
        <w:spacing w:after="80"/>
      </w:pPr>
    </w:p>
    <w:p>
      <w:pPr>
        <w:pStyle w:val="Heading3"/>
        <w:spacing w:after="70" w:before="160"/>
      </w:pPr>
      <w:r>
        <w:rPr>
          <w:rFonts w:ascii="Calibri" w:cs="Calibri" w:eastAsia="Calibri" w:hAnsi="Calibri"/>
          <w:b/>
          <w:bCs/>
          <w:color w:val="1F2A44"/>
          <w:sz w:val="22"/>
          <w:szCs w:val="22"/>
        </w:rPr>
        <w:t xml:space="preserve">5.3 Where AI converges with the other frontier technologies</w:t>
      </w:r>
    </w:p>
    <w:tbl>
      <w:tblPr>
        <w:tblW w:type="dxa" w:w="9360"/>
        <w:tblBorders>
          <w:top w:val="single" w:color="C9D3E0" w:sz="2"/>
          <w:left w:val="none"/>
          <w:bottom w:val="single" w:color="C9D3E0" w:sz="2"/>
          <w:right w:val="none"/>
          <w:insideH w:val="single" w:color="C9D3E0" w:sz="2"/>
          <w:insideV w:val="single" w:color="C9D3E0" w:sz="2"/>
        </w:tblBorders>
      </w:tblPr>
      <w:tblGrid>
        <w:gridCol w:w="2000"/>
        <w:gridCol w:w="3700"/>
        <w:gridCol w:w="3660"/>
      </w:tblGrid>
      <w:tr>
        <w:trPr>
          <w:tblHeader/>
        </w:trPr>
        <w:tc>
          <w:tcPr>
            <w:tcW w:type="dxa" w:w="2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Convergence</w:t>
            </w:r>
          </w:p>
        </w:tc>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enables</w:t>
            </w:r>
          </w:p>
        </w:tc>
        <w:tc>
          <w:tcPr>
            <w:tcW w:type="dxa" w:w="36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Why it matters for governance</w:t>
            </w:r>
          </w:p>
        </w:tc>
      </w:tr>
      <w:tr>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and quantum</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hardware controlled and error-corrected with AI; possible quantum acceleration of some AI tasks.</w:t>
            </w:r>
          </w:p>
        </w:tc>
        <w:tc>
          <w:tcPr>
            <w:tcW w:type="dxa" w:w="36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Spans AI policy, cryptography and export control at once.</w:t>
            </w:r>
          </w:p>
        </w:tc>
      </w:tr>
      <w:tr>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and biology</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AI-designed proteins and genomes; automated laboratories.</w:t>
            </w:r>
          </w:p>
        </w:tc>
        <w:tc>
          <w:tcPr>
            <w:tcW w:type="dxa" w:w="36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sharpest biosecurity concern (Part III, §3.4); falls between regulators.</w:t>
            </w:r>
          </w:p>
        </w:tc>
      </w:tr>
      <w:tr>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and robotics (‘physical AI’)</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Robot foundation models; general-purpose robots; autonomous vehicles.</w:t>
            </w:r>
          </w:p>
        </w:tc>
        <w:tc>
          <w:tcPr>
            <w:tcW w:type="dxa" w:w="36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Joins software-AI rules to product-safety and liability regimes.</w:t>
            </w:r>
          </w:p>
        </w:tc>
      </w:tr>
      <w:tr>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and space</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Automated analysis of Earth observation data; autonomous spacecraft operations.</w:t>
            </w:r>
          </w:p>
        </w:tc>
        <w:tc>
          <w:tcPr>
            <w:tcW w:type="dxa" w:w="36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Raises data, privacy and security questions at planetary scale.</w:t>
            </w:r>
          </w:p>
        </w:tc>
      </w:tr>
    </w:tbl>
    <w:p>
      <w:pPr>
        <w:spacing w:after="80"/>
      </w:pPr>
    </w:p>
    <w:p>
      <w:pPr>
        <w:spacing w:after="140" w:line="276"/>
        <w:jc w:val="both"/>
      </w:pPr>
      <w:r>
        <w:rPr>
          <w:rFonts w:ascii="Georgia" w:cs="Georgia" w:eastAsia="Georgia" w:hAnsi="Georgia"/>
          <w:color w:val="1A1A1A"/>
          <w:sz w:val="21"/>
          <w:szCs w:val="21"/>
        </w:rPr>
        <w:t xml:space="preserve">Convergence is the strongest argument for a cross-cutting workstream: the most consequential governance questions increasingly arise where two technologies meet, which is exactly where single-technology teams and single-sector regulators are least equipped.</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Part IV · Governance Approaches</w:t>
      </w:r>
    </w:p>
    <w:p>
      <w:pPr>
        <w:spacing w:after="200" w:line="288"/>
      </w:pPr>
      <w:r>
        <w:rPr>
          <w:rFonts w:ascii="Georgia" w:cs="Georgia" w:eastAsia="Georgia" w:hAnsi="Georgia"/>
          <w:i/>
          <w:iCs/>
          <w:color w:val="55606E"/>
          <w:sz w:val="22"/>
          <w:szCs w:val="22"/>
        </w:rPr>
        <w:t xml:space="preserve">The JD asks for ‘innovative regulatory approaches that enable responsible innovation’. This part sets out what that can mean for an organisation that does not regulate: first the instruments governments and regulators use, then how governments organise for frontier technology and cooperate across borders, and finally the instruments the Forum itself uses, and the conditions under which they get adopted.</w:t>
      </w:r>
    </w:p>
    <w:p>
      <w:pPr>
        <w:pStyle w:val="Heading2"/>
        <w:spacing w:after="100" w:before="220"/>
      </w:pPr>
      <w:r>
        <w:rPr>
          <w:rFonts w:ascii="Calibri" w:cs="Calibri" w:eastAsia="Calibri" w:hAnsi="Calibri"/>
          <w:b/>
          <w:bCs/>
          <w:color w:val="2F5D8A"/>
          <w:sz w:val="25"/>
          <w:szCs w:val="25"/>
        </w:rPr>
        <w:t xml:space="preserve">1. The instruments governments and regulators use</w:t>
      </w:r>
    </w:p>
    <w:p>
      <w:pPr>
        <w:spacing w:after="140" w:line="276"/>
        <w:jc w:val="both"/>
      </w:pPr>
      <w:r>
        <w:rPr>
          <w:rFonts w:ascii="Georgia" w:cs="Georgia" w:eastAsia="Georgia" w:hAnsi="Georgia"/>
          <w:color w:val="1A1A1A"/>
          <w:sz w:val="21"/>
          <w:szCs w:val="21"/>
        </w:rPr>
        <w:t xml:space="preserve">The core concepts (the five principles of agile regulation, sandboxes, anticipatory governance, hard and soft law) are defined in Part I, §3 and §5. This compendium groups the full range of instruments by function, so you can recognise what a regulator is describing and discuss its trade-offs.</w:t>
      </w:r>
    </w:p>
    <w:tbl>
      <w:tblPr>
        <w:tblW w:type="dxa" w:w="9360"/>
        <w:tblBorders>
          <w:top w:val="single" w:color="C9D3E0" w:sz="2"/>
          <w:left w:val="none"/>
          <w:bottom w:val="single" w:color="C9D3E0" w:sz="2"/>
          <w:right w:val="none"/>
          <w:insideH w:val="single" w:color="C9D3E0" w:sz="2"/>
          <w:insideV w:val="single" w:color="C9D3E0" w:sz="2"/>
        </w:tblBorders>
      </w:tblPr>
      <w:tblGrid>
        <w:gridCol w:w="2100"/>
        <w:gridCol w:w="3700"/>
        <w:gridCol w:w="3560"/>
      </w:tblGrid>
      <w:tr>
        <w:trPr>
          <w:tblHeader/>
        </w:trPr>
        <w:tc>
          <w:tcPr>
            <w:tcW w:type="dxa" w:w="2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Function</w:t>
            </w:r>
          </w:p>
        </w:tc>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Instruments</w:t>
            </w:r>
          </w:p>
        </w:tc>
        <w:tc>
          <w:tcPr>
            <w:tcW w:type="dxa" w:w="3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Typical use</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Anticipate</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Horizon scanning; technology foresight units; scenario exercises; expert advisory panels.</w:t>
            </w:r>
          </w:p>
        </w:tc>
        <w:tc>
          <w:tcPr>
            <w:tcW w:type="dxa" w:w="3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Seeing a technology coming before it creates pressure to act.</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Test and learn</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sandboxes; innovation hubs (a ‘front door’ for informal guidance); testbeds and living labs; pilot schemes; temporary licences.</w:t>
            </w:r>
          </w:p>
        </w:tc>
        <w:tc>
          <w:tcPr>
            <w:tcW w:type="dxa" w:w="3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Generating evidence under real conditions before fixing rules.</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Design rules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Outcome-based rules; risk-based tiers; principles-based regulation; sunset clauses and mandatory review; codes of practice.</w:t>
            </w:r>
          </w:p>
        </w:tc>
        <w:tc>
          <w:tcPr>
            <w:tcW w:type="dxa" w:w="3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Rules that stay relevant as technology changes.</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Assure</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Technical standards; certification and conformity assessment; safety cases; third-party audit.</w:t>
            </w:r>
          </w:p>
        </w:tc>
        <w:tc>
          <w:tcPr>
            <w:tcW w:type="dxa" w:w="3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Demonstrating that a product or system meets requirements.</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Inform</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Disclosure and transparency duties; registries; labelling; incident reporting.</w:t>
            </w:r>
          </w:p>
        </w:tc>
        <w:tc>
          <w:tcPr>
            <w:tcW w:type="dxa" w:w="3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Correcting information gaps between developers, regulators and the public.</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Allocate responsibility</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Liability regimes; insurance requirements; licensing of operators.</w:t>
            </w:r>
          </w:p>
        </w:tc>
        <w:tc>
          <w:tcPr>
            <w:tcW w:type="dxa" w:w="3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Making clear who pays and who is accountable when harm occurs.</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Restrict</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Bans and moratoria; export controls; investment screening.</w:t>
            </w:r>
          </w:p>
        </w:tc>
        <w:tc>
          <w:tcPr>
            <w:tcW w:type="dxa" w:w="3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Where risk is catastrophic, irreversible or security-critical.</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Supervise with technology</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RegTech (tools that help firms comply) and SupTech (tools that help supervisors); machine-readable rules.</w:t>
            </w:r>
          </w:p>
        </w:tc>
        <w:tc>
          <w:tcPr>
            <w:tcW w:type="dxa" w:w="3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Continuous rather than periodic oversight.</w:t>
            </w:r>
          </w:p>
        </w:tc>
      </w:tr>
    </w:tbl>
    <w:p>
      <w:pPr>
        <w:spacing w:after="80"/>
      </w:pPr>
    </w:p>
    <w:p>
      <w:pPr>
        <w:pStyle w:val="Heading2"/>
        <w:spacing w:after="100" w:before="220"/>
      </w:pPr>
      <w:r>
        <w:rPr>
          <w:rFonts w:ascii="Calibri" w:cs="Calibri" w:eastAsia="Calibri" w:hAnsi="Calibri"/>
          <w:b/>
          <w:bCs/>
          <w:color w:val="2F5D8A"/>
          <w:sz w:val="25"/>
          <w:szCs w:val="25"/>
        </w:rPr>
        <w:t xml:space="preserve">2. How governments organise for frontier technology</w:t>
      </w:r>
    </w:p>
    <w:p>
      <w:pPr>
        <w:spacing w:after="140" w:line="276"/>
        <w:jc w:val="both"/>
      </w:pPr>
      <w:r>
        <w:rPr>
          <w:rFonts w:ascii="Georgia" w:cs="Georgia" w:eastAsia="Georgia" w:hAnsi="Georgia"/>
          <w:color w:val="1A1A1A"/>
          <w:sz w:val="21"/>
          <w:szCs w:val="21"/>
        </w:rPr>
        <w:t xml:space="preserve">Beyond individual instruments, governments are experimenting with institutional designs. Recognising these models lets you discuss regulatory capacity, which is often the real constraint (Part V, §1).</w:t>
      </w:r>
    </w:p>
    <w:tbl>
      <w:tblPr>
        <w:tblW w:type="dxa" w:w="9360"/>
        <w:tblBorders>
          <w:top w:val="single" w:color="C9D3E0" w:sz="2"/>
          <w:left w:val="none"/>
          <w:bottom w:val="single" w:color="C9D3E0" w:sz="2"/>
          <w:right w:val="none"/>
          <w:insideH w:val="single" w:color="C9D3E0" w:sz="2"/>
          <w:insideV w:val="single" w:color="C9D3E0" w:sz="2"/>
        </w:tblBorders>
      </w:tblPr>
      <w:tblGrid>
        <w:gridCol w:w="2300"/>
        <w:gridCol w:w="3700"/>
        <w:gridCol w:w="3360"/>
      </w:tblGrid>
      <w:tr>
        <w:trPr>
          <w:tblHeader/>
        </w:trPr>
        <w:tc>
          <w:tcPr>
            <w:tcW w:type="dxa" w:w="2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Model</w:t>
            </w:r>
          </w:p>
        </w:tc>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is</w:t>
            </w:r>
          </w:p>
        </w:tc>
        <w:tc>
          <w:tcPr>
            <w:tcW w:type="dxa" w:w="33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Examples</w:t>
            </w:r>
          </w:p>
        </w:tc>
      </w:tr>
      <w:tr>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Specialist technical institutes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Government bodies with deep technical expertise that evaluate frontier technologies and advise regulators.</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National AI Safety or Security Institutes (UK, US, Japan, Singapore and others); national quantum programme offices.</w:t>
            </w:r>
          </w:p>
        </w:tc>
      </w:tr>
      <w:tr>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laboratories</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Units empowered to license experiments with emerging technologies and draft future legislation.</w:t>
            </w:r>
          </w:p>
        </w:tc>
        <w:tc>
          <w:tcPr>
            <w:tcW w:type="dxa" w:w="3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UAE’s Regulatory Laboratory (RegLab, 2019), created under a 2018 federal law allowing temporary licences for testing innovations: the institutional backdrop to the UAE’s partnership in GRIP.</w:t>
            </w:r>
          </w:p>
        </w:tc>
      </w:tr>
      <w:tr>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Joined-up regulation</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Formal cooperation between regulators whose mandates overlap on a technology.</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UK Digital Regulation Cooperation Forum (2020), linking competition, data-protection, communications and financial regulators.</w:t>
            </w:r>
          </w:p>
        </w:tc>
      </w:tr>
      <w:tr>
        <w:tc>
          <w:tcPr>
            <w:tcW w:type="dxa" w:w="2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Cross-border regulator networks</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Regulators coordinating testing and supervision across jurisdictions.</w:t>
            </w:r>
          </w:p>
        </w:tc>
        <w:tc>
          <w:tcPr>
            <w:tcW w:type="dxa" w:w="3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Global Financial Innovation Network (2019), which enables firms to test across several jurisdictions at once.</w:t>
            </w:r>
          </w:p>
        </w:tc>
      </w:tr>
      <w:tr>
        <w:tc>
          <w:tcPr>
            <w:tcW w:type="dxa" w:w="2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Strategy and mission offices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Central units coordinating a national technology strategy across ministries.</w:t>
            </w:r>
          </w:p>
        </w:tc>
        <w:tc>
          <w:tcPr>
            <w:tcW w:type="dxa" w:w="3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National quantum strategies with mission offices (UK, EU, India); bioeconomy strategy coordinators.</w:t>
            </w:r>
          </w:p>
        </w:tc>
      </w:tr>
    </w:tbl>
    <w:p>
      <w:pPr>
        <w:spacing w:after="80"/>
      </w:pPr>
    </w:p>
    <w:p>
      <w:pPr>
        <w:pStyle w:val="Heading2"/>
        <w:spacing w:after="100" w:before="220"/>
      </w:pPr>
      <w:r>
        <w:rPr>
          <w:rFonts w:ascii="Calibri" w:cs="Calibri" w:eastAsia="Calibri" w:hAnsi="Calibri"/>
          <w:b/>
          <w:bCs/>
          <w:color w:val="2F5D8A"/>
          <w:sz w:val="25"/>
          <w:szCs w:val="25"/>
        </w:rPr>
        <w:t xml:space="preserve">3. How jurisdictions cooperate</w:t>
      </w:r>
    </w:p>
    <w:p>
      <w:pPr>
        <w:spacing w:after="140" w:line="276"/>
        <w:jc w:val="both"/>
      </w:pPr>
      <w:r>
        <w:rPr>
          <w:rFonts w:ascii="Georgia" w:cs="Georgia" w:eastAsia="Georgia" w:hAnsi="Georgia"/>
          <w:color w:val="1A1A1A"/>
          <w:sz w:val="21"/>
          <w:szCs w:val="21"/>
        </w:rPr>
        <w:t xml:space="preserve">Because frontier technologies are borderless, cooperation between jurisdictions is often more valuable than any single national rule. The main mechanisms, from lightest to deepest:</w:t>
      </w:r>
    </w:p>
    <w:p>
      <w:pPr>
        <w:pStyle w:val="ListParagraph"/>
        <w:numPr>
          <w:ilvl w:val="0"/>
          <w:numId w:val="2"/>
        </w:numPr>
        <w:spacing w:after="70" w:line="268"/>
      </w:pPr>
      <w:r>
        <w:rPr>
          <w:rFonts w:ascii="Georgia" w:cs="Georgia" w:eastAsia="Georgia" w:hAnsi="Georgia"/>
          <w:b/>
          <w:bCs/>
          <w:color w:val="1A1A1A"/>
          <w:sz w:val="21"/>
          <w:szCs w:val="21"/>
        </w:rPr>
        <w:t xml:space="preserve">Shared vocabulary and principles:</w:t>
      </w:r>
      <w:r>
        <w:rPr>
          <w:rFonts w:ascii="Georgia" w:cs="Georgia" w:eastAsia="Georgia" w:hAnsi="Georgia"/>
          <w:color w:val="1A1A1A"/>
          <w:sz w:val="21"/>
          <w:szCs w:val="21"/>
        </w:rPr>
        <w:t xml:space="preserve"> agreeing definitions and values (the OECD AI Principles; the Forum’s Quantum Computing Governance Principles).</w:t>
      </w:r>
    </w:p>
    <w:p>
      <w:pPr>
        <w:pStyle w:val="ListParagraph"/>
        <w:numPr>
          <w:ilvl w:val="0"/>
          <w:numId w:val="2"/>
        </w:numPr>
        <w:spacing w:after="70" w:line="268"/>
      </w:pPr>
      <w:r>
        <w:rPr>
          <w:rFonts w:ascii="Georgia" w:cs="Georgia" w:eastAsia="Georgia" w:hAnsi="Georgia"/>
          <w:b/>
          <w:bCs/>
          <w:color w:val="1A1A1A"/>
          <w:sz w:val="21"/>
          <w:szCs w:val="21"/>
        </w:rPr>
        <w:t xml:space="preserve">Regulatory dialogues and shared learning:</w:t>
      </w:r>
      <w:r>
        <w:rPr>
          <w:rFonts w:ascii="Georgia" w:cs="Georgia" w:eastAsia="Georgia" w:hAnsi="Georgia"/>
          <w:color w:val="1A1A1A"/>
          <w:sz w:val="21"/>
          <w:szCs w:val="21"/>
        </w:rPr>
        <w:t xml:space="preserve"> regulators exchanging evidence and experience (the theme of the Forum’s 2026 paper on autonomous-vehicle regulation).</w:t>
      </w:r>
    </w:p>
    <w:p>
      <w:pPr>
        <w:pStyle w:val="ListParagraph"/>
        <w:numPr>
          <w:ilvl w:val="0"/>
          <w:numId w:val="2"/>
        </w:numPr>
        <w:spacing w:after="70" w:line="268"/>
      </w:pPr>
      <w:r>
        <w:rPr>
          <w:rFonts w:ascii="Georgia" w:cs="Georgia" w:eastAsia="Georgia" w:hAnsi="Georgia"/>
          <w:b/>
          <w:bCs/>
          <w:color w:val="1A1A1A"/>
          <w:sz w:val="21"/>
          <w:szCs w:val="21"/>
        </w:rPr>
        <w:t xml:space="preserve">Common standards:</w:t>
      </w:r>
      <w:r>
        <w:rPr>
          <w:rFonts w:ascii="Georgia" w:cs="Georgia" w:eastAsia="Georgia" w:hAnsi="Georgia"/>
          <w:color w:val="1A1A1A"/>
          <w:sz w:val="21"/>
          <w:szCs w:val="21"/>
        </w:rPr>
        <w:t xml:space="preserve"> technical specifications adopted in several jurisdictions (NIST’s post-quantum algorithms; UNECE vehicle regulations).</w:t>
      </w:r>
    </w:p>
    <w:p>
      <w:pPr>
        <w:pStyle w:val="ListParagraph"/>
        <w:numPr>
          <w:ilvl w:val="0"/>
          <w:numId w:val="2"/>
        </w:numPr>
        <w:spacing w:after="70" w:line="268"/>
      </w:pPr>
      <w:r>
        <w:rPr>
          <w:rFonts w:ascii="Georgia" w:cs="Georgia" w:eastAsia="Georgia" w:hAnsi="Georgia"/>
          <w:b/>
          <w:bCs/>
          <w:color w:val="1A1A1A"/>
          <w:sz w:val="21"/>
          <w:szCs w:val="21"/>
        </w:rPr>
        <w:t xml:space="preserve">Mutual recognition:</w:t>
      </w:r>
      <w:r>
        <w:rPr>
          <w:rFonts w:ascii="Georgia" w:cs="Georgia" w:eastAsia="Georgia" w:hAnsi="Georgia"/>
          <w:color w:val="1A1A1A"/>
          <w:sz w:val="21"/>
          <w:szCs w:val="21"/>
        </w:rPr>
        <w:t xml:space="preserve"> accepting each other’s testing, certification or approvals.</w:t>
      </w:r>
    </w:p>
    <w:p>
      <w:pPr>
        <w:pStyle w:val="ListParagraph"/>
        <w:numPr>
          <w:ilvl w:val="0"/>
          <w:numId w:val="2"/>
        </w:numPr>
        <w:spacing w:after="70" w:line="268"/>
      </w:pPr>
      <w:r>
        <w:rPr>
          <w:rFonts w:ascii="Georgia" w:cs="Georgia" w:eastAsia="Georgia" w:hAnsi="Georgia"/>
          <w:b/>
          <w:bCs/>
          <w:color w:val="1A1A1A"/>
          <w:sz w:val="21"/>
          <w:szCs w:val="21"/>
        </w:rPr>
        <w:t xml:space="preserve">Minimum common baselines:</w:t>
      </w:r>
      <w:r>
        <w:rPr>
          <w:rFonts w:ascii="Georgia" w:cs="Georgia" w:eastAsia="Georgia" w:hAnsi="Georgia"/>
          <w:color w:val="1A1A1A"/>
          <w:sz w:val="21"/>
          <w:szCs w:val="21"/>
        </w:rPr>
        <w:t xml:space="preserve"> agreed floors, above which jurisdictions can differ.</w:t>
      </w:r>
    </w:p>
    <w:p>
      <w:pPr>
        <w:pStyle w:val="ListParagraph"/>
        <w:numPr>
          <w:ilvl w:val="0"/>
          <w:numId w:val="2"/>
        </w:numPr>
        <w:spacing w:after="70" w:line="268"/>
      </w:pPr>
      <w:r>
        <w:rPr>
          <w:rFonts w:ascii="Georgia" w:cs="Georgia" w:eastAsia="Georgia" w:hAnsi="Georgia"/>
          <w:b/>
          <w:bCs/>
          <w:color w:val="1A1A1A"/>
          <w:sz w:val="21"/>
          <w:szCs w:val="21"/>
        </w:rPr>
        <w:t xml:space="preserve">Harmonised or binding international rules:</w:t>
      </w:r>
      <w:r>
        <w:rPr>
          <w:rFonts w:ascii="Georgia" w:cs="Georgia" w:eastAsia="Georgia" w:hAnsi="Georgia"/>
          <w:color w:val="1A1A1A"/>
          <w:sz w:val="21"/>
          <w:szCs w:val="21"/>
        </w:rPr>
        <w:t xml:space="preserve"> treaties and conventions (rare, slow, and usually limited to the most mature or most dangerous areas).</w:t>
      </w:r>
    </w:p>
    <w:p>
      <w:pPr>
        <w:spacing w:after="140" w:line="276"/>
        <w:jc w:val="both"/>
      </w:pPr>
      <w:r>
        <w:rPr>
          <w:rFonts w:ascii="Georgia" w:cs="Georgia" w:eastAsia="Georgia" w:hAnsi="Georgia"/>
          <w:color w:val="1A1A1A"/>
          <w:sz w:val="21"/>
          <w:szCs w:val="21"/>
        </w:rPr>
        <w:t xml:space="preserve">The goal is usually </w:t>
      </w:r>
      <w:r>
        <w:rPr>
          <w:rFonts w:ascii="Georgia" w:cs="Georgia" w:eastAsia="Georgia" w:hAnsi="Georgia"/>
          <w:b/>
          <w:bCs/>
          <w:color w:val="1A1A1A"/>
          <w:sz w:val="21"/>
          <w:szCs w:val="21"/>
        </w:rPr>
        <w:t xml:space="preserve">interoperability</w:t>
      </w:r>
      <w:r>
        <w:rPr>
          <w:rFonts w:ascii="Georgia" w:cs="Georgia" w:eastAsia="Georgia" w:hAnsi="Georgia"/>
          <w:color w:val="1A1A1A"/>
          <w:sz w:val="21"/>
          <w:szCs w:val="21"/>
        </w:rPr>
        <w:t xml:space="preserve">, not uniformity: rules that differ in form but are compatible in effect, so that a company or technology can operate across borders without duplicative compliance.</w:t>
      </w:r>
    </w:p>
    <w:p>
      <w:pPr>
        <w:pStyle w:val="Heading2"/>
        <w:spacing w:after="100" w:before="220"/>
      </w:pPr>
      <w:r>
        <w:rPr>
          <w:rFonts w:ascii="Calibri" w:cs="Calibri" w:eastAsia="Calibri" w:hAnsi="Calibri"/>
          <w:b/>
          <w:bCs/>
          <w:color w:val="2F5D8A"/>
          <w:sz w:val="25"/>
          <w:szCs w:val="25"/>
        </w:rPr>
        <w:t xml:space="preserve">4. The Forum’s own instruments</w:t>
      </w:r>
    </w:p>
    <w:p>
      <w:pPr>
        <w:spacing w:after="140" w:line="276"/>
        <w:jc w:val="both"/>
      </w:pPr>
      <w:r>
        <w:rPr>
          <w:rFonts w:ascii="Georgia" w:cs="Georgia" w:eastAsia="Georgia" w:hAnsi="Georgia"/>
          <w:color w:val="1A1A1A"/>
          <w:sz w:val="21"/>
          <w:szCs w:val="21"/>
        </w:rPr>
        <w:t xml:space="preserve">The Forum’s contribution to regulatory innovation is through soft-law instruments and processes that governments and companies choose to adopt. The product types were introduced in Part II, §1.3; here is how each works as a governance instrument, with its limits.</w:t>
      </w:r>
    </w:p>
    <w:tbl>
      <w:tblPr>
        <w:tblW w:type="dxa" w:w="9360"/>
        <w:tblBorders>
          <w:top w:val="single" w:color="C9D3E0" w:sz="2"/>
          <w:left w:val="none"/>
          <w:bottom w:val="single" w:color="C9D3E0" w:sz="2"/>
          <w:right w:val="none"/>
          <w:insideH w:val="single" w:color="C9D3E0" w:sz="2"/>
          <w:insideV w:val="single" w:color="C9D3E0" w:sz="2"/>
        </w:tblBorders>
      </w:tblPr>
      <w:tblGrid>
        <w:gridCol w:w="1900"/>
        <w:gridCol w:w="2800"/>
        <w:gridCol w:w="2500"/>
        <w:gridCol w:w="2160"/>
      </w:tblGrid>
      <w:tr>
        <w:trPr>
          <w:tblHeader/>
        </w:trPr>
        <w:tc>
          <w:tcPr>
            <w:tcW w:type="dxa" w:w="1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Instrument</w:t>
            </w:r>
          </w:p>
        </w:tc>
        <w:tc>
          <w:tcPr>
            <w:tcW w:type="dxa" w:w="28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How it influences governance</w:t>
            </w:r>
          </w:p>
        </w:tc>
        <w:tc>
          <w:tcPr>
            <w:tcW w:type="dxa" w:w="2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Condition for adoption</w:t>
            </w:r>
          </w:p>
        </w:tc>
        <w:tc>
          <w:tcPr>
            <w:tcW w:type="dxa" w:w="2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Limit</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w:t>
            </w:r>
          </w:p>
        </w:tc>
        <w:tc>
          <w:tcPr>
            <w:tcW w:type="dxa" w:w="2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Establish shared expectations early, before rules exist.</w:t>
            </w:r>
          </w:p>
        </w:tc>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Broad, credible co-authorship.</w:t>
            </w:r>
          </w:p>
        </w:tc>
        <w:tc>
          <w:tcPr>
            <w:tcW w:type="dxa" w:w="2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Can remain aspirational without operational follow-up.</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Toolkits and playbooks</w:t>
            </w:r>
          </w:p>
        </w:tc>
        <w:tc>
          <w:tcPr>
            <w:tcW w:type="dxa" w:w="2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Translate principles into steps organisations or regulators can take.</w:t>
            </w:r>
          </w:p>
        </w:tc>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Practical, specific, tested with users.</w:t>
            </w:r>
          </w:p>
        </w:tc>
        <w:tc>
          <w:tcPr>
            <w:tcW w:type="dxa" w:w="2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Need updating as technology moves.</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National blueprints piloted through C4IR</w:t>
            </w:r>
          </w:p>
        </w:tc>
        <w:tc>
          <w:tcPr>
            <w:tcW w:type="dxa" w:w="2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Help a government design a strategy, then test it in-country.</w:t>
            </w:r>
          </w:p>
        </w:tc>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willing government counterpart and a local C4IR centre.</w:t>
            </w:r>
          </w:p>
        </w:tc>
        <w:tc>
          <w:tcPr>
            <w:tcW w:type="dxa" w:w="2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Depends on political continuity.</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Regulator-industry white papers</w:t>
            </w:r>
          </w:p>
        </w:tc>
        <w:tc>
          <w:tcPr>
            <w:tcW w:type="dxa" w:w="2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Give regulators a structured view of an issue and a roadmap, co-developed with a regulator.</w:t>
            </w:r>
          </w:p>
        </w:tc>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regulator willing to co-author (e.g. the UK FCA on quantum security).</w:t>
            </w:r>
          </w:p>
        </w:tc>
        <w:tc>
          <w:tcPr>
            <w:tcW w:type="dxa" w:w="2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Often limited to one sector or jurisdiction.</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Cross-jurisdiction synthesis</w:t>
            </w:r>
          </w:p>
        </w:tc>
        <w:tc>
          <w:tcPr>
            <w:tcW w:type="dxa" w:w="2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Show regulators what others are doing and what works.</w:t>
            </w:r>
          </w:p>
        </w:tc>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Comparable evidence across countries.</w:t>
            </w:r>
          </w:p>
        </w:tc>
        <w:tc>
          <w:tcPr>
            <w:tcW w:type="dxa" w:w="2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Descriptive unless linked to a dialogue.</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Incubated ratings and standards</w:t>
            </w:r>
          </w:p>
        </w:tc>
        <w:tc>
          <w:tcPr>
            <w:tcW w:type="dxa" w:w="2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Create measurable benchmarks others adopt and eventually run independently.</w:t>
            </w:r>
          </w:p>
        </w:tc>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clear owner to hand over to (e.g. EPFL for the Space Sustainability Rating).</w:t>
            </w:r>
          </w:p>
        </w:tc>
        <w:tc>
          <w:tcPr>
            <w:tcW w:type="dxa" w:w="2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Needs long-term institutional home.</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Communities of practice</w:t>
            </w:r>
          </w:p>
        </w:tc>
        <w:tc>
          <w:tcPr>
            <w:tcW w:type="dxa" w:w="2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Keep regulators, legal and compliance leaders and technologists in continuing dialogue.</w:t>
            </w:r>
          </w:p>
        </w:tc>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Sustained convening and real value to members.</w:t>
            </w:r>
          </w:p>
        </w:tc>
        <w:tc>
          <w:tcPr>
            <w:tcW w:type="dxa" w:w="2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Hard to maintain without a programme anchor.</w:t>
            </w:r>
          </w:p>
        </w:tc>
      </w:tr>
    </w:tbl>
    <w:p>
      <w:pPr>
        <w:spacing w:after="80"/>
      </w:pPr>
    </w:p>
    <w:p>
      <w:pPr>
        <w:pStyle w:val="Heading3"/>
        <w:spacing w:after="70" w:before="160"/>
      </w:pPr>
      <w:r>
        <w:rPr>
          <w:rFonts w:ascii="Calibri" w:cs="Calibri" w:eastAsia="Calibri" w:hAnsi="Calibri"/>
          <w:b/>
          <w:bCs/>
          <w:color w:val="1F2A44"/>
          <w:sz w:val="22"/>
          <w:szCs w:val="22"/>
        </w:rPr>
        <w:t xml:space="preserve">4.1 What makes a Forum governance output get used</w:t>
      </w:r>
    </w:p>
    <w:p>
      <w:pPr>
        <w:pStyle w:val="ListParagraph"/>
        <w:numPr>
          <w:ilvl w:val="0"/>
          <w:numId w:val="1"/>
        </w:numPr>
        <w:spacing w:after="70" w:line="268"/>
      </w:pPr>
      <w:r>
        <w:rPr>
          <w:rFonts w:ascii="Georgia" w:cs="Georgia" w:eastAsia="Georgia" w:hAnsi="Georgia"/>
          <w:b/>
          <w:bCs/>
          <w:color w:val="1A1A1A"/>
          <w:sz w:val="21"/>
          <w:szCs w:val="21"/>
        </w:rPr>
        <w:t xml:space="preserve">Co-design with the people who will use it,</w:t>
      </w:r>
      <w:r>
        <w:rPr>
          <w:rFonts w:ascii="Georgia" w:cs="Georgia" w:eastAsia="Georgia" w:hAnsi="Georgia"/>
          <w:color w:val="1A1A1A"/>
          <w:sz w:val="21"/>
          <w:szCs w:val="21"/>
        </w:rPr>
        <w:t xml:space="preserve"> including regulators, from the outset rather than at launch.</w:t>
      </w:r>
    </w:p>
    <w:p>
      <w:pPr>
        <w:pStyle w:val="ListParagraph"/>
        <w:numPr>
          <w:ilvl w:val="0"/>
          <w:numId w:val="1"/>
        </w:numPr>
        <w:spacing w:after="70" w:line="268"/>
      </w:pPr>
      <w:r>
        <w:rPr>
          <w:rFonts w:ascii="Georgia" w:cs="Georgia" w:eastAsia="Georgia" w:hAnsi="Georgia"/>
          <w:b/>
          <w:bCs/>
          <w:color w:val="1A1A1A"/>
          <w:sz w:val="21"/>
          <w:szCs w:val="21"/>
        </w:rPr>
        <w:t xml:space="preserve">Timing</w:t>
      </w:r>
      <w:r>
        <w:rPr>
          <w:rFonts w:ascii="Georgia" w:cs="Georgia" w:eastAsia="Georgia" w:hAnsi="Georgia"/>
          <w:color w:val="1A1A1A"/>
          <w:sz w:val="21"/>
          <w:szCs w:val="21"/>
        </w:rPr>
        <w:t xml:space="preserve"> matched to a real decision window (a strategy under design, a deadline approaching, a law under negotiation).</w:t>
      </w:r>
    </w:p>
    <w:p>
      <w:pPr>
        <w:pStyle w:val="ListParagraph"/>
        <w:numPr>
          <w:ilvl w:val="0"/>
          <w:numId w:val="1"/>
        </w:numPr>
        <w:spacing w:after="70" w:line="268"/>
      </w:pPr>
      <w:r>
        <w:rPr>
          <w:rFonts w:ascii="Georgia" w:cs="Georgia" w:eastAsia="Georgia" w:hAnsi="Georgia"/>
          <w:b/>
          <w:bCs/>
          <w:color w:val="1A1A1A"/>
          <w:sz w:val="21"/>
          <w:szCs w:val="21"/>
        </w:rPr>
        <w:t xml:space="preserve">Specificity:</w:t>
      </w:r>
      <w:r>
        <w:rPr>
          <w:rFonts w:ascii="Georgia" w:cs="Georgia" w:eastAsia="Georgia" w:hAnsi="Georgia"/>
          <w:color w:val="1A1A1A"/>
          <w:sz w:val="21"/>
          <w:szCs w:val="21"/>
        </w:rPr>
        <w:t xml:space="preserve"> checklists, model approaches and case evidence rather than general analysis.</w:t>
      </w:r>
    </w:p>
    <w:p>
      <w:pPr>
        <w:pStyle w:val="ListParagraph"/>
        <w:numPr>
          <w:ilvl w:val="0"/>
          <w:numId w:val="1"/>
        </w:numPr>
        <w:spacing w:after="70" w:line="268"/>
      </w:pPr>
      <w:r>
        <w:rPr>
          <w:rFonts w:ascii="Georgia" w:cs="Georgia" w:eastAsia="Georgia" w:hAnsi="Georgia"/>
          <w:b/>
          <w:bCs/>
          <w:color w:val="1A1A1A"/>
          <w:sz w:val="21"/>
          <w:szCs w:val="21"/>
        </w:rPr>
        <w:t xml:space="preserve">A route to adoption:</w:t>
      </w:r>
      <w:r>
        <w:rPr>
          <w:rFonts w:ascii="Georgia" w:cs="Georgia" w:eastAsia="Georgia" w:hAnsi="Georgia"/>
          <w:color w:val="1A1A1A"/>
          <w:sz w:val="21"/>
          <w:szCs w:val="21"/>
        </w:rPr>
        <w:t xml:space="preserve"> a government counterpart, a C4IR pilot, or a community that will carry it forward.</w:t>
      </w:r>
    </w:p>
    <w:p>
      <w:pPr>
        <w:pStyle w:val="ListParagraph"/>
        <w:numPr>
          <w:ilvl w:val="0"/>
          <w:numId w:val="1"/>
        </w:numPr>
        <w:spacing w:after="70" w:line="268"/>
      </w:pPr>
      <w:r>
        <w:rPr>
          <w:rFonts w:ascii="Georgia" w:cs="Georgia" w:eastAsia="Georgia" w:hAnsi="Georgia"/>
          <w:b/>
          <w:bCs/>
          <w:color w:val="1A1A1A"/>
          <w:sz w:val="21"/>
          <w:szCs w:val="21"/>
        </w:rPr>
        <w:t xml:space="preserve">A handover plan:</w:t>
      </w:r>
      <w:r>
        <w:rPr>
          <w:rFonts w:ascii="Georgia" w:cs="Georgia" w:eastAsia="Georgia" w:hAnsi="Georgia"/>
          <w:color w:val="1A1A1A"/>
          <w:sz w:val="21"/>
          <w:szCs w:val="21"/>
        </w:rPr>
        <w:t xml:space="preserve"> clarity about who owns the instrument after the Forum’s initiative moves on.</w:t>
      </w:r>
    </w:p>
    <w:p>
      <w:pPr>
        <w:pStyle w:val="Heading2"/>
        <w:spacing w:after="100" w:before="220"/>
      </w:pPr>
      <w:r>
        <w:rPr>
          <w:rFonts w:ascii="Calibri" w:cs="Calibri" w:eastAsia="Calibri" w:hAnsi="Calibri"/>
          <w:b/>
          <w:bCs/>
          <w:color w:val="2F5D8A"/>
          <w:sz w:val="25"/>
          <w:szCs w:val="25"/>
        </w:rPr>
        <w:t xml:space="preserve">5. Readiness and maturity measurement</w:t>
      </w:r>
    </w:p>
    <w:p>
      <w:pPr>
        <w:spacing w:after="140" w:line="276"/>
        <w:jc w:val="both"/>
      </w:pPr>
      <w:r>
        <w:rPr>
          <w:rFonts w:ascii="Georgia" w:cs="Georgia" w:eastAsia="Georgia" w:hAnsi="Georgia"/>
          <w:color w:val="1A1A1A"/>
          <w:sz w:val="21"/>
          <w:szCs w:val="21"/>
        </w:rPr>
        <w:t xml:space="preserve">Measurement is itself a governance instrument: benchmarking creates peer pressure and a reason to convene. Relevant examples include GRIP’s Regulatory Future Readiness Index (produced by the core GRIP team), the Forum’s Policy Maturity Index for the bioeconomy, the OECD’s indicators of regulatory policy and governance, the OECD.AI Index, and the Oxford Insights Government AI Readiness Index. For your workstream, these are sources of evidence and of conversations with governments, not products to build.</w:t>
      </w:r>
    </w:p>
    <w:p>
      <w:pPr>
        <w:pStyle w:val="Heading2"/>
        <w:spacing w:after="100" w:before="220"/>
      </w:pPr>
      <w:r>
        <w:rPr>
          <w:rFonts w:ascii="Calibri" w:cs="Calibri" w:eastAsia="Calibri" w:hAnsi="Calibri"/>
          <w:b/>
          <w:bCs/>
          <w:color w:val="2F5D8A"/>
          <w:sz w:val="25"/>
          <w:szCs w:val="25"/>
        </w:rPr>
        <w:t xml:space="preserve">6. Matching approach to situation</w:t>
      </w:r>
    </w:p>
    <w:tbl>
      <w:tblPr>
        <w:tblW w:type="dxa" w:w="9360"/>
        <w:tblBorders>
          <w:top w:val="single" w:color="C9D3E0" w:sz="2"/>
          <w:left w:val="none"/>
          <w:bottom w:val="single" w:color="C9D3E0" w:sz="2"/>
          <w:right w:val="none"/>
          <w:insideH w:val="single" w:color="C9D3E0" w:sz="2"/>
          <w:insideV w:val="single" w:color="C9D3E0" w:sz="2"/>
        </w:tblBorders>
      </w:tblPr>
      <w:tblGrid>
        <w:gridCol w:w="3800"/>
        <w:gridCol w:w="5560"/>
      </w:tblGrid>
      <w:tr>
        <w:trPr>
          <w:tblHeader/>
        </w:trPr>
        <w:tc>
          <w:tcPr>
            <w:tcW w:type="dxa" w:w="38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When the situation is…</w:t>
            </w:r>
          </w:p>
        </w:tc>
        <w:tc>
          <w:tcPr>
            <w:tcW w:type="dxa" w:w="5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Approaches that tend to fit</w:t>
            </w:r>
          </w:p>
        </w:tc>
      </w:tr>
      <w:tr>
        <w:tc>
          <w:tcPr>
            <w:tcW w:type="dxa" w:w="3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Technology early, impacts uncertain</w:t>
            </w:r>
          </w:p>
        </w:tc>
        <w:tc>
          <w:tcPr>
            <w:tcW w:type="dxa" w:w="5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Foresight, principles, dialogue; integrate governance questions into programme design.</w:t>
            </w:r>
          </w:p>
        </w:tc>
      </w:tr>
      <w:tr>
        <w:tc>
          <w:tcPr>
            <w:tcW w:type="dxa" w:w="3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Technology piloting, regulators need evidence</w:t>
            </w:r>
          </w:p>
        </w:tc>
        <w:tc>
          <w:tcPr>
            <w:tcW w:type="dxa" w:w="5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Testbeds, pilots and sandboxes run by regulators; shared evidence across jurisdictions.</w:t>
            </w:r>
          </w:p>
        </w:tc>
      </w:tr>
      <w:tr>
        <w:tc>
          <w:tcPr>
            <w:tcW w:type="dxa" w:w="3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Technology deploying, jurisdictions diverging</w:t>
            </w:r>
          </w:p>
        </w:tc>
        <w:tc>
          <w:tcPr>
            <w:tcW w:type="dxa" w:w="5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Cross-jurisdiction synthesis, regulatory dialogues, common standards, interoperability.</w:t>
            </w:r>
          </w:p>
        </w:tc>
      </w:tr>
      <w:tr>
        <w:tc>
          <w:tcPr>
            <w:tcW w:type="dxa" w:w="3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hard deadline for a transition</w:t>
            </w:r>
          </w:p>
        </w:tc>
        <w:tc>
          <w:tcPr>
            <w:tcW w:type="dxa" w:w="5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Roadmaps, readiness toolkits, sector-specific regulatory principles, coordination of timelines.</w:t>
            </w:r>
          </w:p>
        </w:tc>
      </w:tr>
      <w:tr>
        <w:tc>
          <w:tcPr>
            <w:tcW w:type="dxa" w:w="3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Catastrophic or irreversible risk</w:t>
            </w:r>
          </w:p>
        </w:tc>
        <w:tc>
          <w:tcPr>
            <w:tcW w:type="dxa" w:w="5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Precaution: binding rules, restrictions or moratoria; soft law alone is insufficient.</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Part V · Barriers, Tensions and Geopolitics</w:t>
      </w:r>
    </w:p>
    <w:p>
      <w:pPr>
        <w:spacing w:after="200" w:line="288"/>
      </w:pPr>
      <w:r>
        <w:rPr>
          <w:rFonts w:ascii="Georgia" w:cs="Georgia" w:eastAsia="Georgia" w:hAnsi="Georgia"/>
          <w:i/>
          <w:iCs/>
          <w:color w:val="55606E"/>
          <w:sz w:val="22"/>
          <w:szCs w:val="22"/>
        </w:rPr>
        <w:t xml:space="preserve">Why does responsible scaling of frontier technologies stall, even when everyone agrees on the goal? This part names the barriers, the underlying tensions, and the geopolitical forces that shape them. It is the material behind any ‘what is the real problem here?’ question.</w:t>
      </w:r>
    </w:p>
    <w:p>
      <w:pPr>
        <w:pStyle w:val="Heading2"/>
        <w:spacing w:after="100" w:before="220"/>
      </w:pPr>
      <w:r>
        <w:rPr>
          <w:rFonts w:ascii="Calibri" w:cs="Calibri" w:eastAsia="Calibri" w:hAnsi="Calibri"/>
          <w:b/>
          <w:bCs/>
          <w:color w:val="2F5D8A"/>
          <w:sz w:val="25"/>
          <w:szCs w:val="25"/>
        </w:rPr>
        <w:t xml:space="preserve">1. Barriers to responsible scaling</w:t>
      </w:r>
    </w:p>
    <w:p>
      <w:pPr>
        <w:spacing w:after="140" w:line="276"/>
        <w:jc w:val="both"/>
      </w:pPr>
      <w:r>
        <w:rPr>
          <w:rFonts w:ascii="Georgia" w:cs="Georgia" w:eastAsia="Georgia" w:hAnsi="Georgia"/>
          <w:color w:val="1A1A1A"/>
          <w:sz w:val="21"/>
          <w:szCs w:val="21"/>
        </w:rPr>
        <w:t xml:space="preserve">The barriers are remarkably consistent across technologies. Grouping them into three families gives you a reliable diagnostic structure.</w:t>
      </w:r>
    </w:p>
    <w:p>
      <w:pPr>
        <w:pStyle w:val="Heading3"/>
        <w:spacing w:after="70" w:before="160"/>
      </w:pPr>
      <w:r>
        <w:rPr>
          <w:rFonts w:ascii="Calibri" w:cs="Calibri" w:eastAsia="Calibri" w:hAnsi="Calibri"/>
          <w:b/>
          <w:bCs/>
          <w:color w:val="1F2A44"/>
          <w:sz w:val="22"/>
          <w:szCs w:val="22"/>
        </w:rPr>
        <w:t xml:space="preserve">1.1 Institutional barriers</w:t>
      </w:r>
    </w:p>
    <w:p>
      <w:pPr>
        <w:pStyle w:val="ListParagraph"/>
        <w:numPr>
          <w:ilvl w:val="0"/>
          <w:numId w:val="1"/>
        </w:numPr>
        <w:spacing w:after="70" w:line="268"/>
      </w:pPr>
      <w:r>
        <w:rPr>
          <w:rFonts w:ascii="Georgia" w:cs="Georgia" w:eastAsia="Georgia" w:hAnsi="Georgia"/>
          <w:b/>
          <w:bCs/>
          <w:color w:val="1A1A1A"/>
          <w:sz w:val="21"/>
          <w:szCs w:val="21"/>
        </w:rPr>
        <w:t xml:space="preserve">Regulatory capacity gap.</w:t>
      </w:r>
      <w:r>
        <w:rPr>
          <w:rFonts w:ascii="Georgia" w:cs="Georgia" w:eastAsia="Georgia" w:hAnsi="Georgia"/>
          <w:color w:val="1A1A1A"/>
          <w:sz w:val="21"/>
          <w:szCs w:val="21"/>
        </w:rPr>
        <w:t xml:space="preserve"> Regulators often lack the technical expertise, data and staff to understand frontier technologies. The constraint is more often capability than the absence of a rule.</w:t>
      </w:r>
    </w:p>
    <w:p>
      <w:pPr>
        <w:pStyle w:val="ListParagraph"/>
        <w:numPr>
          <w:ilvl w:val="0"/>
          <w:numId w:val="1"/>
        </w:numPr>
        <w:spacing w:after="70" w:line="268"/>
      </w:pPr>
      <w:r>
        <w:rPr>
          <w:rFonts w:ascii="Georgia" w:cs="Georgia" w:eastAsia="Georgia" w:hAnsi="Georgia"/>
          <w:b/>
          <w:bCs/>
          <w:color w:val="1A1A1A"/>
          <w:sz w:val="21"/>
          <w:szCs w:val="21"/>
        </w:rPr>
        <w:t xml:space="preserve">Siloed mandates.</w:t>
      </w:r>
      <w:r>
        <w:rPr>
          <w:rFonts w:ascii="Georgia" w:cs="Georgia" w:eastAsia="Georgia" w:hAnsi="Georgia"/>
          <w:color w:val="1A1A1A"/>
          <w:sz w:val="21"/>
          <w:szCs w:val="21"/>
        </w:rPr>
        <w:t xml:space="preserve"> Frontier technologies, and especially their convergences, cut across ministries and regulators; nobody owns the whole question.</w:t>
      </w:r>
    </w:p>
    <w:p>
      <w:pPr>
        <w:pStyle w:val="ListParagraph"/>
        <w:numPr>
          <w:ilvl w:val="0"/>
          <w:numId w:val="1"/>
        </w:numPr>
        <w:spacing w:after="70" w:line="268"/>
      </w:pPr>
      <w:r>
        <w:rPr>
          <w:rFonts w:ascii="Georgia" w:cs="Georgia" w:eastAsia="Georgia" w:hAnsi="Georgia"/>
          <w:b/>
          <w:bCs/>
          <w:color w:val="1A1A1A"/>
          <w:sz w:val="21"/>
          <w:szCs w:val="21"/>
        </w:rPr>
        <w:t xml:space="preserve">Slow cycles.</w:t>
      </w:r>
      <w:r>
        <w:rPr>
          <w:rFonts w:ascii="Georgia" w:cs="Georgia" w:eastAsia="Georgia" w:hAnsi="Georgia"/>
          <w:color w:val="1A1A1A"/>
          <w:sz w:val="21"/>
          <w:szCs w:val="21"/>
        </w:rPr>
        <w:t xml:space="preserve"> Legislative and regulatory processes take years; technology changes in months.</w:t>
      </w:r>
    </w:p>
    <w:p>
      <w:pPr>
        <w:pStyle w:val="ListParagraph"/>
        <w:numPr>
          <w:ilvl w:val="0"/>
          <w:numId w:val="1"/>
        </w:numPr>
        <w:spacing w:after="70" w:line="268"/>
      </w:pPr>
      <w:r>
        <w:rPr>
          <w:rFonts w:ascii="Georgia" w:cs="Georgia" w:eastAsia="Georgia" w:hAnsi="Georgia"/>
          <w:b/>
          <w:bCs/>
          <w:color w:val="1A1A1A"/>
          <w:sz w:val="21"/>
          <w:szCs w:val="21"/>
        </w:rPr>
        <w:t xml:space="preserve">Late integration.</w:t>
      </w:r>
      <w:r>
        <w:rPr>
          <w:rFonts w:ascii="Georgia" w:cs="Georgia" w:eastAsia="Georgia" w:hAnsi="Georgia"/>
          <w:color w:val="1A1A1A"/>
          <w:sz w:val="21"/>
          <w:szCs w:val="21"/>
        </w:rPr>
        <w:t xml:space="preserve"> Governance is considered after a technology has matured and business models have locked in, when change is expensive (the Collingridge dilemma in practice).</w:t>
      </w:r>
    </w:p>
    <w:p>
      <w:pPr>
        <w:pStyle w:val="ListParagraph"/>
        <w:numPr>
          <w:ilvl w:val="0"/>
          <w:numId w:val="1"/>
        </w:numPr>
        <w:spacing w:after="70" w:line="268"/>
      </w:pPr>
      <w:r>
        <w:rPr>
          <w:rFonts w:ascii="Georgia" w:cs="Georgia" w:eastAsia="Georgia" w:hAnsi="Georgia"/>
          <w:b/>
          <w:bCs/>
          <w:color w:val="1A1A1A"/>
          <w:sz w:val="21"/>
          <w:szCs w:val="21"/>
        </w:rPr>
        <w:t xml:space="preserve">Pilot purgatory.</w:t>
      </w:r>
      <w:r>
        <w:rPr>
          <w:rFonts w:ascii="Georgia" w:cs="Georgia" w:eastAsia="Georgia" w:hAnsi="Georgia"/>
          <w:color w:val="1A1A1A"/>
          <w:sz w:val="21"/>
          <w:szCs w:val="21"/>
        </w:rPr>
        <w:t xml:space="preserve"> Pilots and sandboxes prove a concept but never translate into general rules, because nobody designed the path from pilot to policy.</w:t>
      </w:r>
    </w:p>
    <w:p>
      <w:pPr>
        <w:pStyle w:val="Heading3"/>
        <w:spacing w:after="70" w:before="160"/>
      </w:pPr>
      <w:r>
        <w:rPr>
          <w:rFonts w:ascii="Calibri" w:cs="Calibri" w:eastAsia="Calibri" w:hAnsi="Calibri"/>
          <w:b/>
          <w:bCs/>
          <w:color w:val="1F2A44"/>
          <w:sz w:val="22"/>
          <w:szCs w:val="22"/>
        </w:rPr>
        <w:t xml:space="preserve">1.2 Ecosystem barriers</w:t>
      </w:r>
    </w:p>
    <w:p>
      <w:pPr>
        <w:pStyle w:val="ListParagraph"/>
        <w:numPr>
          <w:ilvl w:val="0"/>
          <w:numId w:val="1"/>
        </w:numPr>
        <w:spacing w:after="70" w:line="268"/>
      </w:pPr>
      <w:r>
        <w:rPr>
          <w:rFonts w:ascii="Georgia" w:cs="Georgia" w:eastAsia="Georgia" w:hAnsi="Georgia"/>
          <w:b/>
          <w:bCs/>
          <w:color w:val="1A1A1A"/>
          <w:sz w:val="21"/>
          <w:szCs w:val="21"/>
        </w:rPr>
        <w:t xml:space="preserve">Fragmentation.</w:t>
      </w:r>
      <w:r>
        <w:rPr>
          <w:rFonts w:ascii="Georgia" w:cs="Georgia" w:eastAsia="Georgia" w:hAnsi="Georgia"/>
          <w:color w:val="1A1A1A"/>
          <w:sz w:val="21"/>
          <w:szCs w:val="21"/>
        </w:rPr>
        <w:t xml:space="preserve"> Divergent national rules multiply compliance costs, favour large incumbents that can afford them, and invite forum-shopping.</w:t>
      </w:r>
    </w:p>
    <w:p>
      <w:pPr>
        <w:pStyle w:val="ListParagraph"/>
        <w:numPr>
          <w:ilvl w:val="0"/>
          <w:numId w:val="1"/>
        </w:numPr>
        <w:spacing w:after="70" w:line="268"/>
      </w:pPr>
      <w:r>
        <w:rPr>
          <w:rFonts w:ascii="Georgia" w:cs="Georgia" w:eastAsia="Georgia" w:hAnsi="Georgia"/>
          <w:b/>
          <w:bCs/>
          <w:color w:val="1A1A1A"/>
          <w:sz w:val="21"/>
          <w:szCs w:val="21"/>
        </w:rPr>
        <w:t xml:space="preserve">Hype and claims integrity.</w:t>
      </w:r>
      <w:r>
        <w:rPr>
          <w:rFonts w:ascii="Georgia" w:cs="Georgia" w:eastAsia="Georgia" w:hAnsi="Georgia"/>
          <w:color w:val="1A1A1A"/>
          <w:sz w:val="21"/>
          <w:szCs w:val="21"/>
        </w:rPr>
        <w:t xml:space="preserve"> Overstated claims distort investment and public procurement; understated risks delay preparation.</w:t>
      </w:r>
    </w:p>
    <w:p>
      <w:pPr>
        <w:pStyle w:val="ListParagraph"/>
        <w:numPr>
          <w:ilvl w:val="0"/>
          <w:numId w:val="1"/>
        </w:numPr>
        <w:spacing w:after="70" w:line="268"/>
      </w:pPr>
      <w:r>
        <w:rPr>
          <w:rFonts w:ascii="Georgia" w:cs="Georgia" w:eastAsia="Georgia" w:hAnsi="Georgia"/>
          <w:b/>
          <w:bCs/>
          <w:color w:val="1A1A1A"/>
          <w:sz w:val="21"/>
          <w:szCs w:val="21"/>
        </w:rPr>
        <w:t xml:space="preserve">Talent shortages,</w:t>
      </w:r>
      <w:r>
        <w:rPr>
          <w:rFonts w:ascii="Georgia" w:cs="Georgia" w:eastAsia="Georgia" w:hAnsi="Georgia"/>
          <w:color w:val="1A1A1A"/>
          <w:sz w:val="21"/>
          <w:szCs w:val="21"/>
        </w:rPr>
        <w:t xml:space="preserve"> in both technical roles and ‘translator’ roles that combine technical and policy literacy.</w:t>
      </w:r>
    </w:p>
    <w:p>
      <w:pPr>
        <w:pStyle w:val="ListParagraph"/>
        <w:numPr>
          <w:ilvl w:val="0"/>
          <w:numId w:val="1"/>
        </w:numPr>
        <w:spacing w:after="70" w:line="268"/>
      </w:pPr>
      <w:r>
        <w:rPr>
          <w:rFonts w:ascii="Georgia" w:cs="Georgia" w:eastAsia="Georgia" w:hAnsi="Georgia"/>
          <w:b/>
          <w:bCs/>
          <w:color w:val="1A1A1A"/>
          <w:sz w:val="21"/>
          <w:szCs w:val="21"/>
        </w:rPr>
        <w:t xml:space="preserve">Supply-chain chokepoints</w:t>
      </w:r>
      <w:r>
        <w:rPr>
          <w:rFonts w:ascii="Georgia" w:cs="Georgia" w:eastAsia="Georgia" w:hAnsi="Georgia"/>
          <w:color w:val="1A1A1A"/>
          <w:sz w:val="21"/>
          <w:szCs w:val="21"/>
        </w:rPr>
        <w:t xml:space="preserve"> in critical components and materials.</w:t>
      </w:r>
    </w:p>
    <w:p>
      <w:pPr>
        <w:pStyle w:val="ListParagraph"/>
        <w:numPr>
          <w:ilvl w:val="0"/>
          <w:numId w:val="1"/>
        </w:numPr>
        <w:spacing w:after="70" w:line="268"/>
      </w:pPr>
      <w:r>
        <w:rPr>
          <w:rFonts w:ascii="Georgia" w:cs="Georgia" w:eastAsia="Georgia" w:hAnsi="Georgia"/>
          <w:b/>
          <w:bCs/>
          <w:color w:val="1A1A1A"/>
          <w:sz w:val="21"/>
          <w:szCs w:val="21"/>
        </w:rPr>
        <w:t xml:space="preserve">Concentration</w:t>
      </w:r>
      <w:r>
        <w:rPr>
          <w:rFonts w:ascii="Georgia" w:cs="Georgia" w:eastAsia="Georgia" w:hAnsi="Georgia"/>
          <w:color w:val="1A1A1A"/>
          <w:sz w:val="21"/>
          <w:szCs w:val="21"/>
        </w:rPr>
        <w:t xml:space="preserve"> of capability, data and capital in a few companies and countries.</w:t>
      </w:r>
    </w:p>
    <w:p>
      <w:pPr>
        <w:pStyle w:val="Heading3"/>
        <w:spacing w:after="70" w:before="160"/>
      </w:pPr>
      <w:r>
        <w:rPr>
          <w:rFonts w:ascii="Calibri" w:cs="Calibri" w:eastAsia="Calibri" w:hAnsi="Calibri"/>
          <w:b/>
          <w:bCs/>
          <w:color w:val="1F2A44"/>
          <w:sz w:val="22"/>
          <w:szCs w:val="22"/>
        </w:rPr>
        <w:t xml:space="preserve">1.3 Societal barriers</w:t>
      </w:r>
    </w:p>
    <w:p>
      <w:pPr>
        <w:pStyle w:val="ListParagraph"/>
        <w:numPr>
          <w:ilvl w:val="0"/>
          <w:numId w:val="1"/>
        </w:numPr>
        <w:spacing w:after="70" w:line="268"/>
      </w:pPr>
      <w:r>
        <w:rPr>
          <w:rFonts w:ascii="Georgia" w:cs="Georgia" w:eastAsia="Georgia" w:hAnsi="Georgia"/>
          <w:b/>
          <w:bCs/>
          <w:color w:val="1A1A1A"/>
          <w:sz w:val="21"/>
          <w:szCs w:val="21"/>
        </w:rPr>
        <w:t xml:space="preserve">Public trust.</w:t>
      </w:r>
      <w:r>
        <w:rPr>
          <w:rFonts w:ascii="Georgia" w:cs="Georgia" w:eastAsia="Georgia" w:hAnsi="Georgia"/>
          <w:color w:val="1A1A1A"/>
          <w:sz w:val="21"/>
          <w:szCs w:val="21"/>
        </w:rPr>
        <w:t xml:space="preserve"> A single high-profile incident can set back a technology for years; Europe’s experience with GMOs shows how durable backlash can be.</w:t>
      </w:r>
    </w:p>
    <w:p>
      <w:pPr>
        <w:pStyle w:val="ListParagraph"/>
        <w:numPr>
          <w:ilvl w:val="0"/>
          <w:numId w:val="1"/>
        </w:numPr>
        <w:spacing w:after="70" w:line="268"/>
      </w:pPr>
      <w:r>
        <w:rPr>
          <w:rFonts w:ascii="Georgia" w:cs="Georgia" w:eastAsia="Georgia" w:hAnsi="Georgia"/>
          <w:b/>
          <w:bCs/>
          <w:color w:val="1A1A1A"/>
          <w:sz w:val="21"/>
          <w:szCs w:val="21"/>
        </w:rPr>
        <w:t xml:space="preserve">Inclusion and the divide.</w:t>
      </w:r>
      <w:r>
        <w:rPr>
          <w:rFonts w:ascii="Georgia" w:cs="Georgia" w:eastAsia="Georgia" w:hAnsi="Georgia"/>
          <w:color w:val="1A1A1A"/>
          <w:sz w:val="21"/>
          <w:szCs w:val="21"/>
        </w:rPr>
        <w:t xml:space="preserve"> Most countries risk becoming rule-takers for technologies designed and regulated elsewhere.</w:t>
      </w:r>
    </w:p>
    <w:p>
      <w:pPr>
        <w:pStyle w:val="ListParagraph"/>
        <w:numPr>
          <w:ilvl w:val="0"/>
          <w:numId w:val="1"/>
        </w:numPr>
        <w:spacing w:after="70" w:line="268"/>
      </w:pPr>
      <w:r>
        <w:rPr>
          <w:rFonts w:ascii="Georgia" w:cs="Georgia" w:eastAsia="Georgia" w:hAnsi="Georgia"/>
          <w:b/>
          <w:bCs/>
          <w:color w:val="1A1A1A"/>
          <w:sz w:val="21"/>
          <w:szCs w:val="21"/>
        </w:rPr>
        <w:t xml:space="preserve">Workforce disruption,</w:t>
      </w:r>
      <w:r>
        <w:rPr>
          <w:rFonts w:ascii="Georgia" w:cs="Georgia" w:eastAsia="Georgia" w:hAnsi="Georgia"/>
          <w:color w:val="1A1A1A"/>
          <w:sz w:val="21"/>
          <w:szCs w:val="21"/>
        </w:rPr>
        <w:t xml:space="preserve"> which creates political resistance when transitions are not managed.</w:t>
      </w:r>
    </w:p>
    <w:p>
      <w:pPr>
        <w:pStyle w:val="Heading3"/>
        <w:spacing w:after="70" w:before="160"/>
      </w:pPr>
      <w:r>
        <w:rPr>
          <w:rFonts w:ascii="Calibri" w:cs="Calibri" w:eastAsia="Calibri" w:hAnsi="Calibri"/>
          <w:b/>
          <w:bCs/>
          <w:color w:val="1F2A44"/>
          <w:sz w:val="22"/>
          <w:szCs w:val="22"/>
        </w:rPr>
        <w:t xml:space="preserve">1.4 How the barriers show up in each technology</w:t>
      </w:r>
    </w:p>
    <w:tbl>
      <w:tblPr>
        <w:tblW w:type="dxa" w:w="9360"/>
        <w:tblBorders>
          <w:top w:val="single" w:color="C9D3E0" w:sz="2"/>
          <w:left w:val="none"/>
          <w:bottom w:val="single" w:color="C9D3E0" w:sz="2"/>
          <w:right w:val="none"/>
          <w:insideH w:val="single" w:color="C9D3E0" w:sz="2"/>
          <w:insideV w:val="single" w:color="C9D3E0" w:sz="2"/>
        </w:tblBorders>
      </w:tblPr>
      <w:tblGrid>
        <w:gridCol w:w="1900"/>
        <w:gridCol w:w="2480"/>
        <w:gridCol w:w="2490"/>
        <w:gridCol w:w="2490"/>
      </w:tblGrid>
      <w:tr>
        <w:trPr>
          <w:tblHeader/>
        </w:trPr>
        <w:tc>
          <w:tcPr>
            <w:tcW w:type="dxa" w:w="1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Barrier</w:t>
            </w:r>
          </w:p>
        </w:tc>
        <w:tc>
          <w:tcPr>
            <w:tcW w:type="dxa" w:w="248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Quantum</w:t>
            </w:r>
          </w:p>
        </w:tc>
        <w:tc>
          <w:tcPr>
            <w:tcW w:type="dxa" w:w="249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Autonomous mobility and robotics</w:t>
            </w:r>
          </w:p>
        </w:tc>
        <w:tc>
          <w:tcPr>
            <w:tcW w:type="dxa" w:w="249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Biotechnology</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Capacity gap</w:t>
            </w:r>
          </w:p>
        </w:tc>
        <w:tc>
          <w:tcPr>
            <w:tcW w:type="dxa" w:w="248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Few regulators understand cryptographic migration or quantum claims.</w:t>
            </w:r>
          </w:p>
        </w:tc>
        <w:tc>
          <w:tcPr>
            <w:tcW w:type="dxa" w:w="249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Validating learning systems exceeds most regulators’ tools.</w:t>
            </w:r>
          </w:p>
        </w:tc>
        <w:tc>
          <w:tcPr>
            <w:tcW w:type="dxa" w:w="249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Assessing AI-designed biology and bespoke therapies.</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Fragmentation</w:t>
            </w:r>
          </w:p>
        </w:tc>
        <w:tc>
          <w:tcPr>
            <w:tcW w:type="dxa" w:w="248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Divergent post-quantum timelines, algorithms and certification.</w:t>
            </w:r>
          </w:p>
        </w:tc>
        <w:tc>
          <w:tcPr>
            <w:tcW w:type="dxa" w:w="249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Different national approval, liability and operating rules.</w:t>
            </w:r>
          </w:p>
        </w:tc>
        <w:tc>
          <w:tcPr>
            <w:tcW w:type="dxa" w:w="249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Gene-edited products classified differently across markets.</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Late integration</w:t>
            </w:r>
          </w:p>
        </w:tc>
        <w:tc>
          <w:tcPr>
            <w:tcW w:type="dxa" w:w="248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Long-lived devices designed today without crypto-agility.</w:t>
            </w:r>
          </w:p>
        </w:tc>
        <w:tc>
          <w:tcPr>
            <w:tcW w:type="dxa" w:w="249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Humanoids reaching homes and workplaces before any framework.</w:t>
            </w:r>
          </w:p>
        </w:tc>
        <w:tc>
          <w:tcPr>
            <w:tcW w:type="dxa" w:w="249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Screening systems designed before AI-enabled design existed.</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Hype and trust</w:t>
            </w:r>
          </w:p>
        </w:tc>
        <w:tc>
          <w:tcPr>
            <w:tcW w:type="dxa" w:w="248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Contested ‘quantum advantage’ claims.</w:t>
            </w:r>
          </w:p>
        </w:tc>
        <w:tc>
          <w:tcPr>
            <w:tcW w:type="dxa" w:w="249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Incident-driven backlash against robotaxis.</w:t>
            </w:r>
          </w:p>
        </w:tc>
        <w:tc>
          <w:tcPr>
            <w:tcW w:type="dxa" w:w="249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Public wariness shaped by the GMO debate.</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Concentration and divide</w:t>
            </w:r>
          </w:p>
        </w:tc>
        <w:tc>
          <w:tcPr>
            <w:tcW w:type="dxa" w:w="248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Full-stack capability in a handful of countries.</w:t>
            </w:r>
          </w:p>
        </w:tc>
        <w:tc>
          <w:tcPr>
            <w:tcW w:type="dxa" w:w="249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Data and fleet scale concentrated in US and Chinese firms.</w:t>
            </w:r>
          </w:p>
        </w:tc>
        <w:tc>
          <w:tcPr>
            <w:tcW w:type="dxa" w:w="249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Benefits of genetic resources flowing mainly to rich countries.</w:t>
            </w:r>
          </w:p>
        </w:tc>
      </w:tr>
    </w:tbl>
    <w:p>
      <w:pPr>
        <w:spacing w:after="80"/>
      </w:pPr>
    </w:p>
    <w:p>
      <w:pPr>
        <w:pStyle w:val="Heading2"/>
        <w:spacing w:after="100" w:before="220"/>
      </w:pPr>
      <w:r>
        <w:rPr>
          <w:rFonts w:ascii="Calibri" w:cs="Calibri" w:eastAsia="Calibri" w:hAnsi="Calibri"/>
          <w:b/>
          <w:bCs/>
          <w:color w:val="2F5D8A"/>
          <w:sz w:val="25"/>
          <w:szCs w:val="25"/>
        </w:rPr>
        <w:t xml:space="preserve">2. The core tensions</w:t>
      </w:r>
    </w:p>
    <w:p>
      <w:pPr>
        <w:spacing w:after="140" w:line="276"/>
        <w:jc w:val="both"/>
      </w:pPr>
      <w:r>
        <w:rPr>
          <w:rFonts w:ascii="Georgia" w:cs="Georgia" w:eastAsia="Georgia" w:hAnsi="Georgia"/>
          <w:color w:val="1A1A1A"/>
          <w:sz w:val="21"/>
          <w:szCs w:val="21"/>
        </w:rPr>
        <w:t xml:space="preserve">Beneath the barriers sit tensions that cannot be solved, only managed. Naming them explicitly is a mark of maturity in any answer.</w:t>
      </w:r>
    </w:p>
    <w:tbl>
      <w:tblPr>
        <w:tblW w:type="dxa" w:w="9360"/>
        <w:tblBorders>
          <w:top w:val="single" w:color="C9D3E0" w:sz="2"/>
          <w:left w:val="none"/>
          <w:bottom w:val="single" w:color="C9D3E0" w:sz="2"/>
          <w:right w:val="none"/>
          <w:insideH w:val="single" w:color="C9D3E0" w:sz="2"/>
          <w:insideV w:val="single" w:color="C9D3E0" w:sz="2"/>
        </w:tblBorders>
      </w:tblPr>
      <w:tblGrid>
        <w:gridCol w:w="2800"/>
        <w:gridCol w:w="6560"/>
      </w:tblGrid>
      <w:tr>
        <w:trPr>
          <w:tblHeader/>
        </w:trPr>
        <w:tc>
          <w:tcPr>
            <w:tcW w:type="dxa" w:w="28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Tension</w:t>
            </w:r>
          </w:p>
        </w:tc>
        <w:tc>
          <w:tcPr>
            <w:tcW w:type="dxa" w:w="6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means</w:t>
            </w:r>
          </w:p>
        </w:tc>
      </w:tr>
      <w:tr>
        <w:tc>
          <w:tcPr>
            <w:tcW w:type="dxa" w:w="2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Innovation and protection</w:t>
            </w:r>
          </w:p>
        </w:tc>
        <w:tc>
          <w:tcPr>
            <w:tcW w:type="dxa" w:w="6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Room to experiment versus safeguards against harm.</w:t>
            </w:r>
          </w:p>
        </w:tc>
      </w:tr>
      <w:tr>
        <w:tc>
          <w:tcPr>
            <w:tcW w:type="dxa" w:w="2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Speed and legitimacy</w:t>
            </w:r>
          </w:p>
        </w:tc>
        <w:tc>
          <w:tcPr>
            <w:tcW w:type="dxa" w:w="6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Agile, fast rule-making versus democratic process and inclusion.</w:t>
            </w:r>
          </w:p>
        </w:tc>
      </w:tr>
      <w:tr>
        <w:tc>
          <w:tcPr>
            <w:tcW w:type="dxa" w:w="2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Flexibility and certainty</w:t>
            </w:r>
          </w:p>
        </w:tc>
        <w:tc>
          <w:tcPr>
            <w:tcW w:type="dxa" w:w="6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Adaptive rules versus the predictability investors need.</w:t>
            </w:r>
          </w:p>
        </w:tc>
      </w:tr>
      <w:tr>
        <w:tc>
          <w:tcPr>
            <w:tcW w:type="dxa" w:w="2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Openness and security</w:t>
            </w:r>
          </w:p>
        </w:tc>
        <w:tc>
          <w:tcPr>
            <w:tcW w:type="dxa" w:w="6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Open science and talent mobility versus dual-use risk and export control.</w:t>
            </w:r>
          </w:p>
        </w:tc>
      </w:tr>
      <w:tr>
        <w:tc>
          <w:tcPr>
            <w:tcW w:type="dxa" w:w="2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National advantage and shared commons</w:t>
            </w:r>
          </w:p>
        </w:tc>
        <w:tc>
          <w:tcPr>
            <w:tcW w:type="dxa" w:w="6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Competitiveness and sovereignty versus interoperability and global public goods.</w:t>
            </w:r>
          </w:p>
        </w:tc>
      </w:tr>
      <w:tr>
        <w:tc>
          <w:tcPr>
            <w:tcW w:type="dxa" w:w="2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Precaution and permission</w:t>
            </w:r>
          </w:p>
        </w:tc>
        <w:tc>
          <w:tcPr>
            <w:tcW w:type="dxa" w:w="6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Prove safety first (the EU’s default) versus permit and correct (the US default).</w:t>
            </w:r>
          </w:p>
        </w:tc>
      </w:tr>
    </w:tbl>
    <w:p>
      <w:pPr>
        <w:spacing w:after="80"/>
      </w:pPr>
    </w:p>
    <w:p>
      <w:pPr>
        <w:pStyle w:val="Heading2"/>
        <w:spacing w:after="100" w:before="220"/>
      </w:pPr>
      <w:r>
        <w:rPr>
          <w:rFonts w:ascii="Calibri" w:cs="Calibri" w:eastAsia="Calibri" w:hAnsi="Calibri"/>
          <w:b/>
          <w:bCs/>
          <w:color w:val="2F5D8A"/>
          <w:sz w:val="25"/>
          <w:szCs w:val="25"/>
        </w:rPr>
        <w:t xml:space="preserve">3. Geopolitics</w:t>
      </w:r>
    </w:p>
    <w:p>
      <w:pPr>
        <w:pStyle w:val="Heading3"/>
        <w:spacing w:after="70" w:before="160"/>
      </w:pPr>
      <w:r>
        <w:rPr>
          <w:rFonts w:ascii="Calibri" w:cs="Calibri" w:eastAsia="Calibri" w:hAnsi="Calibri"/>
          <w:b/>
          <w:bCs/>
          <w:color w:val="1F2A44"/>
          <w:sz w:val="22"/>
          <w:szCs w:val="22"/>
        </w:rPr>
        <w:t xml:space="preserve">3.1 Three rulebooks, and the middle paths</w:t>
      </w:r>
    </w:p>
    <w:tbl>
      <w:tblPr>
        <w:tblW w:type="dxa" w:w="9360"/>
        <w:tblBorders>
          <w:top w:val="single" w:color="C9D3E0" w:sz="2"/>
          <w:left w:val="none"/>
          <w:bottom w:val="single" w:color="C9D3E0" w:sz="2"/>
          <w:right w:val="none"/>
          <w:insideH w:val="single" w:color="C9D3E0" w:sz="2"/>
          <w:insideV w:val="single" w:color="C9D3E0" w:sz="2"/>
        </w:tblBorders>
      </w:tblPr>
      <w:tblGrid>
        <w:gridCol w:w="2000"/>
        <w:gridCol w:w="3700"/>
        <w:gridCol w:w="3660"/>
      </w:tblGrid>
      <w:tr>
        <w:trPr>
          <w:tblHeader/>
        </w:trPr>
        <w:tc>
          <w:tcPr>
            <w:tcW w:type="dxa" w:w="2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Model</w:t>
            </w:r>
          </w:p>
        </w:tc>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Philosophy</w:t>
            </w:r>
          </w:p>
        </w:tc>
        <w:tc>
          <w:tcPr>
            <w:tcW w:type="dxa" w:w="36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Typical instruments</w:t>
            </w:r>
          </w:p>
        </w:tc>
      </w:tr>
      <w:tr>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European Union</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Rights- and risk-based; precautionary; comprehensive horizontal law.</w:t>
            </w:r>
          </w:p>
        </w:tc>
        <w:tc>
          <w:tcPr>
            <w:tcW w:type="dxa" w:w="36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AI Act, GDPR, product-liability reform; strategic-autonomy framing for quantum and biotech.</w:t>
            </w:r>
          </w:p>
        </w:tc>
      </w:tr>
      <w:tr>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States</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Market-led; sectoral; innovation-first; increasingly security-driven.</w:t>
            </w:r>
          </w:p>
        </w:tc>
        <w:tc>
          <w:tcPr>
            <w:tcW w:type="dxa" w:w="36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Executive action, agency guidance, voluntary NIST frameworks, export controls, industrial policy.</w:t>
            </w:r>
          </w:p>
        </w:tc>
      </w:tr>
      <w:tr>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China</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State-directed; targeted and fast-moving; strategic industrial policy.</w:t>
            </w:r>
          </w:p>
        </w:tc>
        <w:tc>
          <w:tcPr>
            <w:tcW w:type="dxa" w:w="36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Specific rules per application; registration requirements; national standards systems; city-level pilots.</w:t>
            </w:r>
          </w:p>
        </w:tc>
      </w:tr>
      <w:tr>
        <w:tc>
          <w:tcPr>
            <w:tcW w:type="dxa" w:w="2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Kingdom</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Principles-based and pro-innovation, working through existing regulators.</w:t>
            </w:r>
          </w:p>
        </w:tc>
        <w:tc>
          <w:tcPr>
            <w:tcW w:type="dxa" w:w="36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 cooperation forums; specialist institutes; enabling legislation such as the Automated Vehicles Act.</w:t>
            </w:r>
          </w:p>
        </w:tc>
      </w:tr>
      <w:tr>
        <w:tc>
          <w:tcPr>
            <w:tcW w:type="dxa" w:w="2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Gulf states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Positioning as agile, investment-friendly regulatory hubs and conveners.</w:t>
            </w:r>
          </w:p>
        </w:tc>
        <w:tc>
          <w:tcPr>
            <w:tcW w:type="dxa" w:w="36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laboratories and temporary licences (UAE); national technology champions (TII); C4IR centres; partnership with the Forum on GRIP.</w:t>
            </w:r>
          </w:p>
        </w:tc>
      </w:tr>
    </w:tbl>
    <w:p>
      <w:pPr>
        <w:spacing w:after="80"/>
      </w:pPr>
    </w:p>
    <w:p>
      <w:pPr>
        <w:pStyle w:val="Heading3"/>
        <w:spacing w:after="70" w:before="160"/>
      </w:pPr>
      <w:r>
        <w:rPr>
          <w:rFonts w:ascii="Calibri" w:cs="Calibri" w:eastAsia="Calibri" w:hAnsi="Calibri"/>
          <w:b/>
          <w:bCs/>
          <w:color w:val="1F2A44"/>
          <w:sz w:val="22"/>
          <w:szCs w:val="22"/>
        </w:rPr>
        <w:t xml:space="preserve">3.2 The Brussels effect, and its limits</w:t>
      </w:r>
    </w:p>
    <w:p>
      <w:pPr>
        <w:spacing w:after="140" w:line="276"/>
        <w:jc w:val="both"/>
      </w:pPr>
      <w:r>
        <w:rPr>
          <w:rFonts w:ascii="Georgia" w:cs="Georgia" w:eastAsia="Georgia" w:hAnsi="Georgia"/>
          <w:color w:val="1A1A1A"/>
          <w:sz w:val="21"/>
          <w:szCs w:val="21"/>
        </w:rPr>
        <w:t xml:space="preserve">Anu Bradford’s ‘Brussels effect’ describes how EU rules become global standards because firms adopt them worldwide to access the EU market, and other governments copy them. GDPR is the archetype. The effect is real but weakening for frontier technologies: the US and China pursue rival models, the EU itself is prioritising competitiveness and simplification, and technical standards set outside Europe (for example NIST’s post-quantum algorithms) can matter more than legislation.</w:t>
      </w:r>
    </w:p>
    <w:p>
      <w:pPr>
        <w:pStyle w:val="Heading3"/>
        <w:spacing w:after="70" w:before="160"/>
      </w:pPr>
      <w:r>
        <w:rPr>
          <w:rFonts w:ascii="Calibri" w:cs="Calibri" w:eastAsia="Calibri" w:hAnsi="Calibri"/>
          <w:b/>
          <w:bCs/>
          <w:color w:val="1F2A44"/>
          <w:sz w:val="22"/>
          <w:szCs w:val="22"/>
        </w:rPr>
        <w:t xml:space="preserve">3.3 Technology sovereignty and export controls</w:t>
      </w:r>
    </w:p>
    <w:p>
      <w:pPr>
        <w:spacing w:after="140" w:line="276"/>
        <w:jc w:val="both"/>
      </w:pPr>
      <w:r>
        <w:rPr>
          <w:rFonts w:ascii="Georgia" w:cs="Georgia" w:eastAsia="Georgia" w:hAnsi="Georgia"/>
          <w:color w:val="1A1A1A"/>
          <w:sz w:val="21"/>
          <w:szCs w:val="21"/>
        </w:rPr>
        <w:t xml:space="preserve">Governments increasingly treat frontier technologies as strategic assets. The US approach of tight controls on a narrow set of critical technologies (‘small yard, high fence’) now covers advanced semiconductors, quantum items and some biotechnology; allies have introduced parallel but not identical controls. Research security, investment screening and supply-chain policy sit alongside. For a convener, this means some conversations are constrained, and that security agencies need to be in the room alongside innovation ministries.</w:t>
      </w:r>
    </w:p>
    <w:p>
      <w:pPr>
        <w:pStyle w:val="Heading3"/>
        <w:spacing w:after="70" w:before="160"/>
      </w:pPr>
      <w:r>
        <w:rPr>
          <w:rFonts w:ascii="Calibri" w:cs="Calibri" w:eastAsia="Calibri" w:hAnsi="Calibri"/>
          <w:b/>
          <w:bCs/>
          <w:color w:val="1F2A44"/>
          <w:sz w:val="22"/>
          <w:szCs w:val="22"/>
        </w:rPr>
        <w:t xml:space="preserve">3.4 Standards as a geopolitical arena</w:t>
      </w:r>
    </w:p>
    <w:p>
      <w:pPr>
        <w:spacing w:after="140" w:line="276"/>
        <w:jc w:val="both"/>
      </w:pPr>
      <w:r>
        <w:rPr>
          <w:rFonts w:ascii="Georgia" w:cs="Georgia" w:eastAsia="Georgia" w:hAnsi="Georgia"/>
          <w:color w:val="1A1A1A"/>
          <w:sz w:val="21"/>
          <w:szCs w:val="21"/>
        </w:rPr>
        <w:t xml:space="preserve">Whoever sets technical standards shapes markets for decades. Standards bodies (ISO, IEC, ITU, IETF, and national bodies such as NIST) have become contested arenas, with countries investing in participation and in alternative national standards (China’s standards systems for humanoid robots and cryptography are examples).</w:t>
      </w:r>
    </w:p>
    <w:p>
      <w:pPr>
        <w:pStyle w:val="Heading3"/>
        <w:spacing w:after="70" w:before="160"/>
      </w:pPr>
      <w:r>
        <w:rPr>
          <w:rFonts w:ascii="Calibri" w:cs="Calibri" w:eastAsia="Calibri" w:hAnsi="Calibri"/>
          <w:b/>
          <w:bCs/>
          <w:color w:val="1F2A44"/>
          <w:sz w:val="22"/>
          <w:szCs w:val="22"/>
        </w:rPr>
        <w:t xml:space="preserve">3.5 What this means for a convening organisation</w:t>
      </w:r>
    </w:p>
    <w:p>
      <w:pPr>
        <w:spacing w:after="140" w:line="276"/>
        <w:jc w:val="both"/>
      </w:pPr>
      <w:r>
        <w:rPr>
          <w:rFonts w:ascii="Georgia" w:cs="Georgia" w:eastAsia="Georgia" w:hAnsi="Georgia"/>
          <w:color w:val="1A1A1A"/>
          <w:sz w:val="21"/>
          <w:szCs w:val="21"/>
        </w:rPr>
        <w:t xml:space="preserve">The Forum’s comparative advantage lies where no single government can act alone and where public and private actors need a neutral space: comparing approaches across jurisdictions, linking regulators to the companies that will implement rules, bringing security and innovation communities together, and piloting frameworks through the C4IR network. Its limits are equally clear: it cannot enforce, it does not set technical standards, and its legitimacy depends on inclusion and transparency (Part II, §4).</w:t>
      </w:r>
    </w:p>
    <w:p>
      <w:pPr>
        <w:pStyle w:val="Heading2"/>
        <w:spacing w:after="100" w:before="220"/>
      </w:pPr>
      <w:r>
        <w:rPr>
          <w:rFonts w:ascii="Calibri" w:cs="Calibri" w:eastAsia="Calibri" w:hAnsi="Calibri"/>
          <w:b/>
          <w:bCs/>
          <w:color w:val="2F5D8A"/>
          <w:sz w:val="25"/>
          <w:szCs w:val="25"/>
        </w:rPr>
        <w:t xml:space="preserve">4. Lessons from past technology governance</w:t>
      </w:r>
    </w:p>
    <w:p>
      <w:pPr>
        <w:spacing w:after="140" w:line="276"/>
        <w:jc w:val="both"/>
      </w:pPr>
      <w:r>
        <w:rPr>
          <w:rFonts w:ascii="Georgia" w:cs="Georgia" w:eastAsia="Georgia" w:hAnsi="Georgia"/>
          <w:color w:val="1A1A1A"/>
          <w:sz w:val="21"/>
          <w:szCs w:val="21"/>
        </w:rPr>
        <w:t xml:space="preserve">Experts reason by analogy. These precedents are the ones most often invoked in frontier-technology debates; knowing what each actually teaches (and where the analogy breaks) lets you use them with authority.</w:t>
      </w:r>
    </w:p>
    <w:tbl>
      <w:tblPr>
        <w:tblW w:type="dxa" w:w="9360"/>
        <w:tblBorders>
          <w:top w:val="single" w:color="C9D3E0" w:sz="2"/>
          <w:left w:val="none"/>
          <w:bottom w:val="single" w:color="C9D3E0" w:sz="2"/>
          <w:right w:val="none"/>
          <w:insideH w:val="single" w:color="C9D3E0" w:sz="2"/>
          <w:insideV w:val="single" w:color="C9D3E0" w:sz="2"/>
        </w:tblBorders>
      </w:tblPr>
      <w:tblGrid>
        <w:gridCol w:w="1700"/>
        <w:gridCol w:w="2800"/>
        <w:gridCol w:w="2600"/>
        <w:gridCol w:w="2260"/>
      </w:tblGrid>
      <w:tr>
        <w:trPr>
          <w:tblHeader/>
        </w:trPr>
        <w:tc>
          <w:tcPr>
            <w:tcW w:type="dxa" w:w="1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Precedent</w:t>
            </w:r>
          </w:p>
        </w:tc>
        <w:tc>
          <w:tcPr>
            <w:tcW w:type="dxa" w:w="28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happened</w:t>
            </w:r>
          </w:p>
        </w:tc>
        <w:tc>
          <w:tcPr>
            <w:tcW w:type="dxa" w:w="26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The lesson</w:t>
            </w:r>
          </w:p>
        </w:tc>
        <w:tc>
          <w:tcPr>
            <w:tcW w:type="dxa" w:w="22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Where it applies today</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Montreal Protocol (1987)</w:t>
            </w:r>
          </w:p>
        </w:tc>
        <w:tc>
          <w:tcPr>
            <w:tcW w:type="dxa" w:w="2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Governments agreed to phase out ozone-depleting CFCs on fixed schedules, with substitutes available and a fund to help developing countries comply.</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technology phase-out works when substitutes exist, deadlines are staged, and poorer countries get support.</w:t>
            </w:r>
          </w:p>
        </w:tc>
        <w:tc>
          <w:tcPr>
            <w:tcW w:type="dxa" w:w="2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post-quantum migration: substitutes exist (PQC), deadlines are set, capacity support is missing.</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Y2K (1990s)</w:t>
            </w:r>
          </w:p>
        </w:tc>
        <w:tc>
          <w:tcPr>
            <w:tcW w:type="dxa" w:w="2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Organisations inventoried and fixed date-handling code before a known deadline.</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Inventory first; supply chains matter; a deadline mobilises boards.</w:t>
            </w:r>
          </w:p>
        </w:tc>
        <w:tc>
          <w:tcPr>
            <w:tcW w:type="dxa" w:w="2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PQC migration, except that Q-Day has no fixed date, which makes mobilisation harder.</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Asilomar Conference (1975)</w:t>
            </w:r>
          </w:p>
        </w:tc>
        <w:tc>
          <w:tcPr>
            <w:tcW w:type="dxa" w:w="2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Scientists paused and set their own safety guidelines for recombinant DNA, later adopted into government rules.</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Early self-governance by a research community can seed durable rules.</w:t>
            </w:r>
          </w:p>
        </w:tc>
        <w:tc>
          <w:tcPr>
            <w:tcW w:type="dxa" w:w="2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AI-bio safeguards; early quantum principles.</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Aviation safety</w:t>
            </w:r>
          </w:p>
        </w:tc>
        <w:tc>
          <w:tcPr>
            <w:tcW w:type="dxa" w:w="2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 international body (ICAO), independent accident investigation and confidential incident reporting created a strong safety-learning culture.</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Shared, blame-free incident learning across borders makes a complex technology safe.</w:t>
            </w:r>
          </w:p>
        </w:tc>
        <w:tc>
          <w:tcPr>
            <w:tcW w:type="dxa" w:w="2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Autonomous vehicles and robots: cross-jurisdiction incident learning.</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Basel Committee (1974)</w:t>
            </w:r>
          </w:p>
        </w:tc>
        <w:tc>
          <w:tcPr>
            <w:tcW w:type="dxa" w:w="2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Central banks agreed non-binding standards that were then adopted into national law worldwide.</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Soft law through a network of regulators can achieve near-global alignment without a treaty.</w:t>
            </w:r>
          </w:p>
        </w:tc>
        <w:tc>
          <w:tcPr>
            <w:tcW w:type="dxa" w:w="2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 networks for frontier technologies.</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Internet governance</w:t>
            </w:r>
          </w:p>
        </w:tc>
        <w:tc>
          <w:tcPr>
            <w:tcW w:type="dxa" w:w="2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Multistakeholder bodies (ICANN, 1998; the Internet Governance Forum, 2006) manage key functions and dialogue.</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Multistakeholder governance can run critical infrastructure, but faces persistent legitimacy debates.</w:t>
            </w:r>
          </w:p>
        </w:tc>
        <w:tc>
          <w:tcPr>
            <w:tcW w:type="dxa" w:w="2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Forum’s own model (Part II, §4).</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GMOs in Europe</w:t>
            </w:r>
          </w:p>
        </w:tc>
        <w:tc>
          <w:tcPr>
            <w:tcW w:type="dxa" w:w="2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Public opposition led to a de facto moratorium (1998–2004) and restrictive rules that lasted for decades.</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Neglecting public trust early can lock in restrictive regulation for a generation.</w:t>
            </w:r>
          </w:p>
        </w:tc>
        <w:tc>
          <w:tcPr>
            <w:tcW w:type="dxa" w:w="2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 editing, humanoids, any technology with visible public risk.</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Nuclear (IAEA, 1957; NPT, 1968)</w:t>
            </w:r>
          </w:p>
        </w:tc>
        <w:tc>
          <w:tcPr>
            <w:tcW w:type="dxa" w:w="2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 international agency with verification powers, backed by a treaty.</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Verification is possible when materials are physical and traceable; it is much harder for software and biology.</w:t>
            </w:r>
          </w:p>
        </w:tc>
        <w:tc>
          <w:tcPr>
            <w:tcW w:type="dxa" w:w="2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Often proposed as a model for AI and bio; the analogy is weaker than it appears.</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Glossary</w:t>
      </w:r>
    </w:p>
    <w:p>
      <w:pPr>
        <w:spacing w:after="200" w:line="288"/>
      </w:pPr>
      <w:r>
        <w:rPr>
          <w:rFonts w:ascii="Georgia" w:cs="Georgia" w:eastAsia="Georgia" w:hAnsi="Georgia"/>
          <w:i/>
          <w:iCs/>
          <w:color w:val="55606E"/>
          <w:sz w:val="22"/>
          <w:szCs w:val="22"/>
        </w:rPr>
        <w:t xml:space="preserve">Every term used in the dossier, defined once, with a pointer to where it is explained in full where relevant.</w:t>
      </w:r>
    </w:p>
    <w:p>
      <w:pPr>
        <w:spacing w:after="140" w:line="276"/>
        <w:jc w:val="both"/>
      </w:pPr>
      <w:r>
        <w:rPr>
          <w:rFonts w:ascii="Georgia" w:cs="Georgia" w:eastAsia="Georgia" w:hAnsi="Georgia"/>
          <w:b/>
          <w:bCs/>
          <w:color w:val="1A1A1A"/>
          <w:sz w:val="21"/>
          <w:szCs w:val="21"/>
        </w:rPr>
        <w:t xml:space="preserve">Agentic AI.</w:t>
      </w:r>
      <w:r>
        <w:rPr>
          <w:rFonts w:ascii="Georgia" w:cs="Georgia" w:eastAsia="Georgia" w:hAnsi="Georgia"/>
          <w:color w:val="1A1A1A"/>
          <w:sz w:val="21"/>
          <w:szCs w:val="21"/>
        </w:rPr>
        <w:t xml:space="preserve"> AI systems that plan and take actions through tools, rather than only generating content.</w:t>
      </w:r>
    </w:p>
    <w:p>
      <w:pPr>
        <w:spacing w:after="140" w:line="276"/>
        <w:jc w:val="both"/>
      </w:pPr>
      <w:r>
        <w:rPr>
          <w:rFonts w:ascii="Georgia" w:cs="Georgia" w:eastAsia="Georgia" w:hAnsi="Georgia"/>
          <w:b/>
          <w:bCs/>
          <w:color w:val="1A1A1A"/>
          <w:sz w:val="21"/>
          <w:szCs w:val="21"/>
        </w:rPr>
        <w:t xml:space="preserve">Anticipatory governance.</w:t>
      </w:r>
      <w:r>
        <w:rPr>
          <w:rFonts w:ascii="Georgia" w:cs="Georgia" w:eastAsia="Georgia" w:hAnsi="Georgia"/>
          <w:color w:val="1A1A1A"/>
          <w:sz w:val="21"/>
          <w:szCs w:val="21"/>
        </w:rPr>
        <w:t xml:space="preserve"> Acting while a technology is still shapeable, using foresight, experimentation and learning (Part I, §5.3).</w:t>
      </w:r>
    </w:p>
    <w:p>
      <w:pPr>
        <w:spacing w:after="140" w:line="276"/>
        <w:jc w:val="both"/>
      </w:pPr>
      <w:r>
        <w:rPr>
          <w:rFonts w:ascii="Georgia" w:cs="Georgia" w:eastAsia="Georgia" w:hAnsi="Georgia"/>
          <w:b/>
          <w:bCs/>
          <w:color w:val="1A1A1A"/>
          <w:sz w:val="21"/>
          <w:szCs w:val="21"/>
        </w:rPr>
        <w:t xml:space="preserve">Artemis Accords.</w:t>
      </w:r>
      <w:r>
        <w:rPr>
          <w:rFonts w:ascii="Georgia" w:cs="Georgia" w:eastAsia="Georgia" w:hAnsi="Georgia"/>
          <w:color w:val="1A1A1A"/>
          <w:sz w:val="21"/>
          <w:szCs w:val="21"/>
        </w:rPr>
        <w:t xml:space="preserve"> US-led principles (2020) for civil space exploration and resource use, signed by dozens of countries.</w:t>
      </w:r>
    </w:p>
    <w:p>
      <w:pPr>
        <w:spacing w:after="140" w:line="276"/>
        <w:jc w:val="both"/>
      </w:pPr>
      <w:r>
        <w:rPr>
          <w:rFonts w:ascii="Georgia" w:cs="Georgia" w:eastAsia="Georgia" w:hAnsi="Georgia"/>
          <w:b/>
          <w:bCs/>
          <w:color w:val="1A1A1A"/>
          <w:sz w:val="21"/>
          <w:szCs w:val="21"/>
        </w:rPr>
        <w:t xml:space="preserve">Base editing.</w:t>
      </w:r>
      <w:r>
        <w:rPr>
          <w:rFonts w:ascii="Georgia" w:cs="Georgia" w:eastAsia="Georgia" w:hAnsi="Georgia"/>
          <w:color w:val="1A1A1A"/>
          <w:sz w:val="21"/>
          <w:szCs w:val="21"/>
        </w:rPr>
        <w:t xml:space="preserve"> A gene-editing technique that converts one DNA letter into another without cutting both DNA strands.</w:t>
      </w:r>
    </w:p>
    <w:p>
      <w:pPr>
        <w:spacing w:after="140" w:line="276"/>
        <w:jc w:val="both"/>
      </w:pPr>
      <w:r>
        <w:rPr>
          <w:rFonts w:ascii="Georgia" w:cs="Georgia" w:eastAsia="Georgia" w:hAnsi="Georgia"/>
          <w:b/>
          <w:bCs/>
          <w:color w:val="1A1A1A"/>
          <w:sz w:val="21"/>
          <w:szCs w:val="21"/>
        </w:rPr>
        <w:t xml:space="preserve">Bioeconomy.</w:t>
      </w:r>
      <w:r>
        <w:rPr>
          <w:rFonts w:ascii="Georgia" w:cs="Georgia" w:eastAsia="Georgia" w:hAnsi="Georgia"/>
          <w:color w:val="1A1A1A"/>
          <w:sz w:val="21"/>
          <w:szCs w:val="21"/>
        </w:rPr>
        <w:t xml:space="preserve"> Economic activity based on biological resources and processes; estimated at $4–5 trillion.</w:t>
      </w:r>
    </w:p>
    <w:p>
      <w:pPr>
        <w:spacing w:after="140" w:line="276"/>
        <w:jc w:val="both"/>
      </w:pPr>
      <w:r>
        <w:rPr>
          <w:rFonts w:ascii="Georgia" w:cs="Georgia" w:eastAsia="Georgia" w:hAnsi="Georgia"/>
          <w:b/>
          <w:bCs/>
          <w:color w:val="1A1A1A"/>
          <w:sz w:val="21"/>
          <w:szCs w:val="21"/>
        </w:rPr>
        <w:t xml:space="preserve">Biosafety / biosecurity.</w:t>
      </w:r>
      <w:r>
        <w:rPr>
          <w:rFonts w:ascii="Georgia" w:cs="Georgia" w:eastAsia="Georgia" w:hAnsi="Georgia"/>
          <w:color w:val="1A1A1A"/>
          <w:sz w:val="21"/>
          <w:szCs w:val="21"/>
        </w:rPr>
        <w:t xml:space="preserve"> Protection against accidental exposure or release / against deliberate misuse.</w:t>
      </w:r>
    </w:p>
    <w:p>
      <w:pPr>
        <w:spacing w:after="140" w:line="276"/>
        <w:jc w:val="both"/>
      </w:pPr>
      <w:r>
        <w:rPr>
          <w:rFonts w:ascii="Georgia" w:cs="Georgia" w:eastAsia="Georgia" w:hAnsi="Georgia"/>
          <w:b/>
          <w:bCs/>
          <w:color w:val="1A1A1A"/>
          <w:sz w:val="21"/>
          <w:szCs w:val="21"/>
        </w:rPr>
        <w:t xml:space="preserve">Brussels effect.</w:t>
      </w:r>
      <w:r>
        <w:rPr>
          <w:rFonts w:ascii="Georgia" w:cs="Georgia" w:eastAsia="Georgia" w:hAnsi="Georgia"/>
          <w:color w:val="1A1A1A"/>
          <w:sz w:val="21"/>
          <w:szCs w:val="21"/>
        </w:rPr>
        <w:t xml:space="preserve"> The spread of EU rules worldwide because firms adopt them to access the EU market (Anu Bradford).</w:t>
      </w:r>
    </w:p>
    <w:p>
      <w:pPr>
        <w:spacing w:after="140" w:line="276"/>
        <w:jc w:val="both"/>
      </w:pPr>
      <w:r>
        <w:rPr>
          <w:rFonts w:ascii="Georgia" w:cs="Georgia" w:eastAsia="Georgia" w:hAnsi="Georgia"/>
          <w:b/>
          <w:bCs/>
          <w:color w:val="1A1A1A"/>
          <w:sz w:val="21"/>
          <w:szCs w:val="21"/>
        </w:rPr>
        <w:t xml:space="preserve">BVLOS.</w:t>
      </w:r>
      <w:r>
        <w:rPr>
          <w:rFonts w:ascii="Georgia" w:cs="Georgia" w:eastAsia="Georgia" w:hAnsi="Georgia"/>
          <w:color w:val="1A1A1A"/>
          <w:sz w:val="21"/>
          <w:szCs w:val="21"/>
        </w:rPr>
        <w:t xml:space="preserve"> Beyond visual line of sight: drone operations where the pilot cannot see the aircraft.</w:t>
      </w:r>
    </w:p>
    <w:p>
      <w:pPr>
        <w:spacing w:after="140" w:line="276"/>
        <w:jc w:val="both"/>
      </w:pPr>
      <w:r>
        <w:rPr>
          <w:rFonts w:ascii="Georgia" w:cs="Georgia" w:eastAsia="Georgia" w:hAnsi="Georgia"/>
          <w:b/>
          <w:bCs/>
          <w:color w:val="1A1A1A"/>
          <w:sz w:val="21"/>
          <w:szCs w:val="21"/>
        </w:rPr>
        <w:t xml:space="preserve">Cali Fund.</w:t>
      </w:r>
      <w:r>
        <w:rPr>
          <w:rFonts w:ascii="Georgia" w:cs="Georgia" w:eastAsia="Georgia" w:hAnsi="Georgia"/>
          <w:color w:val="1A1A1A"/>
          <w:sz w:val="21"/>
          <w:szCs w:val="21"/>
        </w:rPr>
        <w:t xml:space="preserve"> Fund created in 2024 under the Convention on Biological Diversity for benefit-sharing from digital sequence information.</w:t>
      </w:r>
    </w:p>
    <w:p>
      <w:pPr>
        <w:spacing w:after="140" w:line="276"/>
        <w:jc w:val="both"/>
      </w:pPr>
      <w:r>
        <w:rPr>
          <w:rFonts w:ascii="Georgia" w:cs="Georgia" w:eastAsia="Georgia" w:hAnsi="Georgia"/>
          <w:b/>
          <w:bCs/>
          <w:color w:val="1A1A1A"/>
          <w:sz w:val="21"/>
          <w:szCs w:val="21"/>
        </w:rPr>
        <w:t xml:space="preserve">Carbon dioxide removal (CDR).</w:t>
      </w:r>
      <w:r>
        <w:rPr>
          <w:rFonts w:ascii="Georgia" w:cs="Georgia" w:eastAsia="Georgia" w:hAnsi="Georgia"/>
          <w:color w:val="1A1A1A"/>
          <w:sz w:val="21"/>
          <w:szCs w:val="21"/>
        </w:rPr>
        <w:t xml:space="preserve"> Removing CO₂ from the atmosphere, e.g. through direct air capture or forests.</w:t>
      </w:r>
    </w:p>
    <w:p>
      <w:pPr>
        <w:spacing w:after="140" w:line="276"/>
        <w:jc w:val="both"/>
      </w:pPr>
      <w:r>
        <w:rPr>
          <w:rFonts w:ascii="Georgia" w:cs="Georgia" w:eastAsia="Georgia" w:hAnsi="Georgia"/>
          <w:b/>
          <w:bCs/>
          <w:color w:val="1A1A1A"/>
          <w:sz w:val="21"/>
          <w:szCs w:val="21"/>
        </w:rPr>
        <w:t xml:space="preserve">C4IR.</w:t>
      </w:r>
      <w:r>
        <w:rPr>
          <w:rFonts w:ascii="Georgia" w:cs="Georgia" w:eastAsia="Georgia" w:hAnsi="Georgia"/>
          <w:color w:val="1A1A1A"/>
          <w:sz w:val="21"/>
          <w:szCs w:val="21"/>
        </w:rPr>
        <w:t xml:space="preserve"> Centre for the Fourth Industrial Revolution: the Forum’s network of government- or institution-hosted centres.</w:t>
      </w:r>
    </w:p>
    <w:p>
      <w:pPr>
        <w:spacing w:after="140" w:line="276"/>
        <w:jc w:val="both"/>
      </w:pPr>
      <w:r>
        <w:rPr>
          <w:rFonts w:ascii="Georgia" w:cs="Georgia" w:eastAsia="Georgia" w:hAnsi="Georgia"/>
          <w:b/>
          <w:bCs/>
          <w:color w:val="1A1A1A"/>
          <w:sz w:val="21"/>
          <w:szCs w:val="21"/>
        </w:rPr>
        <w:t xml:space="preserve">Collingridge dilemma.</w:t>
      </w:r>
      <w:r>
        <w:rPr>
          <w:rFonts w:ascii="Georgia" w:cs="Georgia" w:eastAsia="Georgia" w:hAnsi="Georgia"/>
          <w:color w:val="1A1A1A"/>
          <w:sz w:val="21"/>
          <w:szCs w:val="21"/>
        </w:rPr>
        <w:t xml:space="preserve"> A technology is easy to shape but hard to understand early, and understood but hard to change late.</w:t>
      </w:r>
    </w:p>
    <w:p>
      <w:pPr>
        <w:spacing w:after="140" w:line="276"/>
        <w:jc w:val="both"/>
      </w:pPr>
      <w:r>
        <w:rPr>
          <w:rFonts w:ascii="Georgia" w:cs="Georgia" w:eastAsia="Georgia" w:hAnsi="Georgia"/>
          <w:b/>
          <w:bCs/>
          <w:color w:val="1A1A1A"/>
          <w:sz w:val="21"/>
          <w:szCs w:val="21"/>
        </w:rPr>
        <w:t xml:space="preserve">Convergence.</w:t>
      </w:r>
      <w:r>
        <w:rPr>
          <w:rFonts w:ascii="Georgia" w:cs="Georgia" w:eastAsia="Georgia" w:hAnsi="Georgia"/>
          <w:color w:val="1A1A1A"/>
          <w:sz w:val="21"/>
          <w:szCs w:val="21"/>
        </w:rPr>
        <w:t xml:space="preserve"> The combination of frontier technologies into new capabilities, e.g. AI-designed biology.</w:t>
      </w:r>
    </w:p>
    <w:p>
      <w:pPr>
        <w:spacing w:after="140" w:line="276"/>
        <w:jc w:val="both"/>
      </w:pPr>
      <w:r>
        <w:rPr>
          <w:rFonts w:ascii="Georgia" w:cs="Georgia" w:eastAsia="Georgia" w:hAnsi="Georgia"/>
          <w:b/>
          <w:bCs/>
          <w:color w:val="1A1A1A"/>
          <w:sz w:val="21"/>
          <w:szCs w:val="21"/>
        </w:rPr>
        <w:t xml:space="preserve">CRISPR-Cas9.</w:t>
      </w:r>
      <w:r>
        <w:rPr>
          <w:rFonts w:ascii="Georgia" w:cs="Georgia" w:eastAsia="Georgia" w:hAnsi="Georgia"/>
          <w:color w:val="1A1A1A"/>
          <w:sz w:val="21"/>
          <w:szCs w:val="21"/>
        </w:rPr>
        <w:t xml:space="preserve"> A gene-editing tool in which a guide RNA directs the Cas9 enzyme to cut DNA at a chosen site.</w:t>
      </w:r>
    </w:p>
    <w:p>
      <w:pPr>
        <w:spacing w:after="140" w:line="276"/>
        <w:jc w:val="both"/>
      </w:pPr>
      <w:r>
        <w:rPr>
          <w:rFonts w:ascii="Georgia" w:cs="Georgia" w:eastAsia="Georgia" w:hAnsi="Georgia"/>
          <w:b/>
          <w:bCs/>
          <w:color w:val="1A1A1A"/>
          <w:sz w:val="21"/>
          <w:szCs w:val="21"/>
        </w:rPr>
        <w:t xml:space="preserve">CRQC.</w:t>
      </w:r>
      <w:r>
        <w:rPr>
          <w:rFonts w:ascii="Georgia" w:cs="Georgia" w:eastAsia="Georgia" w:hAnsi="Georgia"/>
          <w:color w:val="1A1A1A"/>
          <w:sz w:val="21"/>
          <w:szCs w:val="21"/>
        </w:rPr>
        <w:t xml:space="preserve"> Cryptographically relevant quantum computer: one able to break today’s public-key cryptography.</w:t>
      </w:r>
    </w:p>
    <w:p>
      <w:pPr>
        <w:spacing w:after="140" w:line="276"/>
        <w:jc w:val="both"/>
      </w:pPr>
      <w:r>
        <w:rPr>
          <w:rFonts w:ascii="Georgia" w:cs="Georgia" w:eastAsia="Georgia" w:hAnsi="Georgia"/>
          <w:b/>
          <w:bCs/>
          <w:color w:val="1A1A1A"/>
          <w:sz w:val="21"/>
          <w:szCs w:val="21"/>
        </w:rPr>
        <w:t xml:space="preserve">Crypto-agility.</w:t>
      </w:r>
      <w:r>
        <w:rPr>
          <w:rFonts w:ascii="Georgia" w:cs="Georgia" w:eastAsia="Georgia" w:hAnsi="Georgia"/>
          <w:color w:val="1A1A1A"/>
          <w:sz w:val="21"/>
          <w:szCs w:val="21"/>
        </w:rPr>
        <w:t xml:space="preserve"> Designing systems so cryptographic algorithms can be replaced without rebuilding them.</w:t>
      </w:r>
    </w:p>
    <w:p>
      <w:pPr>
        <w:spacing w:after="140" w:line="276"/>
        <w:jc w:val="both"/>
      </w:pPr>
      <w:r>
        <w:rPr>
          <w:rFonts w:ascii="Georgia" w:cs="Georgia" w:eastAsia="Georgia" w:hAnsi="Georgia"/>
          <w:b/>
          <w:bCs/>
          <w:color w:val="1A1A1A"/>
          <w:sz w:val="21"/>
          <w:szCs w:val="21"/>
        </w:rPr>
        <w:t xml:space="preserve">Decoherence.</w:t>
      </w:r>
      <w:r>
        <w:rPr>
          <w:rFonts w:ascii="Georgia" w:cs="Georgia" w:eastAsia="Georgia" w:hAnsi="Georgia"/>
          <w:color w:val="1A1A1A"/>
          <w:sz w:val="21"/>
          <w:szCs w:val="21"/>
        </w:rPr>
        <w:t xml:space="preserve"> Loss of a quantum state through interaction with the environment.</w:t>
      </w:r>
    </w:p>
    <w:p>
      <w:pPr>
        <w:spacing w:after="140" w:line="276"/>
        <w:jc w:val="both"/>
      </w:pPr>
      <w:r>
        <w:rPr>
          <w:rFonts w:ascii="Georgia" w:cs="Georgia" w:eastAsia="Georgia" w:hAnsi="Georgia"/>
          <w:b/>
          <w:bCs/>
          <w:color w:val="1A1A1A"/>
          <w:sz w:val="21"/>
          <w:szCs w:val="21"/>
        </w:rPr>
        <w:t xml:space="preserve">Dual-use.</w:t>
      </w:r>
      <w:r>
        <w:rPr>
          <w:rFonts w:ascii="Georgia" w:cs="Georgia" w:eastAsia="Georgia" w:hAnsi="Georgia"/>
          <w:color w:val="1A1A1A"/>
          <w:sz w:val="21"/>
          <w:szCs w:val="21"/>
        </w:rPr>
        <w:t xml:space="preserve"> Having both beneficial civilian and harmful (often military) applications.</w:t>
      </w:r>
    </w:p>
    <w:p>
      <w:pPr>
        <w:spacing w:after="140" w:line="276"/>
        <w:jc w:val="both"/>
      </w:pPr>
      <w:r>
        <w:rPr>
          <w:rFonts w:ascii="Georgia" w:cs="Georgia" w:eastAsia="Georgia" w:hAnsi="Georgia"/>
          <w:b/>
          <w:bCs/>
          <w:color w:val="1A1A1A"/>
          <w:sz w:val="21"/>
          <w:szCs w:val="21"/>
        </w:rPr>
        <w:t xml:space="preserve">DURC.</w:t>
      </w:r>
      <w:r>
        <w:rPr>
          <w:rFonts w:ascii="Georgia" w:cs="Georgia" w:eastAsia="Georgia" w:hAnsi="Georgia"/>
          <w:color w:val="1A1A1A"/>
          <w:sz w:val="21"/>
          <w:szCs w:val="21"/>
        </w:rPr>
        <w:t xml:space="preserve"> Dual-use research of concern: life-science research that could be misused to cause serious harm.</w:t>
      </w:r>
    </w:p>
    <w:p>
      <w:pPr>
        <w:spacing w:after="140" w:line="276"/>
        <w:jc w:val="both"/>
      </w:pPr>
      <w:r>
        <w:rPr>
          <w:rFonts w:ascii="Georgia" w:cs="Georgia" w:eastAsia="Georgia" w:hAnsi="Georgia"/>
          <w:b/>
          <w:bCs/>
          <w:color w:val="1A1A1A"/>
          <w:sz w:val="21"/>
          <w:szCs w:val="21"/>
        </w:rPr>
        <w:t xml:space="preserve">Entanglement.</w:t>
      </w:r>
      <w:r>
        <w:rPr>
          <w:rFonts w:ascii="Georgia" w:cs="Georgia" w:eastAsia="Georgia" w:hAnsi="Georgia"/>
          <w:color w:val="1A1A1A"/>
          <w:sz w:val="21"/>
          <w:szCs w:val="21"/>
        </w:rPr>
        <w:t xml:space="preserve"> A joint quantum state of several qubits that cannot be described qubit by qubit.</w:t>
      </w:r>
    </w:p>
    <w:p>
      <w:pPr>
        <w:spacing w:after="140" w:line="276"/>
        <w:jc w:val="both"/>
      </w:pPr>
      <w:r>
        <w:rPr>
          <w:rFonts w:ascii="Georgia" w:cs="Georgia" w:eastAsia="Georgia" w:hAnsi="Georgia"/>
          <w:b/>
          <w:bCs/>
          <w:color w:val="1A1A1A"/>
          <w:sz w:val="21"/>
          <w:szCs w:val="21"/>
        </w:rPr>
        <w:t xml:space="preserve">Ex ante / ex post.</w:t>
      </w:r>
      <w:r>
        <w:rPr>
          <w:rFonts w:ascii="Georgia" w:cs="Georgia" w:eastAsia="Georgia" w:hAnsi="Georgia"/>
          <w:color w:val="1A1A1A"/>
          <w:sz w:val="21"/>
          <w:szCs w:val="21"/>
        </w:rPr>
        <w:t xml:space="preserve"> Governance before deployment (licensing, certification) / after harm (liability, enforcement).</w:t>
      </w:r>
    </w:p>
    <w:p>
      <w:pPr>
        <w:spacing w:after="140" w:line="276"/>
        <w:jc w:val="both"/>
      </w:pPr>
      <w:r>
        <w:rPr>
          <w:rFonts w:ascii="Georgia" w:cs="Georgia" w:eastAsia="Georgia" w:hAnsi="Georgia"/>
          <w:b/>
          <w:bCs/>
          <w:color w:val="1A1A1A"/>
          <w:sz w:val="21"/>
          <w:szCs w:val="21"/>
        </w:rPr>
        <w:t xml:space="preserve">Fault-tolerant quantum computer.</w:t>
      </w:r>
      <w:r>
        <w:rPr>
          <w:rFonts w:ascii="Georgia" w:cs="Georgia" w:eastAsia="Georgia" w:hAnsi="Georgia"/>
          <w:color w:val="1A1A1A"/>
          <w:sz w:val="21"/>
          <w:szCs w:val="21"/>
        </w:rPr>
        <w:t xml:space="preserve"> A quantum computer using error correction to run long computations reliably.</w:t>
      </w:r>
    </w:p>
    <w:p>
      <w:pPr>
        <w:spacing w:after="140" w:line="276"/>
        <w:jc w:val="both"/>
      </w:pPr>
      <w:r>
        <w:rPr>
          <w:rFonts w:ascii="Georgia" w:cs="Georgia" w:eastAsia="Georgia" w:hAnsi="Georgia"/>
          <w:b/>
          <w:bCs/>
          <w:color w:val="1A1A1A"/>
          <w:sz w:val="21"/>
          <w:szCs w:val="21"/>
        </w:rPr>
        <w:t xml:space="preserve">Gain-of-function research.</w:t>
      </w:r>
      <w:r>
        <w:rPr>
          <w:rFonts w:ascii="Georgia" w:cs="Georgia" w:eastAsia="Georgia" w:hAnsi="Georgia"/>
          <w:color w:val="1A1A1A"/>
          <w:sz w:val="21"/>
          <w:szCs w:val="21"/>
        </w:rPr>
        <w:t xml:space="preserve"> Research that enhances a pathogen’s properties, such as transmissibility.</w:t>
      </w:r>
    </w:p>
    <w:p>
      <w:pPr>
        <w:spacing w:after="140" w:line="276"/>
        <w:jc w:val="both"/>
      </w:pPr>
      <w:r>
        <w:rPr>
          <w:rFonts w:ascii="Georgia" w:cs="Georgia" w:eastAsia="Georgia" w:hAnsi="Georgia"/>
          <w:b/>
          <w:bCs/>
          <w:color w:val="1A1A1A"/>
          <w:sz w:val="21"/>
          <w:szCs w:val="21"/>
        </w:rPr>
        <w:t xml:space="preserve">General-purpose technology.</w:t>
      </w:r>
      <w:r>
        <w:rPr>
          <w:rFonts w:ascii="Georgia" w:cs="Georgia" w:eastAsia="Georgia" w:hAnsi="Georgia"/>
          <w:color w:val="1A1A1A"/>
          <w:sz w:val="21"/>
          <w:szCs w:val="21"/>
        </w:rPr>
        <w:t xml:space="preserve"> A technology that spreads across the economy and spawns complementary innovation (e.g. electricity, AI).</w:t>
      </w:r>
    </w:p>
    <w:p>
      <w:pPr>
        <w:spacing w:after="140" w:line="276"/>
        <w:jc w:val="both"/>
      </w:pPr>
      <w:r>
        <w:rPr>
          <w:rFonts w:ascii="Georgia" w:cs="Georgia" w:eastAsia="Georgia" w:hAnsi="Georgia"/>
          <w:b/>
          <w:bCs/>
          <w:color w:val="1A1A1A"/>
          <w:sz w:val="21"/>
          <w:szCs w:val="21"/>
        </w:rPr>
        <w:t xml:space="preserve">Germline / somatic.</w:t>
      </w:r>
      <w:r>
        <w:rPr>
          <w:rFonts w:ascii="Georgia" w:cs="Georgia" w:eastAsia="Georgia" w:hAnsi="Georgia"/>
          <w:color w:val="1A1A1A"/>
          <w:sz w:val="21"/>
          <w:szCs w:val="21"/>
        </w:rPr>
        <w:t xml:space="preserve"> Heritable changes to eggs, sperm or embryos / non-heritable changes to body cells.</w:t>
      </w:r>
    </w:p>
    <w:p>
      <w:pPr>
        <w:spacing w:after="140" w:line="276"/>
        <w:jc w:val="both"/>
      </w:pPr>
      <w:r>
        <w:rPr>
          <w:rFonts w:ascii="Georgia" w:cs="Georgia" w:eastAsia="Georgia" w:hAnsi="Georgia"/>
          <w:b/>
          <w:bCs/>
          <w:color w:val="1A1A1A"/>
          <w:sz w:val="21"/>
          <w:szCs w:val="21"/>
        </w:rPr>
        <w:t xml:space="preserve">Governance.</w:t>
      </w:r>
      <w:r>
        <w:rPr>
          <w:rFonts w:ascii="Georgia" w:cs="Georgia" w:eastAsia="Georgia" w:hAnsi="Georgia"/>
          <w:color w:val="1A1A1A"/>
          <w:sz w:val="21"/>
          <w:szCs w:val="21"/>
        </w:rPr>
        <w:t xml:space="preserve"> The whole system of rules, norms, institutions and processes, public and private, that steers behaviour.</w:t>
      </w:r>
    </w:p>
    <w:p>
      <w:pPr>
        <w:spacing w:after="140" w:line="276"/>
        <w:jc w:val="both"/>
      </w:pPr>
      <w:r>
        <w:rPr>
          <w:rFonts w:ascii="Georgia" w:cs="Georgia" w:eastAsia="Georgia" w:hAnsi="Georgia"/>
          <w:b/>
          <w:bCs/>
          <w:color w:val="1A1A1A"/>
          <w:sz w:val="21"/>
          <w:szCs w:val="21"/>
        </w:rPr>
        <w:t xml:space="preserve">Governance by design.</w:t>
      </w:r>
      <w:r>
        <w:rPr>
          <w:rFonts w:ascii="Georgia" w:cs="Georgia" w:eastAsia="Georgia" w:hAnsi="Georgia"/>
          <w:color w:val="1A1A1A"/>
          <w:sz w:val="21"/>
          <w:szCs w:val="21"/>
        </w:rPr>
        <w:t xml:space="preserve"> Considering safety, security, ethics and compliance at the design stage rather than retrofitting them.</w:t>
      </w:r>
    </w:p>
    <w:p>
      <w:pPr>
        <w:spacing w:after="140" w:line="276"/>
        <w:jc w:val="both"/>
      </w:pPr>
      <w:r>
        <w:rPr>
          <w:rFonts w:ascii="Georgia" w:cs="Georgia" w:eastAsia="Georgia" w:hAnsi="Georgia"/>
          <w:b/>
          <w:bCs/>
          <w:color w:val="1A1A1A"/>
          <w:sz w:val="21"/>
          <w:szCs w:val="21"/>
        </w:rPr>
        <w:t xml:space="preserve">Harvest now, decrypt later.</w:t>
      </w:r>
      <w:r>
        <w:rPr>
          <w:rFonts w:ascii="Georgia" w:cs="Georgia" w:eastAsia="Georgia" w:hAnsi="Georgia"/>
          <w:color w:val="1A1A1A"/>
          <w:sz w:val="21"/>
          <w:szCs w:val="21"/>
        </w:rPr>
        <w:t xml:space="preserve"> Collecting encrypted data today to decrypt once a capable quantum computer exists.</w:t>
      </w:r>
    </w:p>
    <w:p>
      <w:pPr>
        <w:spacing w:after="140" w:line="276"/>
        <w:jc w:val="both"/>
      </w:pPr>
      <w:r>
        <w:rPr>
          <w:rFonts w:ascii="Georgia" w:cs="Georgia" w:eastAsia="Georgia" w:hAnsi="Georgia"/>
          <w:b/>
          <w:bCs/>
          <w:color w:val="1A1A1A"/>
          <w:sz w:val="21"/>
          <w:szCs w:val="21"/>
        </w:rPr>
        <w:t xml:space="preserve">Hard law / soft law.</w:t>
      </w:r>
      <w:r>
        <w:rPr>
          <w:rFonts w:ascii="Georgia" w:cs="Georgia" w:eastAsia="Georgia" w:hAnsi="Georgia"/>
          <w:color w:val="1A1A1A"/>
          <w:sz w:val="21"/>
          <w:szCs w:val="21"/>
        </w:rPr>
        <w:t xml:space="preserve"> Binding, enforceable rules / non-binding instruments such as principles, codes and frameworks.</w:t>
      </w:r>
    </w:p>
    <w:p>
      <w:pPr>
        <w:spacing w:after="140" w:line="276"/>
        <w:jc w:val="both"/>
      </w:pPr>
      <w:r>
        <w:rPr>
          <w:rFonts w:ascii="Georgia" w:cs="Georgia" w:eastAsia="Georgia" w:hAnsi="Georgia"/>
          <w:b/>
          <w:bCs/>
          <w:color w:val="1A1A1A"/>
          <w:sz w:val="21"/>
          <w:szCs w:val="21"/>
        </w:rPr>
        <w:t xml:space="preserve">Hybrid cryptography.</w:t>
      </w:r>
      <w:r>
        <w:rPr>
          <w:rFonts w:ascii="Georgia" w:cs="Georgia" w:eastAsia="Georgia" w:hAnsi="Georgia"/>
          <w:color w:val="1A1A1A"/>
          <w:sz w:val="21"/>
          <w:szCs w:val="21"/>
        </w:rPr>
        <w:t xml:space="preserve"> Combining classical and post-quantum algorithms so security holds if either survives.</w:t>
      </w:r>
    </w:p>
    <w:p>
      <w:pPr>
        <w:spacing w:after="140" w:line="276"/>
        <w:jc w:val="both"/>
      </w:pPr>
      <w:r>
        <w:rPr>
          <w:rFonts w:ascii="Georgia" w:cs="Georgia" w:eastAsia="Georgia" w:hAnsi="Georgia"/>
          <w:b/>
          <w:bCs/>
          <w:color w:val="1A1A1A"/>
          <w:sz w:val="21"/>
          <w:szCs w:val="21"/>
        </w:rPr>
        <w:t xml:space="preserve">Interoperability (regulatory).</w:t>
      </w:r>
      <w:r>
        <w:rPr>
          <w:rFonts w:ascii="Georgia" w:cs="Georgia" w:eastAsia="Georgia" w:hAnsi="Georgia"/>
          <w:color w:val="1A1A1A"/>
          <w:sz w:val="21"/>
          <w:szCs w:val="21"/>
        </w:rPr>
        <w:t xml:space="preserve"> Rules that differ in form but are compatible in effect across jurisdictions.</w:t>
      </w:r>
    </w:p>
    <w:p>
      <w:pPr>
        <w:spacing w:after="140" w:line="276"/>
        <w:jc w:val="both"/>
      </w:pPr>
      <w:r>
        <w:rPr>
          <w:rFonts w:ascii="Georgia" w:cs="Georgia" w:eastAsia="Georgia" w:hAnsi="Georgia"/>
          <w:b/>
          <w:bCs/>
          <w:color w:val="1A1A1A"/>
          <w:sz w:val="21"/>
          <w:szCs w:val="21"/>
        </w:rPr>
        <w:t xml:space="preserve">Kessler syndrome.</w:t>
      </w:r>
      <w:r>
        <w:rPr>
          <w:rFonts w:ascii="Georgia" w:cs="Georgia" w:eastAsia="Georgia" w:hAnsi="Georgia"/>
          <w:color w:val="1A1A1A"/>
          <w:sz w:val="21"/>
          <w:szCs w:val="21"/>
        </w:rPr>
        <w:t xml:space="preserve"> A cascade of orbital collisions creating debris that causes further collisions.</w:t>
      </w:r>
    </w:p>
    <w:p>
      <w:pPr>
        <w:spacing w:after="140" w:line="276"/>
        <w:jc w:val="both"/>
      </w:pPr>
      <w:r>
        <w:rPr>
          <w:rFonts w:ascii="Georgia" w:cs="Georgia" w:eastAsia="Georgia" w:hAnsi="Georgia"/>
          <w:b/>
          <w:bCs/>
          <w:color w:val="1A1A1A"/>
          <w:sz w:val="21"/>
          <w:szCs w:val="21"/>
        </w:rPr>
        <w:t xml:space="preserve">Logical qubit.</w:t>
      </w:r>
      <w:r>
        <w:rPr>
          <w:rFonts w:ascii="Georgia" w:cs="Georgia" w:eastAsia="Georgia" w:hAnsi="Georgia"/>
          <w:color w:val="1A1A1A"/>
          <w:sz w:val="21"/>
          <w:szCs w:val="21"/>
        </w:rPr>
        <w:t xml:space="preserve"> A reliable qubit encoded across many noisy physical qubits by error correction.</w:t>
      </w:r>
    </w:p>
    <w:p>
      <w:pPr>
        <w:spacing w:after="140" w:line="276"/>
        <w:jc w:val="both"/>
      </w:pPr>
      <w:r>
        <w:rPr>
          <w:rFonts w:ascii="Georgia" w:cs="Georgia" w:eastAsia="Georgia" w:hAnsi="Georgia"/>
          <w:b/>
          <w:bCs/>
          <w:color w:val="1A1A1A"/>
          <w:sz w:val="21"/>
          <w:szCs w:val="21"/>
        </w:rPr>
        <w:t xml:space="preserve">Low Earth Orbit (LEO).</w:t>
      </w:r>
      <w:r>
        <w:rPr>
          <w:rFonts w:ascii="Georgia" w:cs="Georgia" w:eastAsia="Georgia" w:hAnsi="Georgia"/>
          <w:color w:val="1A1A1A"/>
          <w:sz w:val="21"/>
          <w:szCs w:val="21"/>
        </w:rPr>
        <w:t xml:space="preserve"> Orbits roughly 160–2,000 km up; home of satellite mega-constellations.</w:t>
      </w:r>
    </w:p>
    <w:p>
      <w:pPr>
        <w:spacing w:after="140" w:line="276"/>
        <w:jc w:val="both"/>
      </w:pPr>
      <w:r>
        <w:rPr>
          <w:rFonts w:ascii="Georgia" w:cs="Georgia" w:eastAsia="Georgia" w:hAnsi="Georgia"/>
          <w:b/>
          <w:bCs/>
          <w:color w:val="1A1A1A"/>
          <w:sz w:val="21"/>
          <w:szCs w:val="21"/>
        </w:rPr>
        <w:t xml:space="preserve">ML-KEM / ML-DSA / SLH-DSA.</w:t>
      </w:r>
      <w:r>
        <w:rPr>
          <w:rFonts w:ascii="Georgia" w:cs="Georgia" w:eastAsia="Georgia" w:hAnsi="Georgia"/>
          <w:color w:val="1A1A1A"/>
          <w:sz w:val="21"/>
          <w:szCs w:val="21"/>
        </w:rPr>
        <w:t xml:space="preserve"> NIST’s first post-quantum standards (FIPS 203/204/205, 2024): key establishment and two signature schemes.</w:t>
      </w:r>
    </w:p>
    <w:p>
      <w:pPr>
        <w:spacing w:after="140" w:line="276"/>
        <w:jc w:val="both"/>
      </w:pPr>
      <w:r>
        <w:rPr>
          <w:rFonts w:ascii="Georgia" w:cs="Georgia" w:eastAsia="Georgia" w:hAnsi="Georgia"/>
          <w:b/>
          <w:bCs/>
          <w:color w:val="1A1A1A"/>
          <w:sz w:val="21"/>
          <w:szCs w:val="21"/>
        </w:rPr>
        <w:t xml:space="preserve">Mosca’s theorem.</w:t>
      </w:r>
      <w:r>
        <w:rPr>
          <w:rFonts w:ascii="Georgia" w:cs="Georgia" w:eastAsia="Georgia" w:hAnsi="Georgia"/>
          <w:color w:val="1A1A1A"/>
          <w:sz w:val="21"/>
          <w:szCs w:val="21"/>
        </w:rPr>
        <w:t xml:space="preserve"> If data lifetime plus migration time exceeds time until a CRQC, you are already exposed.</w:t>
      </w:r>
    </w:p>
    <w:p>
      <w:pPr>
        <w:spacing w:after="140" w:line="276"/>
        <w:jc w:val="both"/>
      </w:pPr>
      <w:r>
        <w:rPr>
          <w:rFonts w:ascii="Georgia" w:cs="Georgia" w:eastAsia="Georgia" w:hAnsi="Georgia"/>
          <w:b/>
          <w:bCs/>
          <w:color w:val="1A1A1A"/>
          <w:sz w:val="21"/>
          <w:szCs w:val="21"/>
        </w:rPr>
        <w:t xml:space="preserve">Multistakeholder governance.</w:t>
      </w:r>
      <w:r>
        <w:rPr>
          <w:rFonts w:ascii="Georgia" w:cs="Georgia" w:eastAsia="Georgia" w:hAnsi="Georgia"/>
          <w:color w:val="1A1A1A"/>
          <w:sz w:val="21"/>
          <w:szCs w:val="21"/>
        </w:rPr>
        <w:t xml:space="preserve"> Governance co-produced by governments, companies, academia and civil society; the Forum’s core method.</w:t>
      </w:r>
    </w:p>
    <w:p>
      <w:pPr>
        <w:spacing w:after="140" w:line="276"/>
        <w:jc w:val="both"/>
      </w:pPr>
      <w:r>
        <w:rPr>
          <w:rFonts w:ascii="Georgia" w:cs="Georgia" w:eastAsia="Georgia" w:hAnsi="Georgia"/>
          <w:b/>
          <w:bCs/>
          <w:color w:val="1A1A1A"/>
          <w:sz w:val="21"/>
          <w:szCs w:val="21"/>
        </w:rPr>
        <w:t xml:space="preserve">Mutual recognition.</w:t>
      </w:r>
      <w:r>
        <w:rPr>
          <w:rFonts w:ascii="Georgia" w:cs="Georgia" w:eastAsia="Georgia" w:hAnsi="Georgia"/>
          <w:color w:val="1A1A1A"/>
          <w:sz w:val="21"/>
          <w:szCs w:val="21"/>
        </w:rPr>
        <w:t xml:space="preserve"> Jurisdictions accepting each other’s testing, certification or approvals.</w:t>
      </w:r>
    </w:p>
    <w:p>
      <w:pPr>
        <w:spacing w:after="140" w:line="276"/>
        <w:jc w:val="both"/>
      </w:pPr>
      <w:r>
        <w:rPr>
          <w:rFonts w:ascii="Georgia" w:cs="Georgia" w:eastAsia="Georgia" w:hAnsi="Georgia"/>
          <w:b/>
          <w:bCs/>
          <w:color w:val="1A1A1A"/>
          <w:sz w:val="21"/>
          <w:szCs w:val="21"/>
        </w:rPr>
        <w:t xml:space="preserve">New genomic techniques (NGTs).</w:t>
      </w:r>
      <w:r>
        <w:rPr>
          <w:rFonts w:ascii="Georgia" w:cs="Georgia" w:eastAsia="Georgia" w:hAnsi="Georgia"/>
          <w:color w:val="1A1A1A"/>
          <w:sz w:val="21"/>
          <w:szCs w:val="21"/>
        </w:rPr>
        <w:t xml:space="preserve"> The EU term for gene editing and related methods in plants.</w:t>
      </w:r>
    </w:p>
    <w:p>
      <w:pPr>
        <w:spacing w:after="140" w:line="276"/>
        <w:jc w:val="both"/>
      </w:pPr>
      <w:r>
        <w:rPr>
          <w:rFonts w:ascii="Georgia" w:cs="Georgia" w:eastAsia="Georgia" w:hAnsi="Georgia"/>
          <w:b/>
          <w:bCs/>
          <w:color w:val="1A1A1A"/>
          <w:sz w:val="21"/>
          <w:szCs w:val="21"/>
        </w:rPr>
        <w:t xml:space="preserve">NISQ.</w:t>
      </w:r>
      <w:r>
        <w:rPr>
          <w:rFonts w:ascii="Georgia" w:cs="Georgia" w:eastAsia="Georgia" w:hAnsi="Georgia"/>
          <w:color w:val="1A1A1A"/>
          <w:sz w:val="21"/>
          <w:szCs w:val="21"/>
        </w:rPr>
        <w:t xml:space="preserve"> Noisy intermediate-scale quantum: today’s error-prone quantum computers without full error correction.</w:t>
      </w:r>
    </w:p>
    <w:p>
      <w:pPr>
        <w:spacing w:after="140" w:line="276"/>
        <w:jc w:val="both"/>
      </w:pPr>
      <w:r>
        <w:rPr>
          <w:rFonts w:ascii="Georgia" w:cs="Georgia" w:eastAsia="Georgia" w:hAnsi="Georgia"/>
          <w:b/>
          <w:bCs/>
          <w:color w:val="1A1A1A"/>
          <w:sz w:val="21"/>
          <w:szCs w:val="21"/>
        </w:rPr>
        <w:t xml:space="preserve">Operational design domain (ODD).</w:t>
      </w:r>
      <w:r>
        <w:rPr>
          <w:rFonts w:ascii="Georgia" w:cs="Georgia" w:eastAsia="Georgia" w:hAnsi="Georgia"/>
          <w:color w:val="1A1A1A"/>
          <w:sz w:val="21"/>
          <w:szCs w:val="21"/>
        </w:rPr>
        <w:t xml:space="preserve"> The specific conditions (area, roads, speed, weather) in which an automated system is designed to operate.</w:t>
      </w:r>
    </w:p>
    <w:p>
      <w:pPr>
        <w:spacing w:after="140" w:line="276"/>
        <w:jc w:val="both"/>
      </w:pPr>
      <w:r>
        <w:rPr>
          <w:rFonts w:ascii="Georgia" w:cs="Georgia" w:eastAsia="Georgia" w:hAnsi="Georgia"/>
          <w:b/>
          <w:bCs/>
          <w:color w:val="1A1A1A"/>
          <w:sz w:val="21"/>
          <w:szCs w:val="21"/>
        </w:rPr>
        <w:t xml:space="preserve">Pacing problem.</w:t>
      </w:r>
      <w:r>
        <w:rPr>
          <w:rFonts w:ascii="Georgia" w:cs="Georgia" w:eastAsia="Georgia" w:hAnsi="Georgia"/>
          <w:color w:val="1A1A1A"/>
          <w:sz w:val="21"/>
          <w:szCs w:val="21"/>
        </w:rPr>
        <w:t xml:space="preserve"> The gap between the speed of technological change and the speed of legal and regulatory change (Marchant).</w:t>
      </w:r>
    </w:p>
    <w:p>
      <w:pPr>
        <w:spacing w:after="140" w:line="276"/>
        <w:jc w:val="both"/>
      </w:pPr>
      <w:r>
        <w:rPr>
          <w:rFonts w:ascii="Georgia" w:cs="Georgia" w:eastAsia="Georgia" w:hAnsi="Georgia"/>
          <w:b/>
          <w:bCs/>
          <w:color w:val="1A1A1A"/>
          <w:sz w:val="21"/>
          <w:szCs w:val="21"/>
        </w:rPr>
        <w:t xml:space="preserve">Physical AI.</w:t>
      </w:r>
      <w:r>
        <w:rPr>
          <w:rFonts w:ascii="Georgia" w:cs="Georgia" w:eastAsia="Georgia" w:hAnsi="Georgia"/>
          <w:color w:val="1A1A1A"/>
          <w:sz w:val="21"/>
          <w:szCs w:val="21"/>
        </w:rPr>
        <w:t xml:space="preserve"> AI applied to machines that act in the physical world: robots and autonomous vehicles.</w:t>
      </w:r>
    </w:p>
    <w:p>
      <w:pPr>
        <w:spacing w:after="140" w:line="276"/>
        <w:jc w:val="both"/>
      </w:pPr>
      <w:r>
        <w:rPr>
          <w:rFonts w:ascii="Georgia" w:cs="Georgia" w:eastAsia="Georgia" w:hAnsi="Georgia"/>
          <w:b/>
          <w:bCs/>
          <w:color w:val="1A1A1A"/>
          <w:sz w:val="21"/>
          <w:szCs w:val="21"/>
        </w:rPr>
        <w:t xml:space="preserve">Pilot purgatory.</w:t>
      </w:r>
      <w:r>
        <w:rPr>
          <w:rFonts w:ascii="Georgia" w:cs="Georgia" w:eastAsia="Georgia" w:hAnsi="Georgia"/>
          <w:color w:val="1A1A1A"/>
          <w:sz w:val="21"/>
          <w:szCs w:val="21"/>
        </w:rPr>
        <w:t xml:space="preserve"> When pilots prove a concept but never translate into scaled practice or general rules.</w:t>
      </w:r>
    </w:p>
    <w:p>
      <w:pPr>
        <w:spacing w:after="140" w:line="276"/>
        <w:jc w:val="both"/>
      </w:pPr>
      <w:r>
        <w:rPr>
          <w:rFonts w:ascii="Georgia" w:cs="Georgia" w:eastAsia="Georgia" w:hAnsi="Georgia"/>
          <w:b/>
          <w:bCs/>
          <w:color w:val="1A1A1A"/>
          <w:sz w:val="21"/>
          <w:szCs w:val="21"/>
        </w:rPr>
        <w:t xml:space="preserve">Post-quantum cryptography (PQC).</w:t>
      </w:r>
      <w:r>
        <w:rPr>
          <w:rFonts w:ascii="Georgia" w:cs="Georgia" w:eastAsia="Georgia" w:hAnsi="Georgia"/>
          <w:color w:val="1A1A1A"/>
          <w:sz w:val="21"/>
          <w:szCs w:val="21"/>
        </w:rPr>
        <w:t xml:space="preserve"> Classical algorithms believed secure against quantum computers; runs on existing hardware.</w:t>
      </w:r>
    </w:p>
    <w:p>
      <w:pPr>
        <w:spacing w:after="140" w:line="276"/>
        <w:jc w:val="both"/>
      </w:pPr>
      <w:r>
        <w:rPr>
          <w:rFonts w:ascii="Georgia" w:cs="Georgia" w:eastAsia="Georgia" w:hAnsi="Georgia"/>
          <w:b/>
          <w:bCs/>
          <w:color w:val="1A1A1A"/>
          <w:sz w:val="21"/>
          <w:szCs w:val="21"/>
        </w:rPr>
        <w:t xml:space="preserve">Prime editing.</w:t>
      </w:r>
      <w:r>
        <w:rPr>
          <w:rFonts w:ascii="Georgia" w:cs="Georgia" w:eastAsia="Georgia" w:hAnsi="Georgia"/>
          <w:color w:val="1A1A1A"/>
          <w:sz w:val="21"/>
          <w:szCs w:val="21"/>
        </w:rPr>
        <w:t xml:space="preserve"> A ‘search and replace’ gene-editing technique for short DNA sequences.</w:t>
      </w:r>
    </w:p>
    <w:p>
      <w:pPr>
        <w:spacing w:after="140" w:line="276"/>
        <w:jc w:val="both"/>
      </w:pPr>
      <w:r>
        <w:rPr>
          <w:rFonts w:ascii="Georgia" w:cs="Georgia" w:eastAsia="Georgia" w:hAnsi="Georgia"/>
          <w:b/>
          <w:bCs/>
          <w:color w:val="1A1A1A"/>
          <w:sz w:val="21"/>
          <w:szCs w:val="21"/>
        </w:rPr>
        <w:t xml:space="preserve">Q-Day.</w:t>
      </w:r>
      <w:r>
        <w:rPr>
          <w:rFonts w:ascii="Georgia" w:cs="Georgia" w:eastAsia="Georgia" w:hAnsi="Georgia"/>
          <w:color w:val="1A1A1A"/>
          <w:sz w:val="21"/>
          <w:szCs w:val="21"/>
        </w:rPr>
        <w:t xml:space="preserve"> Informal name for the day a CRQC exists.</w:t>
      </w:r>
    </w:p>
    <w:p>
      <w:pPr>
        <w:spacing w:after="140" w:line="276"/>
        <w:jc w:val="both"/>
      </w:pPr>
      <w:r>
        <w:rPr>
          <w:rFonts w:ascii="Georgia" w:cs="Georgia" w:eastAsia="Georgia" w:hAnsi="Georgia"/>
          <w:b/>
          <w:bCs/>
          <w:color w:val="1A1A1A"/>
          <w:sz w:val="21"/>
          <w:szCs w:val="21"/>
        </w:rPr>
        <w:t xml:space="preserve">Quantum advantage / utility / supremacy.</w:t>
      </w:r>
      <w:r>
        <w:rPr>
          <w:rFonts w:ascii="Georgia" w:cs="Georgia" w:eastAsia="Georgia" w:hAnsi="Georgia"/>
          <w:color w:val="1A1A1A"/>
          <w:sz w:val="21"/>
          <w:szCs w:val="21"/>
        </w:rPr>
        <w:t xml:space="preserve"> A useful task done better than classically / reliable results beyond brute-force simulation / any task beyond classical reach, useful or not.</w:t>
      </w:r>
    </w:p>
    <w:p>
      <w:pPr>
        <w:spacing w:after="140" w:line="276"/>
        <w:jc w:val="both"/>
      </w:pPr>
      <w:r>
        <w:rPr>
          <w:rFonts w:ascii="Georgia" w:cs="Georgia" w:eastAsia="Georgia" w:hAnsi="Georgia"/>
          <w:b/>
          <w:bCs/>
          <w:color w:val="1A1A1A"/>
          <w:sz w:val="21"/>
          <w:szCs w:val="21"/>
        </w:rPr>
        <w:t xml:space="preserve">Quantum error correction (QEC).</w:t>
      </w:r>
      <w:r>
        <w:rPr>
          <w:rFonts w:ascii="Georgia" w:cs="Georgia" w:eastAsia="Georgia" w:hAnsi="Georgia"/>
          <w:color w:val="1A1A1A"/>
          <w:sz w:val="21"/>
          <w:szCs w:val="21"/>
        </w:rPr>
        <w:t xml:space="preserve"> Protecting quantum information by encoding it redundantly and correcting errors in real time.</w:t>
      </w:r>
    </w:p>
    <w:p>
      <w:pPr>
        <w:spacing w:after="140" w:line="276"/>
        <w:jc w:val="both"/>
      </w:pPr>
      <w:r>
        <w:rPr>
          <w:rFonts w:ascii="Georgia" w:cs="Georgia" w:eastAsia="Georgia" w:hAnsi="Georgia"/>
          <w:b/>
          <w:bCs/>
          <w:color w:val="1A1A1A"/>
          <w:sz w:val="21"/>
          <w:szCs w:val="21"/>
        </w:rPr>
        <w:t xml:space="preserve">Quantum key distribution (QKD).</w:t>
      </w:r>
      <w:r>
        <w:rPr>
          <w:rFonts w:ascii="Georgia" w:cs="Georgia" w:eastAsia="Georgia" w:hAnsi="Georgia"/>
          <w:color w:val="1A1A1A"/>
          <w:sz w:val="21"/>
          <w:szCs w:val="21"/>
        </w:rPr>
        <w:t xml:space="preserve"> Agreeing a secret key using quantum states, so that eavesdropping can be detected.</w:t>
      </w:r>
    </w:p>
    <w:p>
      <w:pPr>
        <w:spacing w:after="140" w:line="276"/>
        <w:jc w:val="both"/>
      </w:pPr>
      <w:r>
        <w:rPr>
          <w:rFonts w:ascii="Georgia" w:cs="Georgia" w:eastAsia="Georgia" w:hAnsi="Georgia"/>
          <w:b/>
          <w:bCs/>
          <w:color w:val="1A1A1A"/>
          <w:sz w:val="21"/>
          <w:szCs w:val="21"/>
        </w:rPr>
        <w:t xml:space="preserve">Qubit.</w:t>
      </w:r>
      <w:r>
        <w:rPr>
          <w:rFonts w:ascii="Georgia" w:cs="Georgia" w:eastAsia="Georgia" w:hAnsi="Georgia"/>
          <w:color w:val="1A1A1A"/>
          <w:sz w:val="21"/>
          <w:szCs w:val="21"/>
        </w:rPr>
        <w:t xml:space="preserve"> The basic unit of quantum information, able to exist in a superposition of 0 and 1.</w:t>
      </w:r>
    </w:p>
    <w:p>
      <w:pPr>
        <w:spacing w:after="140" w:line="276"/>
        <w:jc w:val="both"/>
      </w:pPr>
      <w:r>
        <w:rPr>
          <w:rFonts w:ascii="Georgia" w:cs="Georgia" w:eastAsia="Georgia" w:hAnsi="Georgia"/>
          <w:b/>
          <w:bCs/>
          <w:color w:val="1A1A1A"/>
          <w:sz w:val="21"/>
          <w:szCs w:val="21"/>
        </w:rPr>
        <w:t xml:space="preserve">Regulatory capacity.</w:t>
      </w:r>
      <w:r>
        <w:rPr>
          <w:rFonts w:ascii="Georgia" w:cs="Georgia" w:eastAsia="Georgia" w:hAnsi="Georgia"/>
          <w:color w:val="1A1A1A"/>
          <w:sz w:val="21"/>
          <w:szCs w:val="21"/>
        </w:rPr>
        <w:t xml:space="preserve"> A regulator’s technical expertise, data, staff and tools to understand and oversee a technology.</w:t>
      </w:r>
    </w:p>
    <w:p>
      <w:pPr>
        <w:spacing w:after="140" w:line="276"/>
        <w:jc w:val="both"/>
      </w:pPr>
      <w:r>
        <w:rPr>
          <w:rFonts w:ascii="Georgia" w:cs="Georgia" w:eastAsia="Georgia" w:hAnsi="Georgia"/>
          <w:b/>
          <w:bCs/>
          <w:color w:val="1A1A1A"/>
          <w:sz w:val="21"/>
          <w:szCs w:val="21"/>
        </w:rPr>
        <w:t xml:space="preserve">Regulatory impact assessment (RIA).</w:t>
      </w:r>
      <w:r>
        <w:rPr>
          <w:rFonts w:ascii="Georgia" w:cs="Georgia" w:eastAsia="Georgia" w:hAnsi="Georgia"/>
          <w:color w:val="1A1A1A"/>
          <w:sz w:val="21"/>
          <w:szCs w:val="21"/>
        </w:rPr>
        <w:t xml:space="preserve"> Structured appraisal of a proposed rule’s costs, benefits and alternatives.</w:t>
      </w:r>
    </w:p>
    <w:p>
      <w:pPr>
        <w:spacing w:after="140" w:line="276"/>
        <w:jc w:val="both"/>
      </w:pPr>
      <w:r>
        <w:rPr>
          <w:rFonts w:ascii="Georgia" w:cs="Georgia" w:eastAsia="Georgia" w:hAnsi="Georgia"/>
          <w:b/>
          <w:bCs/>
          <w:color w:val="1A1A1A"/>
          <w:sz w:val="21"/>
          <w:szCs w:val="21"/>
        </w:rPr>
        <w:t xml:space="preserve">Regulatory sandbox.</w:t>
      </w:r>
      <w:r>
        <w:rPr>
          <w:rFonts w:ascii="Georgia" w:cs="Georgia" w:eastAsia="Georgia" w:hAnsi="Georgia"/>
          <w:color w:val="1A1A1A"/>
          <w:sz w:val="21"/>
          <w:szCs w:val="21"/>
        </w:rPr>
        <w:t xml:space="preserve"> A regulator-run, time-limited, supervised test of an innovation under adjusted rules.</w:t>
      </w:r>
    </w:p>
    <w:p>
      <w:pPr>
        <w:spacing w:after="140" w:line="276"/>
        <w:jc w:val="both"/>
      </w:pPr>
      <w:r>
        <w:rPr>
          <w:rFonts w:ascii="Georgia" w:cs="Georgia" w:eastAsia="Georgia" w:hAnsi="Georgia"/>
          <w:b/>
          <w:bCs/>
          <w:color w:val="1A1A1A"/>
          <w:sz w:val="21"/>
          <w:szCs w:val="21"/>
        </w:rPr>
        <w:t xml:space="preserve">Responsible Research and Innovation (RRI).</w:t>
      </w:r>
      <w:r>
        <w:rPr>
          <w:rFonts w:ascii="Georgia" w:cs="Georgia" w:eastAsia="Georgia" w:hAnsi="Georgia"/>
          <w:color w:val="1A1A1A"/>
          <w:sz w:val="21"/>
          <w:szCs w:val="21"/>
        </w:rPr>
        <w:t xml:space="preserve"> Framework built on anticipation, inclusion, reflexivity and responsiveness (Stilgoe et al., 2013).</w:t>
      </w:r>
    </w:p>
    <w:p>
      <w:pPr>
        <w:spacing w:after="140" w:line="276"/>
        <w:jc w:val="both"/>
      </w:pPr>
      <w:r>
        <w:rPr>
          <w:rFonts w:ascii="Georgia" w:cs="Georgia" w:eastAsia="Georgia" w:hAnsi="Georgia"/>
          <w:b/>
          <w:bCs/>
          <w:color w:val="1A1A1A"/>
          <w:sz w:val="21"/>
          <w:szCs w:val="21"/>
        </w:rPr>
        <w:t xml:space="preserve">Safety case.</w:t>
      </w:r>
      <w:r>
        <w:rPr>
          <w:rFonts w:ascii="Georgia" w:cs="Georgia" w:eastAsia="Georgia" w:hAnsi="Georgia"/>
          <w:color w:val="1A1A1A"/>
          <w:sz w:val="21"/>
          <w:szCs w:val="21"/>
        </w:rPr>
        <w:t xml:space="preserve"> A structured, evidence-based argument that a system is acceptably safe for a given use.</w:t>
      </w:r>
    </w:p>
    <w:p>
      <w:pPr>
        <w:spacing w:after="140" w:line="276"/>
        <w:jc w:val="both"/>
      </w:pPr>
      <w:r>
        <w:rPr>
          <w:rFonts w:ascii="Georgia" w:cs="Georgia" w:eastAsia="Georgia" w:hAnsi="Georgia"/>
          <w:b/>
          <w:bCs/>
          <w:color w:val="1A1A1A"/>
          <w:sz w:val="21"/>
          <w:szCs w:val="21"/>
        </w:rPr>
        <w:t xml:space="preserve">SAE J3016 levels.</w:t>
      </w:r>
      <w:r>
        <w:rPr>
          <w:rFonts w:ascii="Georgia" w:cs="Georgia" w:eastAsia="Georgia" w:hAnsi="Georgia"/>
          <w:color w:val="1A1A1A"/>
          <w:sz w:val="21"/>
          <w:szCs w:val="21"/>
        </w:rPr>
        <w:t xml:space="preserve"> The 0–5 scale of driving automation, from no automation to full automation.</w:t>
      </w:r>
    </w:p>
    <w:p>
      <w:pPr>
        <w:spacing w:after="140" w:line="276"/>
        <w:jc w:val="both"/>
      </w:pPr>
      <w:r>
        <w:rPr>
          <w:rFonts w:ascii="Georgia" w:cs="Georgia" w:eastAsia="Georgia" w:hAnsi="Georgia"/>
          <w:b/>
          <w:bCs/>
          <w:color w:val="1A1A1A"/>
          <w:sz w:val="21"/>
          <w:szCs w:val="21"/>
        </w:rPr>
        <w:t xml:space="preserve">Shor’s algorithm.</w:t>
      </w:r>
      <w:r>
        <w:rPr>
          <w:rFonts w:ascii="Georgia" w:cs="Georgia" w:eastAsia="Georgia" w:hAnsi="Georgia"/>
          <w:color w:val="1A1A1A"/>
          <w:sz w:val="21"/>
          <w:szCs w:val="21"/>
        </w:rPr>
        <w:t xml:space="preserve"> A quantum algorithm (1994) that factors large numbers efficiently, breaking RSA and elliptic-curve cryptography.</w:t>
      </w:r>
    </w:p>
    <w:p>
      <w:pPr>
        <w:spacing w:after="140" w:line="276"/>
        <w:jc w:val="both"/>
      </w:pPr>
      <w:r>
        <w:rPr>
          <w:rFonts w:ascii="Georgia" w:cs="Georgia" w:eastAsia="Georgia" w:hAnsi="Georgia"/>
          <w:b/>
          <w:bCs/>
          <w:color w:val="1A1A1A"/>
          <w:sz w:val="21"/>
          <w:szCs w:val="21"/>
        </w:rPr>
        <w:t xml:space="preserve">Small yard, high fence.</w:t>
      </w:r>
      <w:r>
        <w:rPr>
          <w:rFonts w:ascii="Georgia" w:cs="Georgia" w:eastAsia="Georgia" w:hAnsi="Georgia"/>
          <w:color w:val="1A1A1A"/>
          <w:sz w:val="21"/>
          <w:szCs w:val="21"/>
        </w:rPr>
        <w:t xml:space="preserve"> US approach of tight controls on a narrow set of critical technologies.</w:t>
      </w:r>
    </w:p>
    <w:p>
      <w:pPr>
        <w:spacing w:after="140" w:line="276"/>
        <w:jc w:val="both"/>
      </w:pPr>
      <w:r>
        <w:rPr>
          <w:rFonts w:ascii="Georgia" w:cs="Georgia" w:eastAsia="Georgia" w:hAnsi="Georgia"/>
          <w:b/>
          <w:bCs/>
          <w:color w:val="1A1A1A"/>
          <w:sz w:val="21"/>
          <w:szCs w:val="21"/>
        </w:rPr>
        <w:t xml:space="preserve">Solar radiation modification (SRM).</w:t>
      </w:r>
      <w:r>
        <w:rPr>
          <w:rFonts w:ascii="Georgia" w:cs="Georgia" w:eastAsia="Georgia" w:hAnsi="Georgia"/>
          <w:color w:val="1A1A1A"/>
          <w:sz w:val="21"/>
          <w:szCs w:val="21"/>
        </w:rPr>
        <w:t xml:space="preserve"> Reflecting sunlight to cool the planet; fast and cheap but contested and globally consequential.</w:t>
      </w:r>
    </w:p>
    <w:p>
      <w:pPr>
        <w:spacing w:after="140" w:line="276"/>
        <w:jc w:val="both"/>
      </w:pPr>
      <w:r>
        <w:rPr>
          <w:rFonts w:ascii="Georgia" w:cs="Georgia" w:eastAsia="Georgia" w:hAnsi="Georgia"/>
          <w:b/>
          <w:bCs/>
          <w:color w:val="1A1A1A"/>
          <w:sz w:val="21"/>
          <w:szCs w:val="21"/>
        </w:rPr>
        <w:t xml:space="preserve">SOTIF.</w:t>
      </w:r>
      <w:r>
        <w:rPr>
          <w:rFonts w:ascii="Georgia" w:cs="Georgia" w:eastAsia="Georgia" w:hAnsi="Georgia"/>
          <w:color w:val="1A1A1A"/>
          <w:sz w:val="21"/>
          <w:szCs w:val="21"/>
        </w:rPr>
        <w:t xml:space="preserve"> Safety of the intended functionality (ISO 21448): hazards from a system’s performance limits rather than faults.</w:t>
      </w:r>
    </w:p>
    <w:p>
      <w:pPr>
        <w:spacing w:after="140" w:line="276"/>
        <w:jc w:val="both"/>
      </w:pPr>
      <w:r>
        <w:rPr>
          <w:rFonts w:ascii="Georgia" w:cs="Georgia" w:eastAsia="Georgia" w:hAnsi="Georgia"/>
          <w:b/>
          <w:bCs/>
          <w:color w:val="1A1A1A"/>
          <w:sz w:val="21"/>
          <w:szCs w:val="21"/>
        </w:rPr>
        <w:t xml:space="preserve">Superposition.</w:t>
      </w:r>
      <w:r>
        <w:rPr>
          <w:rFonts w:ascii="Georgia" w:cs="Georgia" w:eastAsia="Georgia" w:hAnsi="Georgia"/>
          <w:color w:val="1A1A1A"/>
          <w:sz w:val="21"/>
          <w:szCs w:val="21"/>
        </w:rPr>
        <w:t xml:space="preserve"> A quantum state described by amplitudes over several outcomes; measurement yields one outcome.</w:t>
      </w:r>
    </w:p>
    <w:p>
      <w:pPr>
        <w:spacing w:after="140" w:line="276"/>
        <w:jc w:val="both"/>
      </w:pPr>
      <w:r>
        <w:rPr>
          <w:rFonts w:ascii="Georgia" w:cs="Georgia" w:eastAsia="Georgia" w:hAnsi="Georgia"/>
          <w:b/>
          <w:bCs/>
          <w:color w:val="1A1A1A"/>
          <w:sz w:val="21"/>
          <w:szCs w:val="21"/>
        </w:rPr>
        <w:t xml:space="preserve">Technology Readiness Level (TRL).</w:t>
      </w:r>
      <w:r>
        <w:rPr>
          <w:rFonts w:ascii="Georgia" w:cs="Georgia" w:eastAsia="Georgia" w:hAnsi="Georgia"/>
          <w:color w:val="1A1A1A"/>
          <w:sz w:val="21"/>
          <w:szCs w:val="21"/>
        </w:rPr>
        <w:t xml:space="preserve"> A 1–9 scale of technology maturity, from basic principles to proven operation.</w:t>
      </w:r>
    </w:p>
    <w:p>
      <w:pPr>
        <w:spacing w:after="140" w:line="276"/>
        <w:jc w:val="both"/>
      </w:pPr>
      <w:r>
        <w:rPr>
          <w:rFonts w:ascii="Georgia" w:cs="Georgia" w:eastAsia="Georgia" w:hAnsi="Georgia"/>
          <w:b/>
          <w:bCs/>
          <w:color w:val="1A1A1A"/>
          <w:sz w:val="21"/>
          <w:szCs w:val="21"/>
        </w:rPr>
        <w:t xml:space="preserve">Termination shock.</w:t>
      </w:r>
      <w:r>
        <w:rPr>
          <w:rFonts w:ascii="Georgia" w:cs="Georgia" w:eastAsia="Georgia" w:hAnsi="Georgia"/>
          <w:color w:val="1A1A1A"/>
          <w:sz w:val="21"/>
          <w:szCs w:val="21"/>
        </w:rPr>
        <w:t xml:space="preserve"> Rapid warming that would follow an abrupt halt to sustained solar radiation modification.</w:t>
      </w:r>
    </w:p>
    <w:p>
      <w:pPr>
        <w:spacing w:after="140" w:line="276"/>
        <w:jc w:val="both"/>
      </w:pPr>
      <w:r>
        <w:rPr>
          <w:rFonts w:ascii="Georgia" w:cs="Georgia" w:eastAsia="Georgia" w:hAnsi="Georgia"/>
          <w:b/>
          <w:bCs/>
          <w:color w:val="1A1A1A"/>
          <w:sz w:val="21"/>
          <w:szCs w:val="21"/>
        </w:rPr>
        <w:t xml:space="preserve">Threshold theorem.</w:t>
      </w:r>
      <w:r>
        <w:rPr>
          <w:rFonts w:ascii="Georgia" w:cs="Georgia" w:eastAsia="Georgia" w:hAnsi="Georgia"/>
          <w:color w:val="1A1A1A"/>
          <w:sz w:val="21"/>
          <w:szCs w:val="21"/>
        </w:rPr>
        <w:t xml:space="preserve"> Below a certain physical error rate, adding qubits to error correction suppresses logical errors exponentially.</w:t>
      </w:r>
    </w:p>
    <w:p>
      <w:pPr>
        <w:spacing w:after="140" w:line="276"/>
        <w:jc w:val="both"/>
      </w:pPr>
      <w:r>
        <w:rPr>
          <w:rFonts w:ascii="Georgia" w:cs="Georgia" w:eastAsia="Georgia" w:hAnsi="Georgia"/>
          <w:b/>
          <w:bCs/>
          <w:color w:val="1A1A1A"/>
          <w:sz w:val="21"/>
          <w:szCs w:val="21"/>
        </w:rPr>
        <w:t xml:space="preserve">Vision-language-action model.</w:t>
      </w:r>
      <w:r>
        <w:rPr>
          <w:rFonts w:ascii="Georgia" w:cs="Georgia" w:eastAsia="Georgia" w:hAnsi="Georgia"/>
          <w:color w:val="1A1A1A"/>
          <w:sz w:val="21"/>
          <w:szCs w:val="21"/>
        </w:rPr>
        <w:t xml:space="preserve"> A foundation model that controls robots from visual input and natural-language instructions.</w:t>
      </w:r>
    </w:p>
    <w:sectPr>
      <w:footerReference w:type="default" r:id="rId7"/>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0" w:sz="4" w:space="6"/>
      </w:pBdr>
      <w:tabs>
        <w:tab w:val="right" w:pos="9360"/>
      </w:tabs>
    </w:pPr>
    <w:r>
      <w:rPr>
        <w:rFonts w:ascii="Calibri" w:cs="Calibri" w:eastAsia="Calibri" w:hAnsi="Calibri"/>
        <w:color w:val="55606E"/>
        <w:sz w:val="15"/>
        <w:szCs w:val="15"/>
      </w:rPr>
      <w:t xml:space="preserve">Frontier Technology Governance · Part A: Knowledge Base</w:t>
    </w:r>
    <w:r>
      <w:rPr>
        <w:sz w:val="15"/>
        <w:szCs w:val="15"/>
      </w:rPr>
      <w:t xml:space="preserve">	</w:t>
    </w:r>
    <w:r>
      <w:rPr>
        <w:rFonts w:ascii="Calibri" w:cs="Calibri" w:eastAsia="Calibri" w:hAnsi="Calibri"/>
        <w:color w:val="55606E"/>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Frontier Technology Governance — Part A: Knowledge Base</dc:title>
  <dc:creator>Interview Preparation</dc:creator>
  <cp:lastModifiedBy>Un-named</cp:lastModifiedBy>
  <cp:revision>1</cp:revision>
  <dcterms:created xsi:type="dcterms:W3CDTF">2026-09-28T18:55:05.677Z</dcterms:created>
  <dcterms:modified xsi:type="dcterms:W3CDTF">2026-09-28T18:55:05.677Z</dcterms:modified>
</cp:coreProperties>
</file>

<file path=docProps/custom.xml><?xml version="1.0" encoding="utf-8"?>
<Properties xmlns="http://schemas.openxmlformats.org/officeDocument/2006/custom-properties" xmlns:vt="http://schemas.openxmlformats.org/officeDocument/2006/docPropsVTypes"/>
</file>