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rFonts w:ascii="Calibri" w:cs="Calibri" w:eastAsia="Calibri" w:hAnsi="Calibri"/>
          <w:b/>
          <w:bCs/>
          <w:color w:val="2F5D8A"/>
          <w:spacing w:val="50"/>
          <w:sz w:val="24"/>
          <w:szCs w:val="24"/>
        </w:rPr>
        <w:t xml:space="preserve">INTERVIEW PREPARATION · PART B</w:t>
      </w:r>
    </w:p>
    <w:p>
      <w:pPr>
        <w:pBdr>
          <w:bottom w:val="single" w:color="2F5D8A" w:sz="14" w:space="10"/>
        </w:pBdr>
        <w:spacing w:before="40"/>
      </w:pPr>
    </w:p>
    <w:p>
      <w:pPr>
        <w:spacing w:before="300"/>
      </w:pPr>
      <w:r>
        <w:rPr>
          <w:rFonts w:ascii="Calibri" w:cs="Calibri" w:eastAsia="Calibri" w:hAnsi="Calibri"/>
          <w:b/>
          <w:bCs/>
          <w:color w:val="1F2A44"/>
          <w:sz w:val="54"/>
          <w:szCs w:val="54"/>
        </w:rPr>
        <w:t xml:space="preserve">Interview and Case Preparation</w:t>
      </w:r>
    </w:p>
    <w:p>
      <w:pPr>
        <w:spacing w:after="240"/>
      </w:pPr>
      <w:r>
        <w:rPr>
          <w:rFonts w:ascii="Calibri" w:cs="Calibri" w:eastAsia="Calibri" w:hAnsi="Calibri"/>
          <w:i/>
          <w:iCs/>
          <w:color w:val="2F5D8A"/>
          <w:sz w:val="34"/>
          <w:szCs w:val="34"/>
        </w:rPr>
        <w:t xml:space="preserve">HR screen and panel</w:t>
      </w:r>
    </w:p>
    <w:p>
      <w:pPr>
        <w:spacing w:after="40"/>
      </w:pPr>
      <w:r>
        <w:rPr>
          <w:rFonts w:ascii="Calibri" w:cs="Calibri" w:eastAsia="Calibri" w:hAnsi="Calibri"/>
          <w:b/>
          <w:bCs/>
          <w:color w:val="1F2A44"/>
          <w:sz w:val="26"/>
          <w:szCs w:val="26"/>
        </w:rPr>
        <w:t xml:space="preserve">Policy Lead, Global Regulatory Innovation Platform (GRIP)</w:t>
      </w:r>
    </w:p>
    <w:p>
      <w:pPr>
        <w:spacing w:after="480"/>
      </w:pPr>
      <w:r>
        <w:rPr>
          <w:rFonts w:ascii="Georgia" w:cs="Georgia" w:eastAsia="Georgia" w:hAnsi="Georgia"/>
          <w:color w:val="55606E"/>
          <w:sz w:val="21"/>
          <w:szCs w:val="21"/>
        </w:rPr>
        <w:t xml:space="preserve">World Economic Forum · Geneva</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color w:val="1F2A44"/>
                <w:sz w:val="20"/>
                <w:szCs w:val="20"/>
              </w:rPr>
              <w:t xml:space="preserve">Part B of two. The interview process and your positioning; the HR screen; the panel question bank derived from the JD; four case studies, the first written as a full work product; behavioural preparation; questions to ask. The knowledge base is Part A.</w:t>
            </w:r>
          </w:p>
        </w:tc>
      </w:tr>
    </w:tbl>
    <w:p>
      <w:r>
        <w:br w:type="page"/>
      </w:r>
    </w:p>
    <w:p>
      <w:pPr>
        <w:spacing w:after="160"/>
      </w:pPr>
      <w:r>
        <w:rPr>
          <w:rFonts w:ascii="Calibri" w:cs="Calibri" w:eastAsia="Calibri" w:hAnsi="Calibri"/>
          <w:b/>
          <w:bCs/>
          <w:color w:val="1F2A44"/>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Georgia" w:cs="Georgia" w:eastAsia="Georgia" w:hAnsi="Georgia"/>
          <w:i/>
          <w:iCs/>
          <w:color w:val="55606E"/>
          <w:sz w:val="16"/>
          <w:szCs w:val="16"/>
        </w:rPr>
        <w:t xml:space="preserve">In Word, right-click the contents and choose Update Field to populate page numbers.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B0 · The Interview Process and Your Positioning</w:t>
      </w:r>
    </w:p>
    <w:p>
      <w:pPr>
        <w:spacing w:after="200" w:line="288"/>
      </w:pPr>
      <w:r>
        <w:rPr>
          <w:rFonts w:ascii="Georgia" w:cs="Georgia" w:eastAsia="Georgia" w:hAnsi="Georgia"/>
          <w:i/>
          <w:iCs/>
          <w:color w:val="55606E"/>
          <w:sz w:val="22"/>
          <w:szCs w:val="22"/>
        </w:rPr>
        <w:t xml:space="preserve">Two stages are confirmed: an HR screening interview, then a panel interview with team members who have senior management-consulting backgrounds. This volume prepares you for both, working backwards from the JD to the questions each stage is most likely to ask.</w:t>
      </w:r>
    </w:p>
    <w:p>
      <w:pPr>
        <w:pStyle w:val="Heading2"/>
        <w:spacing w:after="100" w:before="220"/>
      </w:pPr>
      <w:r>
        <w:rPr>
          <w:rFonts w:ascii="Calibri" w:cs="Calibri" w:eastAsia="Calibri" w:hAnsi="Calibri"/>
          <w:b/>
          <w:bCs/>
          <w:color w:val="2F5D8A"/>
          <w:sz w:val="25"/>
          <w:szCs w:val="25"/>
        </w:rPr>
        <w:t xml:space="preserve">1. What each stage is testing</w:t>
      </w:r>
    </w:p>
    <w:tbl>
      <w:tblPr>
        <w:tblW w:type="dxa" w:w="9360"/>
        <w:tblBorders>
          <w:top w:val="single" w:color="C9D3E0" w:sz="2"/>
          <w:left w:val="none"/>
          <w:bottom w:val="single" w:color="C9D3E0" w:sz="2"/>
          <w:right w:val="none"/>
          <w:insideH w:val="single" w:color="C9D3E0" w:sz="2"/>
          <w:insideV w:val="single" w:color="C9D3E0" w:sz="2"/>
        </w:tblBorders>
      </w:tblPr>
      <w:tblGrid>
        <w:gridCol w:w="1900"/>
        <w:gridCol w:w="3730"/>
        <w:gridCol w:w="3730"/>
      </w:tblGrid>
      <w:tr>
        <w:trPr>
          <w:tblHeader/>
        </w:trPr>
        <w:tc>
          <w:tcPr>
            <w:tcW w:type="dxa" w:w="1900"/>
            <w:shd w:fill="1F2A44" w:val="clear"/>
            <w:tcMar>
              <w:top w:type="dxa" w:w="60"/>
              <w:left w:type="dxa" w:w="90"/>
              <w:bottom w:type="dxa" w:w="60"/>
              <w:right w:type="dxa" w:w="90"/>
            </w:tcMar>
          </w:tcPr>
          <w:p/>
        </w:tc>
        <w:tc>
          <w:tcPr>
            <w:tcW w:type="dxa" w:w="373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HR screen</w:t>
            </w:r>
          </w:p>
        </w:tc>
        <w:tc>
          <w:tcPr>
            <w:tcW w:type="dxa" w:w="373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Panel</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Purpose</w:t>
            </w:r>
          </w:p>
        </w:tc>
        <w:tc>
          <w:tcPr>
            <w:tcW w:type="dxa" w:w="37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Confirm you are a credible, motivated, well-fitting candidate worth the panel’s time; check logistics.</w:t>
            </w:r>
          </w:p>
        </w:tc>
        <w:tc>
          <w:tcPr>
            <w:tcW w:type="dxa" w:w="37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Decide whether you can do the job: build the workstream, work across the frontier-technology teams, and hold your own on substance.</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Typical format</w:t>
            </w:r>
          </w:p>
        </w:tc>
        <w:tc>
          <w:tcPr>
            <w:tcW w:type="dxa" w:w="37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30–45 minutes by video. Competency-based questions on collaboration, working style, ethics and impact; motivation; CV walk-through; practical conditions.</w:t>
            </w:r>
          </w:p>
        </w:tc>
        <w:tc>
          <w:tcPr>
            <w:tcW w:type="dxa" w:w="37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45–75 minutes. Motivation and fit; JD-based competency questions; ‘how would you approach…’ hypotheticals; technical probes, most likely on quantum.</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What a strong answer looks like</w:t>
            </w:r>
          </w:p>
        </w:tc>
        <w:tc>
          <w:tcPr>
            <w:tcW w:type="dxa" w:w="37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Clear, concise, specific examples; genuine knowledge of the Forum; comfort with a temporary, matrixed role.</w:t>
            </w:r>
          </w:p>
        </w:tc>
        <w:tc>
          <w:tcPr>
            <w:tcW w:type="dxa" w:w="37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Answer first, then structure; grounded in the Forum’s actual work; explicit trade-offs; a concrete next step. Consultants will push for ‘so what?’ and ‘what would you do on Monday?’</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Main risk</w:t>
            </w:r>
          </w:p>
        </w:tc>
        <w:tc>
          <w:tcPr>
            <w:tcW w:type="dxa" w:w="37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Sounding generic about the Forum, or misdescribing the role (e.g. as writing regulation).</w:t>
            </w:r>
          </w:p>
        </w:tc>
        <w:tc>
          <w:tcPr>
            <w:tcW w:type="dxa" w:w="37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Staying abstract; over-claiming technical depth; proposing things the Forum does not do.</w:t>
            </w:r>
          </w:p>
        </w:tc>
      </w:tr>
    </w:tbl>
    <w:p>
      <w:pPr>
        <w:spacing w:after="80"/>
      </w:pPr>
    </w:p>
    <w:p>
      <w:pPr>
        <w:pStyle w:val="Heading2"/>
        <w:spacing w:after="100" w:before="220"/>
      </w:pPr>
      <w:r>
        <w:rPr>
          <w:rFonts w:ascii="Calibri" w:cs="Calibri" w:eastAsia="Calibri" w:hAnsi="Calibri"/>
          <w:b/>
          <w:bCs/>
          <w:color w:val="2F5D8A"/>
          <w:sz w:val="25"/>
          <w:szCs w:val="25"/>
        </w:rPr>
        <w:t xml:space="preserve">2. The three messages to land in every interview</w:t>
      </w:r>
    </w:p>
    <w:p>
      <w:pPr>
        <w:spacing w:after="140" w:line="276"/>
        <w:jc w:val="both"/>
      </w:pPr>
      <w:r>
        <w:rPr>
          <w:rFonts w:ascii="Georgia" w:cs="Georgia" w:eastAsia="Georgia" w:hAnsi="Georgia"/>
          <w:color w:val="1A1A1A"/>
          <w:sz w:val="21"/>
          <w:szCs w:val="21"/>
        </w:rPr>
        <w:t xml:space="preserve">Every answer should reinforce at least one of these. They are built from your actual record.</w:t>
      </w:r>
    </w:p>
    <w:p>
      <w:pPr>
        <w:pStyle w:val="ListParagraph"/>
        <w:numPr>
          <w:ilvl w:val="0"/>
          <w:numId w:val="2"/>
        </w:numPr>
        <w:spacing w:after="70" w:line="268"/>
      </w:pPr>
      <w:r>
        <w:rPr>
          <w:rFonts w:ascii="Georgia" w:cs="Georgia" w:eastAsia="Georgia" w:hAnsi="Georgia"/>
          <w:b/>
          <w:bCs/>
          <w:color w:val="1A1A1A"/>
          <w:sz w:val="21"/>
          <w:szCs w:val="21"/>
        </w:rPr>
        <w:t xml:space="preserve">I work where technology, policy and law meet.</w:t>
      </w:r>
      <w:r>
        <w:rPr>
          <w:rFonts w:ascii="Georgia" w:cs="Georgia" w:eastAsia="Georgia" w:hAnsi="Georgia"/>
          <w:color w:val="1A1A1A"/>
          <w:sz w:val="21"/>
          <w:szCs w:val="21"/>
        </w:rPr>
        <w:t xml:space="preserve"> A trained lawyer who has done comparative regulatory analysis across jurisdictions (EU energy and renewables), implementation guidance on international agreements at the UN in Geneva, and positioning of frontier technologies inside a bespoke regulatory regime (NEOM’s food and biotechnology programme).</w:t>
      </w:r>
    </w:p>
    <w:p>
      <w:pPr>
        <w:pStyle w:val="ListParagraph"/>
        <w:numPr>
          <w:ilvl w:val="0"/>
          <w:numId w:val="2"/>
        </w:numPr>
        <w:spacing w:after="70" w:line="268"/>
      </w:pPr>
      <w:r>
        <w:rPr>
          <w:rFonts w:ascii="Georgia" w:cs="Georgia" w:eastAsia="Georgia" w:hAnsi="Georgia"/>
          <w:b/>
          <w:bCs/>
          <w:color w:val="1A1A1A"/>
          <w:sz w:val="21"/>
          <w:szCs w:val="21"/>
        </w:rPr>
        <w:t xml:space="preserve">I build multistakeholder platforms from concept to delivery.</w:t>
      </w:r>
      <w:r>
        <w:rPr>
          <w:rFonts w:ascii="Georgia" w:cs="Georgia" w:eastAsia="Georgia" w:hAnsi="Georgia"/>
          <w:color w:val="1A1A1A"/>
          <w:sz w:val="21"/>
          <w:szCs w:val="21"/>
        </w:rPr>
        <w:t xml:space="preserve"> Advising senior government leaders on the design and sequencing of flagship platforms (the Global Cybersecurity Forum, the Saudi Green Initiative, the Future Investment Initiative), and today leading a workstream and building a cross-sector community of business leaders.</w:t>
      </w:r>
    </w:p>
    <w:p>
      <w:pPr>
        <w:pStyle w:val="ListParagraph"/>
        <w:numPr>
          <w:ilvl w:val="0"/>
          <w:numId w:val="2"/>
        </w:numPr>
        <w:spacing w:after="70" w:line="268"/>
      </w:pPr>
      <w:r>
        <w:rPr>
          <w:rFonts w:ascii="Georgia" w:cs="Georgia" w:eastAsia="Georgia" w:hAnsi="Georgia"/>
          <w:b/>
          <w:bCs/>
          <w:color w:val="1A1A1A"/>
          <w:sz w:val="21"/>
          <w:szCs w:val="21"/>
        </w:rPr>
        <w:t xml:space="preserve">I think in sequencing and replication.</w:t>
      </w:r>
      <w:r>
        <w:rPr>
          <w:rFonts w:ascii="Georgia" w:cs="Georgia" w:eastAsia="Georgia" w:hAnsi="Georgia"/>
          <w:color w:val="1A1A1A"/>
          <w:sz w:val="21"/>
          <w:szCs w:val="21"/>
        </w:rPr>
        <w:t xml:space="preserve"> My early work reverse-engineered how China sequenced its renewable-energy transformation into a framework other countries could replicate. That is the same intellectual move as turning one collaboration with the quantum team into a model for every frontier-technology team.</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The honest framing of your gap.</w:t>
            </w:r>
            <w:r>
              <w:rPr>
                <w:rFonts w:ascii="Georgia" w:cs="Georgia" w:eastAsia="Georgia" w:hAnsi="Georgia"/>
                <w:color w:val="1F2A44"/>
                <w:sz w:val="20"/>
                <w:szCs w:val="20"/>
              </w:rPr>
              <w:t xml:space="preserve"> You are not a quantum physicist, a roboticist or a biologist, and the role does not need one. It needs someone who understands the technologies well enough to see the governance questions they raise, earns the trust of the technical teams, and connects them to regulators, companies and governments. Say this plainly; then show it with Part A-level knowledge.</w:t>
            </w:r>
          </w:p>
        </w:tc>
      </w:tr>
    </w:tbl>
    <w:p>
      <w:pPr>
        <w:spacing w:after="80"/>
      </w:pPr>
    </w:p>
    <w:p>
      <w:pPr>
        <w:pStyle w:val="Heading2"/>
        <w:spacing w:after="100" w:before="220"/>
      </w:pPr>
      <w:r>
        <w:rPr>
          <w:rFonts w:ascii="Calibri" w:cs="Calibri" w:eastAsia="Calibri" w:hAnsi="Calibri"/>
          <w:b/>
          <w:bCs/>
          <w:color w:val="2F5D8A"/>
          <w:sz w:val="25"/>
          <w:szCs w:val="25"/>
        </w:rPr>
        <w:t xml:space="preserve">3. From the JD to the questions</w:t>
      </w:r>
    </w:p>
    <w:p>
      <w:pPr>
        <w:spacing w:after="140" w:line="276"/>
        <w:jc w:val="both"/>
      </w:pPr>
      <w:r>
        <w:rPr>
          <w:rFonts w:ascii="Georgia" w:cs="Georgia" w:eastAsia="Georgia" w:hAnsi="Georgia"/>
          <w:color w:val="1A1A1A"/>
          <w:sz w:val="21"/>
          <w:szCs w:val="21"/>
        </w:rPr>
        <w:t xml:space="preserve">Each responsibility and requirement in the JD generates a predictable question. The references point to where each is answered in this volume.</w:t>
      </w:r>
    </w:p>
    <w:tbl>
      <w:tblPr>
        <w:tblW w:type="dxa" w:w="9360"/>
        <w:tblBorders>
          <w:top w:val="single" w:color="C9D3E0" w:sz="2"/>
          <w:left w:val="none"/>
          <w:bottom w:val="single" w:color="C9D3E0" w:sz="2"/>
          <w:right w:val="none"/>
          <w:insideH w:val="single" w:color="C9D3E0" w:sz="2"/>
          <w:insideV w:val="single" w:color="C9D3E0" w:sz="2"/>
        </w:tblBorders>
      </w:tblPr>
      <w:tblGrid>
        <w:gridCol w:w="3300"/>
        <w:gridCol w:w="3700"/>
        <w:gridCol w:w="2360"/>
      </w:tblGrid>
      <w:tr>
        <w:trPr>
          <w:tblHeader/>
        </w:trPr>
        <w:tc>
          <w:tcPr>
            <w:tcW w:type="dxa" w:w="33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JD line</w:t>
            </w:r>
          </w:p>
        </w:tc>
        <w:tc>
          <w:tcPr>
            <w:tcW w:type="dxa" w:w="3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they will probe</w:t>
            </w:r>
          </w:p>
        </w:tc>
        <w:tc>
          <w:tcPr>
            <w:tcW w:type="dxa" w:w="23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Where answered</w:t>
            </w:r>
          </w:p>
        </w:tc>
      </w:tr>
      <w:tr>
        <w:tc>
          <w:tcPr>
            <w:tcW w:type="dxa" w:w="3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Lead development and execution of a new cross-cutting workstream; define vision, priorities, roadmap</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Can you build from zero, prioritise, and plan to May 2027?</w:t>
            </w:r>
          </w:p>
        </w:tc>
        <w:tc>
          <w:tcPr>
            <w:tcW w:type="dxa" w:w="2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Panel A1, A2, A5; Cases 1 and 2</w:t>
            </w:r>
          </w:p>
        </w:tc>
      </w:tr>
      <w:tr>
        <w:tc>
          <w:tcPr>
            <w:tcW w:type="dxa" w:w="3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Primary liaison between GRIP and CFTI and industry teams</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Can you work in a matrix without authority, and add value to technical teams?</w:t>
            </w:r>
          </w:p>
        </w:tc>
        <w:tc>
          <w:tcPr>
            <w:tcW w:type="dxa" w:w="2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HR 7; Panel A3; Case 2</w:t>
            </w:r>
          </w:p>
        </w:tc>
      </w:tr>
      <w:tr>
        <w:tc>
          <w:tcPr>
            <w:tcW w:type="dxa" w:w="3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Integrate regulatory thinking early in technology development and programme design</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Do you know what this means in practice?</w:t>
            </w:r>
          </w:p>
        </w:tc>
        <w:tc>
          <w:tcPr>
            <w:tcW w:type="dxa" w:w="2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Panel A4; Case 1</w:t>
            </w:r>
          </w:p>
        </w:tc>
      </w:tr>
      <w:tr>
        <w:tc>
          <w:tcPr>
            <w:tcW w:type="dxa" w:w="3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Monitor global regulatory and technology trends</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Do you have a system, not just curiosity?</w:t>
            </w:r>
          </w:p>
        </w:tc>
        <w:tc>
          <w:tcPr>
            <w:tcW w:type="dxa" w:w="2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Panel B3</w:t>
            </w:r>
          </w:p>
        </w:tc>
      </w:tr>
      <w:tr>
        <w:tc>
          <w:tcPr>
            <w:tcW w:type="dxa" w:w="3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Develop thought leadership, frameworks, reports, playbooks; translate technology into practical governance insight</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Can you produce outputs that governments and industry actually use?</w:t>
            </w:r>
          </w:p>
        </w:tc>
        <w:tc>
          <w:tcPr>
            <w:tcW w:type="dxa" w:w="2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Panel B1, B2, B4</w:t>
            </w:r>
          </w:p>
        </w:tc>
      </w:tr>
      <w:tr>
        <w:tc>
          <w:tcPr>
            <w:tcW w:type="dxa" w:w="3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Build a multistakeholder community; manage senior relationships; run working groups and high-level dialogues</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Who would you convene, and how would you make a dialogue produce an outcome?</w:t>
            </w:r>
          </w:p>
        </w:tc>
        <w:tc>
          <w:tcPr>
            <w:tcW w:type="dxa" w:w="2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HR 9; Panel C1–C3</w:t>
            </w:r>
          </w:p>
        </w:tc>
      </w:tr>
      <w:tr>
        <w:tc>
          <w:tcPr>
            <w:tcW w:type="dxa" w:w="3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Synergies with CLO and CCO communities and C4IR centres</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Do you understand what these communities need?</w:t>
            </w:r>
          </w:p>
        </w:tc>
        <w:tc>
          <w:tcPr>
            <w:tcW w:type="dxa" w:w="2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Panel C2, C4</w:t>
            </w:r>
          </w:p>
        </w:tc>
      </w:tr>
      <w:tr>
        <w:tc>
          <w:tcPr>
            <w:tcW w:type="dxa" w:w="3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Strong understanding of frontier technologies and their governance implications</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Is your knowledge real, especially on quantum?</w:t>
            </w:r>
          </w:p>
        </w:tc>
        <w:tc>
          <w:tcPr>
            <w:tcW w:type="dxa" w:w="2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Panel D1–D6</w:t>
            </w:r>
          </w:p>
        </w:tc>
      </w:tr>
      <w:tr>
        <w:tc>
          <w:tcPr>
            <w:tcW w:type="dxa" w:w="3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Track record managing complex multistakeholder projects; entrepreneurial, concept to implementation</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Evidence from your past.</w:t>
            </w:r>
          </w:p>
        </w:tc>
        <w:tc>
          <w:tcPr>
            <w:tcW w:type="dxa" w:w="2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HR 1, 7, 8; Panel E2, E3; B4 stories</w:t>
            </w:r>
          </w:p>
        </w:tc>
      </w:tr>
      <w:tr>
        <w:tc>
          <w:tcPr>
            <w:tcW w:type="dxa" w:w="3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Cross-cultural work with senior public and private leaders</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Evidence, and judgement in sensitive settings.</w:t>
            </w:r>
          </w:p>
        </w:tc>
        <w:tc>
          <w:tcPr>
            <w:tcW w:type="dxa" w:w="23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HR 9, 10; Panel F2, F3</w:t>
            </w:r>
          </w:p>
        </w:tc>
      </w:tr>
      <w:tr>
        <w:tc>
          <w:tcPr>
            <w:tcW w:type="dxa" w:w="3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Project management and attention to detail</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Can you run the machinery, not just the ideas?</w:t>
            </w:r>
          </w:p>
        </w:tc>
        <w:tc>
          <w:tcPr>
            <w:tcW w:type="dxa" w:w="23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HR 11</w:t>
            </w:r>
          </w:p>
        </w:tc>
      </w:tr>
    </w:tbl>
    <w:p>
      <w:pPr>
        <w:spacing w:after="80"/>
      </w:pP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B1 · The HR Screening Interview</w:t>
      </w:r>
    </w:p>
    <w:p>
      <w:pPr>
        <w:spacing w:after="200" w:line="288"/>
      </w:pPr>
      <w:r>
        <w:rPr>
          <w:rFonts w:ascii="Georgia" w:cs="Georgia" w:eastAsia="Georgia" w:hAnsi="Georgia"/>
          <w:i/>
          <w:iCs/>
          <w:color w:val="55606E"/>
          <w:sz w:val="22"/>
          <w:szCs w:val="22"/>
        </w:rPr>
        <w:t xml:space="preserve">The HR screen is short and decisive. It checks motivation, fit and credibility, the competencies the Forum screens for (collaboration, working style, ethics, impact), and practical conditions. Answers should be 60 to 90 seconds, specific, and anchored in the three messages (B0, §2).</w:t>
      </w:r>
    </w:p>
    <w:p>
      <w:pPr>
        <w:spacing w:after="140" w:line="276"/>
        <w:jc w:val="both"/>
      </w:pPr>
      <w:r>
        <w:rPr>
          <w:rFonts w:ascii="Georgia" w:cs="Georgia" w:eastAsia="Georgia" w:hAnsi="Georgia"/>
          <w:color w:val="1A1A1A"/>
          <w:sz w:val="21"/>
          <w:szCs w:val="21"/>
        </w:rPr>
        <w:t xml:space="preserve">Placeholders in square brackets mark facts only you can supply. Where your situation would change an answer (for example, if you are applying from inside the Forum), adjust accordingly.</w:t>
      </w:r>
    </w:p>
    <w:p>
      <w:pPr>
        <w:pStyle w:val="Heading3"/>
        <w:spacing w:after="70" w:before="160"/>
      </w:pPr>
      <w:r>
        <w:rPr>
          <w:rFonts w:ascii="Calibri" w:cs="Calibri" w:eastAsia="Calibri" w:hAnsi="Calibri"/>
          <w:b/>
          <w:bCs/>
          <w:color w:val="1F2A44"/>
          <w:sz w:val="22"/>
          <w:szCs w:val="22"/>
        </w:rPr>
        <w:t xml:space="preserve">HR 1. Walk me through your background.</w:t>
      </w:r>
    </w:p>
    <w:p>
      <w:pPr>
        <w:spacing w:after="140" w:line="276"/>
        <w:jc w:val="both"/>
      </w:pPr>
      <w:r>
        <w:rPr>
          <w:rFonts w:ascii="Georgia" w:cs="Georgia" w:eastAsia="Georgia" w:hAnsi="Georgia"/>
          <w:b/>
          <w:bCs/>
          <w:color w:val="1A1A1A"/>
          <w:sz w:val="21"/>
          <w:szCs w:val="21"/>
        </w:rPr>
        <w:t xml:space="preserve">What they are checking:</w:t>
      </w:r>
      <w:r>
        <w:rPr>
          <w:rFonts w:ascii="Georgia" w:cs="Georgia" w:eastAsia="Georgia" w:hAnsi="Georgia"/>
          <w:color w:val="1A1A1A"/>
          <w:sz w:val="21"/>
          <w:szCs w:val="21"/>
        </w:rPr>
        <w:t xml:space="preserve"> A clear narrative that explains why this role is a logical next step, in about two minutes.</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I’ve spent my career where technology, policy and law meet. I trained as a lawyer and started in Brussels, researching how China had sequenced its renewable-energy transformation and building a framework other countries could replicate. At Herbert Smith Freehills I did comparative analysis of energy and renewables regulation across jurisdictions, mostly at EU level, and at the UN in Geneva I developed implementation guidance and training for governments on international agreements.</w:t>
      </w:r>
    </w:p>
    <w:p>
      <w:pPr>
        <w:spacing w:after="140" w:line="276"/>
        <w:jc w:val="both"/>
      </w:pPr>
      <w:r>
        <w:rPr>
          <w:rFonts w:ascii="Georgia" w:cs="Georgia" w:eastAsia="Georgia" w:hAnsi="Georgia"/>
          <w:color w:val="1A1A1A"/>
          <w:sz w:val="21"/>
          <w:szCs w:val="21"/>
        </w:rPr>
        <w:t xml:space="preserve">I then moved to the Gulf with FGS Global, where I advised senior government leaders on the design and sequencing of flagship multistakeholder platforms, including the Global Cybersecurity Forum, the Saudi Green Initiative and the Future Investment Initiative, and worked on NEOM’s food and biotechnology programme within its bespoke regulatory environment. After a period advising climate and circular-economy ventures on market entry, I now lead a climate and healthcare-continuity workstream and help build a cross-sector community of business leaders on workforce heat resilience.</w:t>
      </w:r>
    </w:p>
    <w:p>
      <w:pPr>
        <w:spacing w:after="140" w:line="276"/>
        <w:jc w:val="both"/>
      </w:pPr>
      <w:r>
        <w:rPr>
          <w:rFonts w:ascii="Georgia" w:cs="Georgia" w:eastAsia="Georgia" w:hAnsi="Georgia"/>
          <w:color w:val="1A1A1A"/>
          <w:sz w:val="21"/>
          <w:szCs w:val="21"/>
        </w:rPr>
        <w:t xml:space="preserve">The thread is translating complex technical and regulatory questions into platforms and products that decision-makers act on. This role brings those strands together: frontier technology, regulatory innovation and multistakeholder convening.</w:t>
      </w:r>
    </w:p>
    <w:p>
      <w:pPr>
        <w:spacing w:after="140" w:line="276"/>
        <w:jc w:val="both"/>
      </w:pPr>
      <w:r>
        <w:rPr>
          <w:rFonts w:ascii="Georgia" w:cs="Georgia" w:eastAsia="Georgia" w:hAnsi="Georgia"/>
          <w:b/>
          <w:bCs/>
          <w:color w:val="1A1A1A"/>
          <w:sz w:val="21"/>
          <w:szCs w:val="21"/>
        </w:rPr>
        <w:t xml:space="preserve">Avoid:</w:t>
      </w:r>
      <w:r>
        <w:rPr>
          <w:rFonts w:ascii="Georgia" w:cs="Georgia" w:eastAsia="Georgia" w:hAnsi="Georgia"/>
          <w:color w:val="1A1A1A"/>
          <w:sz w:val="21"/>
          <w:szCs w:val="21"/>
        </w:rPr>
        <w:t xml:space="preserve"> A chronological list of jobs without the thread; spending more than a sentence on any single role.</w:t>
      </w:r>
    </w:p>
    <w:p>
      <w:pPr>
        <w:pStyle w:val="Heading3"/>
        <w:spacing w:after="70" w:before="160"/>
      </w:pPr>
      <w:r>
        <w:rPr>
          <w:rFonts w:ascii="Calibri" w:cs="Calibri" w:eastAsia="Calibri" w:hAnsi="Calibri"/>
          <w:b/>
          <w:bCs/>
          <w:color w:val="1F2A44"/>
          <w:sz w:val="22"/>
          <w:szCs w:val="22"/>
        </w:rPr>
        <w:t xml:space="preserve">HR 2. Why the World Economic Forum?</w:t>
      </w:r>
    </w:p>
    <w:p>
      <w:pPr>
        <w:spacing w:after="140" w:line="276"/>
        <w:jc w:val="both"/>
      </w:pPr>
      <w:r>
        <w:rPr>
          <w:rFonts w:ascii="Georgia" w:cs="Georgia" w:eastAsia="Georgia" w:hAnsi="Georgia"/>
          <w:b/>
          <w:bCs/>
          <w:color w:val="1A1A1A"/>
          <w:sz w:val="21"/>
          <w:szCs w:val="21"/>
        </w:rPr>
        <w:t xml:space="preserve">What they are checking:</w:t>
      </w:r>
      <w:r>
        <w:rPr>
          <w:rFonts w:ascii="Georgia" w:cs="Georgia" w:eastAsia="Georgia" w:hAnsi="Georgia"/>
          <w:color w:val="1A1A1A"/>
          <w:sz w:val="21"/>
          <w:szCs w:val="21"/>
        </w:rPr>
        <w:t xml:space="preserve"> Genuine understanding of what the Forum is and does, beyond the brand.</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Because the Forum can do something no government or company can do alone: bring regulators, companies, researchers and civil society into the same conversation before positions harden, and turn that into frameworks people actually adopt. On frontier technologies that is exactly what is missing. The quantum team’s 2024 work with the UK Financial Conduct Authority on quantum security for finance is a good example: a regulator and industry co-developing principles and a roadmap, before the deadlines bite. I want to work where that kind of convening happens.</w:t>
      </w:r>
    </w:p>
    <w:p>
      <w:pPr>
        <w:spacing w:after="140" w:line="276"/>
        <w:jc w:val="both"/>
      </w:pPr>
      <w:r>
        <w:rPr>
          <w:rFonts w:ascii="Georgia" w:cs="Georgia" w:eastAsia="Georgia" w:hAnsi="Georgia"/>
          <w:color w:val="1A1A1A"/>
          <w:sz w:val="21"/>
          <w:szCs w:val="21"/>
        </w:rPr>
        <w:t xml:space="preserve">If you are applying from inside the Forum: frame it as having seen the model work from the inside, and wanting to apply it to the technologies where it is most needed.</w:t>
      </w:r>
    </w:p>
    <w:p>
      <w:pPr>
        <w:spacing w:after="140" w:line="276"/>
        <w:jc w:val="both"/>
      </w:pPr>
      <w:r>
        <w:rPr>
          <w:rFonts w:ascii="Georgia" w:cs="Georgia" w:eastAsia="Georgia" w:hAnsi="Georgia"/>
          <w:b/>
          <w:bCs/>
          <w:color w:val="1A1A1A"/>
          <w:sz w:val="21"/>
          <w:szCs w:val="21"/>
        </w:rPr>
        <w:t xml:space="preserve">Avoid:</w:t>
      </w:r>
      <w:r>
        <w:rPr>
          <w:rFonts w:ascii="Georgia" w:cs="Georgia" w:eastAsia="Georgia" w:hAnsi="Georgia"/>
          <w:color w:val="1A1A1A"/>
          <w:sz w:val="21"/>
          <w:szCs w:val="21"/>
        </w:rPr>
        <w:t xml:space="preserve"> Talking about Davos, prestige or ‘global impact’ in general terms.</w:t>
      </w:r>
    </w:p>
    <w:p>
      <w:pPr>
        <w:pStyle w:val="Heading3"/>
        <w:spacing w:after="70" w:before="160"/>
      </w:pPr>
      <w:r>
        <w:rPr>
          <w:rFonts w:ascii="Calibri" w:cs="Calibri" w:eastAsia="Calibri" w:hAnsi="Calibri"/>
          <w:b/>
          <w:bCs/>
          <w:color w:val="1F2A44"/>
          <w:sz w:val="22"/>
          <w:szCs w:val="22"/>
        </w:rPr>
        <w:t xml:space="preserve">HR 3. Why this role?</w:t>
      </w:r>
    </w:p>
    <w:p>
      <w:pPr>
        <w:spacing w:after="140" w:line="276"/>
        <w:jc w:val="both"/>
      </w:pPr>
      <w:r>
        <w:rPr>
          <w:rFonts w:ascii="Georgia" w:cs="Georgia" w:eastAsia="Georgia" w:hAnsi="Georgia"/>
          <w:b/>
          <w:bCs/>
          <w:color w:val="1A1A1A"/>
          <w:sz w:val="21"/>
          <w:szCs w:val="21"/>
        </w:rPr>
        <w:t xml:space="preserve">What they are checking:</w:t>
      </w:r>
      <w:r>
        <w:rPr>
          <w:rFonts w:ascii="Georgia" w:cs="Georgia" w:eastAsia="Georgia" w:hAnsi="Georgia"/>
          <w:color w:val="1A1A1A"/>
          <w:sz w:val="21"/>
          <w:szCs w:val="21"/>
        </w:rPr>
        <w:t xml:space="preserve"> That you understand what the role actually is, and that it fits your strengths.</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Three reasons. First, the role sits exactly at my intersection: technology, regulation and convening. Second, it is a build role: a new, cross-cutting workstream, which suits me, because I have repeatedly helped design platforms from concept. Third, the problem matters: the gap between how fast frontier technologies are moving and how prepared governments are is widening, and quantum makes it concrete, with post-quantum migration deadlines already set for 2030 and 2035.</w:t>
      </w:r>
    </w:p>
    <w:p>
      <w:pPr>
        <w:spacing w:after="140" w:line="276"/>
        <w:jc w:val="both"/>
      </w:pPr>
      <w:r>
        <w:rPr>
          <w:rFonts w:ascii="Georgia" w:cs="Georgia" w:eastAsia="Georgia" w:hAnsi="Georgia"/>
          <w:b/>
          <w:bCs/>
          <w:color w:val="1A1A1A"/>
          <w:sz w:val="21"/>
          <w:szCs w:val="21"/>
        </w:rPr>
        <w:t xml:space="preserve">Avoid:</w:t>
      </w:r>
      <w:r>
        <w:rPr>
          <w:rFonts w:ascii="Georgia" w:cs="Georgia" w:eastAsia="Georgia" w:hAnsi="Georgia"/>
          <w:color w:val="1A1A1A"/>
          <w:sz w:val="21"/>
          <w:szCs w:val="21"/>
        </w:rPr>
        <w:t xml:space="preserve"> Describing the role as ‘developing regulation’ or ‘running sandboxes’; the Forum does neither.</w:t>
      </w:r>
    </w:p>
    <w:p>
      <w:pPr>
        <w:pStyle w:val="Heading3"/>
        <w:spacing w:after="70" w:before="160"/>
      </w:pPr>
      <w:r>
        <w:rPr>
          <w:rFonts w:ascii="Calibri" w:cs="Calibri" w:eastAsia="Calibri" w:hAnsi="Calibri"/>
          <w:b/>
          <w:bCs/>
          <w:color w:val="1F2A44"/>
          <w:sz w:val="22"/>
          <w:szCs w:val="22"/>
        </w:rPr>
        <w:t xml:space="preserve">HR 4. What do you understand the role to be?</w:t>
      </w:r>
    </w:p>
    <w:p>
      <w:pPr>
        <w:spacing w:after="140" w:line="276"/>
        <w:jc w:val="both"/>
      </w:pPr>
      <w:r>
        <w:rPr>
          <w:rFonts w:ascii="Georgia" w:cs="Georgia" w:eastAsia="Georgia" w:hAnsi="Georgia"/>
          <w:b/>
          <w:bCs/>
          <w:color w:val="1A1A1A"/>
          <w:sz w:val="21"/>
          <w:szCs w:val="21"/>
        </w:rPr>
        <w:t xml:space="preserve">What they are checking:</w:t>
      </w:r>
      <w:r>
        <w:rPr>
          <w:rFonts w:ascii="Georgia" w:cs="Georgia" w:eastAsia="Georgia" w:hAnsi="Georgia"/>
          <w:color w:val="1A1A1A"/>
          <w:sz w:val="21"/>
          <w:szCs w:val="21"/>
        </w:rPr>
        <w:t xml:space="preserve"> Accuracy. HR will listen for whether you have misread the job.</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I see it as building a bridge between GRIP and the Forum’s frontier-technology teams: quantum, autonomous mobility and robotics, biotechnology and planetary systems. In practice that means connecting the two; integrating regulatory and governance questions into the teams’ programmes early; convening regulators, companies (including legal and compliance leaders), academia and civil society; translating technical developments into practical governance insight through knowledge products; and codifying what works so it can be reused across teams and jurisdictions. My understanding is that the first collaboration is likely to be with the quantum team.</w:t>
      </w:r>
    </w:p>
    <w:p>
      <w:pPr>
        <w:spacing w:after="140" w:line="276"/>
        <w:jc w:val="both"/>
      </w:pPr>
      <w:r>
        <w:rPr>
          <w:rFonts w:ascii="Georgia" w:cs="Georgia" w:eastAsia="Georgia" w:hAnsi="Georgia"/>
          <w:b/>
          <w:bCs/>
          <w:color w:val="1A1A1A"/>
          <w:sz w:val="21"/>
          <w:szCs w:val="21"/>
        </w:rPr>
        <w:t xml:space="preserve">Avoid:</w:t>
      </w:r>
      <w:r>
        <w:rPr>
          <w:rFonts w:ascii="Georgia" w:cs="Georgia" w:eastAsia="Georgia" w:hAnsi="Georgia"/>
          <w:color w:val="1A1A1A"/>
          <w:sz w:val="21"/>
          <w:szCs w:val="21"/>
        </w:rPr>
        <w:t xml:space="preserve"> Claiming ownership of GRIP’s index or flagship paper, which sit with the core team.</w:t>
      </w:r>
    </w:p>
    <w:p>
      <w:pPr>
        <w:pStyle w:val="Heading3"/>
        <w:spacing w:after="70" w:before="160"/>
      </w:pPr>
      <w:r>
        <w:rPr>
          <w:rFonts w:ascii="Calibri" w:cs="Calibri" w:eastAsia="Calibri" w:hAnsi="Calibri"/>
          <w:b/>
          <w:bCs/>
          <w:color w:val="1F2A44"/>
          <w:sz w:val="22"/>
          <w:szCs w:val="22"/>
        </w:rPr>
        <w:t xml:space="preserve">HR 5. This is a temporary role to May 2027. How do you feel about that?</w:t>
      </w:r>
    </w:p>
    <w:p>
      <w:pPr>
        <w:spacing w:after="140" w:line="276"/>
        <w:jc w:val="both"/>
      </w:pPr>
      <w:r>
        <w:rPr>
          <w:rFonts w:ascii="Georgia" w:cs="Georgia" w:eastAsia="Georgia" w:hAnsi="Georgia"/>
          <w:b/>
          <w:bCs/>
          <w:color w:val="1A1A1A"/>
          <w:sz w:val="21"/>
          <w:szCs w:val="21"/>
        </w:rPr>
        <w:t xml:space="preserve">What they are checking:</w:t>
      </w:r>
      <w:r>
        <w:rPr>
          <w:rFonts w:ascii="Georgia" w:cs="Georgia" w:eastAsia="Georgia" w:hAnsi="Georgia"/>
          <w:color w:val="1A1A1A"/>
          <w:sz w:val="21"/>
          <w:szCs w:val="21"/>
        </w:rPr>
        <w:t xml:space="preserve"> Commitment for the full period, and realism.</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It suits the mandate. A build role with a fixed horizon focuses the work: the job is to design a collaboration model, prove it with quantum, extend it to another team, and document it so it outlasts the contract. I would plan the work backwards from May 2027 with that handover in mind. Beyond that, I am interested in continuing in this field, and I would hope the results speak for themselves.</w:t>
      </w:r>
    </w:p>
    <w:p>
      <w:pPr>
        <w:spacing w:after="140" w:line="276"/>
        <w:jc w:val="both"/>
      </w:pPr>
      <w:r>
        <w:rPr>
          <w:rFonts w:ascii="Georgia" w:cs="Georgia" w:eastAsia="Georgia" w:hAnsi="Georgia"/>
          <w:b/>
          <w:bCs/>
          <w:color w:val="1A1A1A"/>
          <w:sz w:val="21"/>
          <w:szCs w:val="21"/>
        </w:rPr>
        <w:t xml:space="preserve">Avoid:</w:t>
      </w:r>
      <w:r>
        <w:rPr>
          <w:rFonts w:ascii="Georgia" w:cs="Georgia" w:eastAsia="Georgia" w:hAnsi="Georgia"/>
          <w:color w:val="1A1A1A"/>
          <w:sz w:val="21"/>
          <w:szCs w:val="21"/>
        </w:rPr>
        <w:t xml:space="preserve"> Signalling that you see it only as a stepping stone.</w:t>
      </w:r>
    </w:p>
    <w:p>
      <w:pPr>
        <w:pStyle w:val="Heading3"/>
        <w:spacing w:after="70" w:before="160"/>
      </w:pPr>
      <w:r>
        <w:rPr>
          <w:rFonts w:ascii="Calibri" w:cs="Calibri" w:eastAsia="Calibri" w:hAnsi="Calibri"/>
          <w:b/>
          <w:bCs/>
          <w:color w:val="1F2A44"/>
          <w:sz w:val="22"/>
          <w:szCs w:val="22"/>
        </w:rPr>
        <w:t xml:space="preserve">HR 6. Why are you looking to move now?</w:t>
      </w:r>
    </w:p>
    <w:p>
      <w:pPr>
        <w:spacing w:after="140" w:line="276"/>
        <w:jc w:val="both"/>
      </w:pPr>
      <w:r>
        <w:rPr>
          <w:rFonts w:ascii="Georgia" w:cs="Georgia" w:eastAsia="Georgia" w:hAnsi="Georgia"/>
          <w:b/>
          <w:bCs/>
          <w:color w:val="1A1A1A"/>
          <w:sz w:val="21"/>
          <w:szCs w:val="21"/>
        </w:rPr>
        <w:t xml:space="preserve">What they are checking:</w:t>
      </w:r>
      <w:r>
        <w:rPr>
          <w:rFonts w:ascii="Georgia" w:cs="Georgia" w:eastAsia="Georgia" w:hAnsi="Georgia"/>
          <w:color w:val="1A1A1A"/>
          <w:sz w:val="21"/>
          <w:szCs w:val="21"/>
        </w:rPr>
        <w:t xml:space="preserve"> A positive reason to move towards this role, not away from the current one.</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My current work has given me hands-on experience of leading a workstream end to end and building a community of senior business leaders. The natural next step is to apply those skills to the questions I have been closest to throughout my career: how regulation and governance keep pace with technology. This role is a rare fit for that, and the timing is right because the quantum governance agenda is moving now. [Adjust if there is a contract end date or internal context.]</w:t>
      </w:r>
    </w:p>
    <w:p>
      <w:pPr>
        <w:spacing w:after="140" w:line="276"/>
        <w:jc w:val="both"/>
      </w:pPr>
      <w:r>
        <w:rPr>
          <w:rFonts w:ascii="Georgia" w:cs="Georgia" w:eastAsia="Georgia" w:hAnsi="Georgia"/>
          <w:b/>
          <w:bCs/>
          <w:color w:val="1A1A1A"/>
          <w:sz w:val="21"/>
          <w:szCs w:val="21"/>
        </w:rPr>
        <w:t xml:space="preserve">Avoid:</w:t>
      </w:r>
      <w:r>
        <w:rPr>
          <w:rFonts w:ascii="Georgia" w:cs="Georgia" w:eastAsia="Georgia" w:hAnsi="Georgia"/>
          <w:color w:val="1A1A1A"/>
          <w:sz w:val="21"/>
          <w:szCs w:val="21"/>
        </w:rPr>
        <w:t xml:space="preserve"> Any criticism of your current employer.</w:t>
      </w:r>
    </w:p>
    <w:p>
      <w:pPr>
        <w:pStyle w:val="Heading3"/>
        <w:spacing w:after="70" w:before="160"/>
      </w:pPr>
      <w:r>
        <w:rPr>
          <w:rFonts w:ascii="Calibri" w:cs="Calibri" w:eastAsia="Calibri" w:hAnsi="Calibri"/>
          <w:b/>
          <w:bCs/>
          <w:color w:val="1F2A44"/>
          <w:sz w:val="22"/>
          <w:szCs w:val="22"/>
        </w:rPr>
        <w:t xml:space="preserve">HR 7. Tell me about a time you achieved something across teams where you had no formal authority.</w:t>
      </w:r>
    </w:p>
    <w:p>
      <w:pPr>
        <w:spacing w:after="140" w:line="276"/>
        <w:jc w:val="both"/>
      </w:pPr>
      <w:r>
        <w:rPr>
          <w:rFonts w:ascii="Georgia" w:cs="Georgia" w:eastAsia="Georgia" w:hAnsi="Georgia"/>
          <w:b/>
          <w:bCs/>
          <w:color w:val="1A1A1A"/>
          <w:sz w:val="21"/>
          <w:szCs w:val="21"/>
        </w:rPr>
        <w:t xml:space="preserve">What they are checking:</w:t>
      </w:r>
      <w:r>
        <w:rPr>
          <w:rFonts w:ascii="Georgia" w:cs="Georgia" w:eastAsia="Georgia" w:hAnsi="Georgia"/>
          <w:color w:val="1A1A1A"/>
          <w:sz w:val="21"/>
          <w:szCs w:val="21"/>
        </w:rPr>
        <w:t xml:space="preserve"> Collaboration in a matrix: the defining condition of this role.</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Use a real example from FGS or your current role. Structure: the objective; the teams or organisations involved and why they did not naturally align; what you did to create shared ownership (for example, framing the objective in each team’s terms, giving credit, agreeing decision rights early); the result. Close with the lesson: in a matrix you earn influence by making the other teams’ work more useful to them, not by owning territory.</w:t>
      </w:r>
    </w:p>
    <w:p>
      <w:pPr>
        <w:spacing w:after="140" w:line="276"/>
        <w:jc w:val="both"/>
      </w:pPr>
      <w:r>
        <w:rPr>
          <w:rFonts w:ascii="Georgia" w:cs="Georgia" w:eastAsia="Georgia" w:hAnsi="Georgia"/>
          <w:b/>
          <w:bCs/>
          <w:color w:val="1A1A1A"/>
          <w:sz w:val="21"/>
          <w:szCs w:val="21"/>
        </w:rPr>
        <w:t xml:space="preserve">Avoid:</w:t>
      </w:r>
      <w:r>
        <w:rPr>
          <w:rFonts w:ascii="Georgia" w:cs="Georgia" w:eastAsia="Georgia" w:hAnsi="Georgia"/>
          <w:color w:val="1A1A1A"/>
          <w:sz w:val="21"/>
          <w:szCs w:val="21"/>
        </w:rPr>
        <w:t xml:space="preserve"> Saying ‘we’ throughout; the interviewer needs to hear what you did.</w:t>
      </w:r>
    </w:p>
    <w:p>
      <w:pPr>
        <w:pStyle w:val="Heading3"/>
        <w:spacing w:after="70" w:before="160"/>
      </w:pPr>
      <w:r>
        <w:rPr>
          <w:rFonts w:ascii="Calibri" w:cs="Calibri" w:eastAsia="Calibri" w:hAnsi="Calibri"/>
          <w:b/>
          <w:bCs/>
          <w:color w:val="1F2A44"/>
          <w:sz w:val="22"/>
          <w:szCs w:val="22"/>
        </w:rPr>
        <w:t xml:space="preserve">HR 8. Tell me about a disagreement with a stakeholder and how you handled it.</w:t>
      </w:r>
    </w:p>
    <w:p>
      <w:pPr>
        <w:spacing w:after="140" w:line="276"/>
        <w:jc w:val="both"/>
      </w:pPr>
      <w:r>
        <w:rPr>
          <w:rFonts w:ascii="Georgia" w:cs="Georgia" w:eastAsia="Georgia" w:hAnsi="Georgia"/>
          <w:b/>
          <w:bCs/>
          <w:color w:val="1A1A1A"/>
          <w:sz w:val="21"/>
          <w:szCs w:val="21"/>
        </w:rPr>
        <w:t xml:space="preserve">What they are checking:</w:t>
      </w:r>
      <w:r>
        <w:rPr>
          <w:rFonts w:ascii="Georgia" w:cs="Georgia" w:eastAsia="Georgia" w:hAnsi="Georgia"/>
          <w:color w:val="1A1A1A"/>
          <w:sz w:val="21"/>
          <w:szCs w:val="21"/>
        </w:rPr>
        <w:t xml:space="preserve"> Maturity, listening, and ability to keep relationships intact.</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Choose a disagreement over substance with a senior counterpart (for example, on how to position or sequence an initiative). Show that you first understood their underlying concern, reframed around a shared objective, proposed an option that met both needs, and maintained the relationship afterwards. Be specific about what you said.</w:t>
      </w:r>
    </w:p>
    <w:p>
      <w:pPr>
        <w:spacing w:after="140" w:line="276"/>
        <w:jc w:val="both"/>
      </w:pPr>
      <w:r>
        <w:rPr>
          <w:rFonts w:ascii="Georgia" w:cs="Georgia" w:eastAsia="Georgia" w:hAnsi="Georgia"/>
          <w:b/>
          <w:bCs/>
          <w:color w:val="1A1A1A"/>
          <w:sz w:val="21"/>
          <w:szCs w:val="21"/>
        </w:rPr>
        <w:t xml:space="preserve">Avoid:</w:t>
      </w:r>
      <w:r>
        <w:rPr>
          <w:rFonts w:ascii="Georgia" w:cs="Georgia" w:eastAsia="Georgia" w:hAnsi="Georgia"/>
          <w:color w:val="1A1A1A"/>
          <w:sz w:val="21"/>
          <w:szCs w:val="21"/>
        </w:rPr>
        <w:t xml:space="preserve"> A story where the other person was simply wrong and you won.</w:t>
      </w:r>
    </w:p>
    <w:p>
      <w:pPr>
        <w:pStyle w:val="Heading3"/>
        <w:spacing w:after="70" w:before="160"/>
      </w:pPr>
      <w:r>
        <w:rPr>
          <w:rFonts w:ascii="Calibri" w:cs="Calibri" w:eastAsia="Calibri" w:hAnsi="Calibri"/>
          <w:b/>
          <w:bCs/>
          <w:color w:val="1F2A44"/>
          <w:sz w:val="22"/>
          <w:szCs w:val="22"/>
        </w:rPr>
        <w:t xml:space="preserve">HR 9. How do you work with very senior leaders: ministers, CEOs, heads of agencies?</w:t>
      </w:r>
    </w:p>
    <w:p>
      <w:pPr>
        <w:spacing w:after="140" w:line="276"/>
        <w:jc w:val="both"/>
      </w:pPr>
      <w:r>
        <w:rPr>
          <w:rFonts w:ascii="Georgia" w:cs="Georgia" w:eastAsia="Georgia" w:hAnsi="Georgia"/>
          <w:b/>
          <w:bCs/>
          <w:color w:val="1A1A1A"/>
          <w:sz w:val="21"/>
          <w:szCs w:val="21"/>
        </w:rPr>
        <w:t xml:space="preserve">What they are checking:</w:t>
      </w:r>
      <w:r>
        <w:rPr>
          <w:rFonts w:ascii="Georgia" w:cs="Georgia" w:eastAsia="Georgia" w:hAnsi="Georgia"/>
          <w:color w:val="1A1A1A"/>
          <w:sz w:val="21"/>
          <w:szCs w:val="21"/>
        </w:rPr>
        <w:t xml:space="preserve"> Credibility and judgement with senior public and private leaders.</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At FGS I advised senior government leaders directly, and in my current role I prepare briefings and positioning for senior engagement at high-level convenings. Three principles guide me: respect their time by leading with the decision or the ask; bring something they cannot get elsewhere, such as a view across jurisdictions or sectors; and be precise about what I know and do not know. With senior leaders, credibility is built by being useful and accurate, not by volume.</w:t>
      </w:r>
    </w:p>
    <w:p>
      <w:pPr>
        <w:pStyle w:val="Heading3"/>
        <w:spacing w:after="70" w:before="160"/>
      </w:pPr>
      <w:r>
        <w:rPr>
          <w:rFonts w:ascii="Calibri" w:cs="Calibri" w:eastAsia="Calibri" w:hAnsi="Calibri"/>
          <w:b/>
          <w:bCs/>
          <w:color w:val="1F2A44"/>
          <w:sz w:val="22"/>
          <w:szCs w:val="22"/>
        </w:rPr>
        <w:t xml:space="preserve">HR 10. Tell me about working across cultures.</w:t>
      </w:r>
    </w:p>
    <w:p>
      <w:pPr>
        <w:spacing w:after="140" w:line="276"/>
        <w:jc w:val="both"/>
      </w:pPr>
      <w:r>
        <w:rPr>
          <w:rFonts w:ascii="Georgia" w:cs="Georgia" w:eastAsia="Georgia" w:hAnsi="Georgia"/>
          <w:b/>
          <w:bCs/>
          <w:color w:val="1A1A1A"/>
          <w:sz w:val="21"/>
          <w:szCs w:val="21"/>
        </w:rPr>
        <w:t xml:space="preserve">What they are checking:</w:t>
      </w:r>
      <w:r>
        <w:rPr>
          <w:rFonts w:ascii="Georgia" w:cs="Georgia" w:eastAsia="Georgia" w:hAnsi="Georgia"/>
          <w:color w:val="1A1A1A"/>
          <w:sz w:val="21"/>
          <w:szCs w:val="21"/>
        </w:rPr>
        <w:t xml:space="preserve"> Evidence of international range and sensitivity.</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My career has spanned Brussels, Geneva and the Gulf, with counterparts across Europe, the Middle East and Asia. In the Gulf in particular I learned how much relationships, hierarchy and timing shape decisions, and that the same proposal lands very differently depending on who is in the room and how it is sequenced. [Add languages and one concrete example.]</w:t>
      </w:r>
    </w:p>
    <w:p>
      <w:pPr>
        <w:pStyle w:val="Heading3"/>
        <w:spacing w:after="70" w:before="160"/>
      </w:pPr>
      <w:r>
        <w:rPr>
          <w:rFonts w:ascii="Calibri" w:cs="Calibri" w:eastAsia="Calibri" w:hAnsi="Calibri"/>
          <w:b/>
          <w:bCs/>
          <w:color w:val="1F2A44"/>
          <w:sz w:val="22"/>
          <w:szCs w:val="22"/>
        </w:rPr>
        <w:t xml:space="preserve">HR 11. How do you manage several complex projects at once, and make sure the detail is right?</w:t>
      </w:r>
    </w:p>
    <w:p>
      <w:pPr>
        <w:spacing w:after="140" w:line="276"/>
        <w:jc w:val="both"/>
      </w:pPr>
      <w:r>
        <w:rPr>
          <w:rFonts w:ascii="Georgia" w:cs="Georgia" w:eastAsia="Georgia" w:hAnsi="Georgia"/>
          <w:b/>
          <w:bCs/>
          <w:color w:val="1A1A1A"/>
          <w:sz w:val="21"/>
          <w:szCs w:val="21"/>
        </w:rPr>
        <w:t xml:space="preserve">What they are checking:</w:t>
      </w:r>
      <w:r>
        <w:rPr>
          <w:rFonts w:ascii="Georgia" w:cs="Georgia" w:eastAsia="Georgia" w:hAnsi="Georgia"/>
          <w:color w:val="1A1A1A"/>
          <w:sz w:val="21"/>
          <w:szCs w:val="21"/>
        </w:rPr>
        <w:t xml:space="preserve"> The JD explicitly asks for project management and attention to detail.</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Describe your actual system: a clear plan with milestones worked back from external deadlines (for example, a launch moment); a weekly review of risks and dependencies; explicit owners for every action; and a final quality check on anything external, especially facts, figures and names. Give one example where catching a detail mattered.</w:t>
      </w:r>
    </w:p>
    <w:p>
      <w:pPr>
        <w:spacing w:after="140" w:line="276"/>
        <w:jc w:val="both"/>
      </w:pPr>
      <w:r>
        <w:rPr>
          <w:rFonts w:ascii="Georgia" w:cs="Georgia" w:eastAsia="Georgia" w:hAnsi="Georgia"/>
          <w:b/>
          <w:bCs/>
          <w:color w:val="1A1A1A"/>
          <w:sz w:val="21"/>
          <w:szCs w:val="21"/>
        </w:rPr>
        <w:t xml:space="preserve">Avoid:</w:t>
      </w:r>
      <w:r>
        <w:rPr>
          <w:rFonts w:ascii="Georgia" w:cs="Georgia" w:eastAsia="Georgia" w:hAnsi="Georgia"/>
          <w:color w:val="1A1A1A"/>
          <w:sz w:val="21"/>
          <w:szCs w:val="21"/>
        </w:rPr>
        <w:t xml:space="preserve"> Claiming you simply work harder; they want a method.</w:t>
      </w:r>
    </w:p>
    <w:p>
      <w:pPr>
        <w:pStyle w:val="Heading3"/>
        <w:spacing w:after="70" w:before="160"/>
      </w:pPr>
      <w:r>
        <w:rPr>
          <w:rFonts w:ascii="Calibri" w:cs="Calibri" w:eastAsia="Calibri" w:hAnsi="Calibri"/>
          <w:b/>
          <w:bCs/>
          <w:color w:val="1F2A44"/>
          <w:sz w:val="22"/>
          <w:szCs w:val="22"/>
        </w:rPr>
        <w:t xml:space="preserve">HR 12. Tell me about a time your integrity was tested, or you were asked to do something you were uncomfortable with.</w:t>
      </w:r>
    </w:p>
    <w:p>
      <w:pPr>
        <w:spacing w:after="140" w:line="276"/>
        <w:jc w:val="both"/>
      </w:pPr>
      <w:r>
        <w:rPr>
          <w:rFonts w:ascii="Georgia" w:cs="Georgia" w:eastAsia="Georgia" w:hAnsi="Georgia"/>
          <w:b/>
          <w:bCs/>
          <w:color w:val="1A1A1A"/>
          <w:sz w:val="21"/>
          <w:szCs w:val="21"/>
        </w:rPr>
        <w:t xml:space="preserve">What they are checking:</w:t>
      </w:r>
      <w:r>
        <w:rPr>
          <w:rFonts w:ascii="Georgia" w:cs="Georgia" w:eastAsia="Georgia" w:hAnsi="Georgia"/>
          <w:color w:val="1A1A1A"/>
          <w:sz w:val="21"/>
          <w:szCs w:val="21"/>
        </w:rPr>
        <w:t xml:space="preserve"> Ethics: the Forum works with powerful partners and must protect its neutrality.</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Choose a real situation, for example pressure to overstate a result or to shape content in a partner’s favour. Show how you raised it, the alternative you proposed, and the outcome. Link it to the Forum: its value depends on being a trusted, neutral platform, so content cannot become advocacy for any one member.</w:t>
      </w:r>
    </w:p>
    <w:p>
      <w:pPr>
        <w:pStyle w:val="Heading3"/>
        <w:spacing w:after="70" w:before="160"/>
      </w:pPr>
      <w:r>
        <w:rPr>
          <w:rFonts w:ascii="Calibri" w:cs="Calibri" w:eastAsia="Calibri" w:hAnsi="Calibri"/>
          <w:b/>
          <w:bCs/>
          <w:color w:val="1F2A44"/>
          <w:sz w:val="22"/>
          <w:szCs w:val="22"/>
        </w:rPr>
        <w:t xml:space="preserve">HR 13. How do you know whether your work has had impact?</w:t>
      </w:r>
    </w:p>
    <w:p>
      <w:pPr>
        <w:spacing w:after="140" w:line="276"/>
        <w:jc w:val="both"/>
      </w:pPr>
      <w:r>
        <w:rPr>
          <w:rFonts w:ascii="Georgia" w:cs="Georgia" w:eastAsia="Georgia" w:hAnsi="Georgia"/>
          <w:b/>
          <w:bCs/>
          <w:color w:val="1A1A1A"/>
          <w:sz w:val="21"/>
          <w:szCs w:val="21"/>
        </w:rPr>
        <w:t xml:space="preserve">What they are checking:</w:t>
      </w:r>
      <w:r>
        <w:rPr>
          <w:rFonts w:ascii="Georgia" w:cs="Georgia" w:eastAsia="Georgia" w:hAnsi="Georgia"/>
          <w:color w:val="1A1A1A"/>
          <w:sz w:val="21"/>
          <w:szCs w:val="21"/>
        </w:rPr>
        <w:t xml:space="preserve"> Impact orientation beyond activity metrics.</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I distinguish three levels. Adoption: did the people it was meant for take it up? Outcome: did it change a decision, a policy, an investment or a practice? System: did it shift how the field works? For a knowledge product, downloads and events are activity; a regulator citing it in guidance, or a company changing its roadmap because of it, is impact. I define those measures when a project is designed, not afterwards.</w:t>
      </w:r>
    </w:p>
    <w:p>
      <w:pPr>
        <w:pStyle w:val="Heading3"/>
        <w:spacing w:after="70" w:before="160"/>
      </w:pPr>
      <w:r>
        <w:rPr>
          <w:rFonts w:ascii="Calibri" w:cs="Calibri" w:eastAsia="Calibri" w:hAnsi="Calibri"/>
          <w:b/>
          <w:bCs/>
          <w:color w:val="1F2A44"/>
          <w:sz w:val="22"/>
          <w:szCs w:val="22"/>
        </w:rPr>
        <w:t xml:space="preserve">HR 14. I see a gap between mid-2018 and late 2019. Can you tell me about it?</w:t>
      </w:r>
    </w:p>
    <w:p>
      <w:pPr>
        <w:spacing w:after="140" w:line="276"/>
        <w:jc w:val="both"/>
      </w:pPr>
      <w:r>
        <w:rPr>
          <w:rFonts w:ascii="Georgia" w:cs="Georgia" w:eastAsia="Georgia" w:hAnsi="Georgia"/>
          <w:b/>
          <w:bCs/>
          <w:color w:val="1A1A1A"/>
          <w:sz w:val="21"/>
          <w:szCs w:val="21"/>
        </w:rPr>
        <w:t xml:space="preserve">What they are checking:</w:t>
      </w:r>
      <w:r>
        <w:rPr>
          <w:rFonts w:ascii="Georgia" w:cs="Georgia" w:eastAsia="Georgia" w:hAnsi="Georgia"/>
          <w:color w:val="1A1A1A"/>
          <w:sz w:val="21"/>
          <w:szCs w:val="21"/>
        </w:rPr>
        <w:t xml:space="preserve"> Only whether there is a straightforward explanation.</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Prepare a truthful, one or two sentence explanation, stated calmly, followed by what you took from it and how it led to the next role. [To be completed by you.]</w:t>
      </w:r>
    </w:p>
    <w:p>
      <w:pPr>
        <w:spacing w:after="140" w:line="276"/>
        <w:jc w:val="both"/>
      </w:pPr>
      <w:r>
        <w:rPr>
          <w:rFonts w:ascii="Georgia" w:cs="Georgia" w:eastAsia="Georgia" w:hAnsi="Georgia"/>
          <w:b/>
          <w:bCs/>
          <w:color w:val="1A1A1A"/>
          <w:sz w:val="21"/>
          <w:szCs w:val="21"/>
        </w:rPr>
        <w:t xml:space="preserve">Avoid:</w:t>
      </w:r>
      <w:r>
        <w:rPr>
          <w:rFonts w:ascii="Georgia" w:cs="Georgia" w:eastAsia="Georgia" w:hAnsi="Georgia"/>
          <w:color w:val="1A1A1A"/>
          <w:sz w:val="21"/>
          <w:szCs w:val="21"/>
        </w:rPr>
        <w:t xml:space="preserve"> Over-explaining or sounding defensive.</w:t>
      </w:r>
    </w:p>
    <w:p>
      <w:pPr>
        <w:pStyle w:val="Heading3"/>
        <w:spacing w:after="70" w:before="160"/>
      </w:pPr>
      <w:r>
        <w:rPr>
          <w:rFonts w:ascii="Calibri" w:cs="Calibri" w:eastAsia="Calibri" w:hAnsi="Calibri"/>
          <w:b/>
          <w:bCs/>
          <w:color w:val="1F2A44"/>
          <w:sz w:val="22"/>
          <w:szCs w:val="22"/>
        </w:rPr>
        <w:t xml:space="preserve">HR 15. Practical questions: location, permit, availability, salary expectations.</w:t>
      </w:r>
    </w:p>
    <w:p>
      <w:pPr>
        <w:spacing w:after="140" w:line="276"/>
        <w:jc w:val="both"/>
      </w:pPr>
      <w:r>
        <w:rPr>
          <w:rFonts w:ascii="Georgia" w:cs="Georgia" w:eastAsia="Georgia" w:hAnsi="Georgia"/>
          <w:b/>
          <w:bCs/>
          <w:color w:val="1A1A1A"/>
          <w:sz w:val="21"/>
          <w:szCs w:val="21"/>
        </w:rPr>
        <w:t xml:space="preserve">What they are checking:</w:t>
      </w:r>
      <w:r>
        <w:rPr>
          <w:rFonts w:ascii="Georgia" w:cs="Georgia" w:eastAsia="Georgia" w:hAnsi="Georgia"/>
          <w:color w:val="1A1A1A"/>
          <w:sz w:val="21"/>
          <w:szCs w:val="21"/>
        </w:rPr>
        <w:t xml:space="preserve"> That there are no blockers.</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Location:</w:t>
      </w:r>
      <w:r>
        <w:rPr>
          <w:rFonts w:ascii="Georgia" w:cs="Georgia" w:eastAsia="Georgia" w:hAnsi="Georgia"/>
          <w:color w:val="1A1A1A"/>
          <w:sz w:val="21"/>
          <w:szCs w:val="21"/>
        </w:rPr>
        <w:t xml:space="preserve"> confirm you can be based in Geneva from [date]. </w:t>
      </w:r>
      <w:r>
        <w:rPr>
          <w:rFonts w:ascii="Georgia" w:cs="Georgia" w:eastAsia="Georgia" w:hAnsi="Georgia"/>
          <w:b/>
          <w:bCs/>
          <w:color w:val="1A1A1A"/>
          <w:sz w:val="21"/>
          <w:szCs w:val="21"/>
        </w:rPr>
        <w:t xml:space="preserve">Permit:</w:t>
      </w:r>
      <w:r>
        <w:rPr>
          <w:rFonts w:ascii="Georgia" w:cs="Georgia" w:eastAsia="Georgia" w:hAnsi="Georgia"/>
          <w:color w:val="1A1A1A"/>
          <w:sz w:val="21"/>
          <w:szCs w:val="21"/>
        </w:rPr>
        <w:t xml:space="preserve"> state your status clearly [e.g. EU/EFTA citizenship or current Swiss permit]. </w:t>
      </w:r>
      <w:r>
        <w:rPr>
          <w:rFonts w:ascii="Georgia" w:cs="Georgia" w:eastAsia="Georgia" w:hAnsi="Georgia"/>
          <w:b/>
          <w:bCs/>
          <w:color w:val="1A1A1A"/>
          <w:sz w:val="21"/>
          <w:szCs w:val="21"/>
        </w:rPr>
        <w:t xml:space="preserve">Availability:</w:t>
      </w:r>
      <w:r>
        <w:rPr>
          <w:rFonts w:ascii="Georgia" w:cs="Georgia" w:eastAsia="Georgia" w:hAnsi="Georgia"/>
          <w:color w:val="1A1A1A"/>
          <w:sz w:val="21"/>
          <w:szCs w:val="21"/>
        </w:rPr>
        <w:t xml:space="preserve"> your notice period [x weeks]. </w:t>
      </w:r>
      <w:r>
        <w:rPr>
          <w:rFonts w:ascii="Georgia" w:cs="Georgia" w:eastAsia="Georgia" w:hAnsi="Georgia"/>
          <w:b/>
          <w:bCs/>
          <w:color w:val="1A1A1A"/>
          <w:sz w:val="21"/>
          <w:szCs w:val="21"/>
        </w:rPr>
        <w:t xml:space="preserve">Salary:</w:t>
      </w:r>
      <w:r>
        <w:rPr>
          <w:rFonts w:ascii="Georgia" w:cs="Georgia" w:eastAsia="Georgia" w:hAnsi="Georgia"/>
          <w:color w:val="1A1A1A"/>
          <w:sz w:val="21"/>
          <w:szCs w:val="21"/>
        </w:rPr>
        <w:t xml:space="preserve"> if asked, give a researched range for a Geneva-based policy lead role, rather than a single figure, and say you are open to discussing the full package. Do not anchor low because the role is temporary; the scope is senior.</w:t>
      </w:r>
    </w:p>
    <w:p>
      <w:pPr>
        <w:pStyle w:val="Heading3"/>
        <w:spacing w:after="70" w:before="160"/>
      </w:pPr>
      <w:r>
        <w:rPr>
          <w:rFonts w:ascii="Calibri" w:cs="Calibri" w:eastAsia="Calibri" w:hAnsi="Calibri"/>
          <w:b/>
          <w:bCs/>
          <w:color w:val="1F2A44"/>
          <w:sz w:val="22"/>
          <w:szCs w:val="22"/>
        </w:rPr>
        <w:t xml:space="preserve">HR 16. What questions do you have for me?</w:t>
      </w:r>
    </w:p>
    <w:p>
      <w:pPr>
        <w:spacing w:after="140" w:line="276"/>
        <w:jc w:val="both"/>
      </w:pPr>
      <w:r>
        <w:rPr>
          <w:rFonts w:ascii="Georgia" w:cs="Georgia" w:eastAsia="Georgia" w:hAnsi="Georgia"/>
          <w:b/>
          <w:bCs/>
          <w:color w:val="1A1A1A"/>
          <w:sz w:val="21"/>
          <w:szCs w:val="21"/>
        </w:rPr>
        <w:t xml:space="preserve">What they are checking:</w:t>
      </w:r>
      <w:r>
        <w:rPr>
          <w:rFonts w:ascii="Georgia" w:cs="Georgia" w:eastAsia="Georgia" w:hAnsi="Georgia"/>
          <w:color w:val="1A1A1A"/>
          <w:sz w:val="21"/>
          <w:szCs w:val="21"/>
        </w:rPr>
        <w:t xml:space="preserve"> Curiosity and preparation. Ask about process and context, not substance better suited to the panel.</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Good questions for HR: What does the panel process look like, and who is on it? How does the Forum typically support people in temporary roles to continue their work beyond the contract? How is this role expected to work day to day with the Centre for Frontier Technologies and Innovation? What are the next steps and timeline?</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B2 · The Panel Interview</w:t>
      </w:r>
    </w:p>
    <w:p>
      <w:pPr>
        <w:spacing w:after="200" w:line="288"/>
      </w:pPr>
      <w:r>
        <w:rPr>
          <w:rFonts w:ascii="Georgia" w:cs="Georgia" w:eastAsia="Georgia" w:hAnsi="Georgia"/>
          <w:i/>
          <w:iCs/>
          <w:color w:val="55606E"/>
          <w:sz w:val="22"/>
          <w:szCs w:val="22"/>
        </w:rPr>
        <w:t xml:space="preserve">The panel will be run by people trained to probe structure and substance. Expect questions grouped around the JD’s three responsibility areas, technical probes on quantum and the other domains, evidence from your past, and one or two judgement curveballs.</w:t>
      </w:r>
    </w:p>
    <w:p>
      <w:pPr>
        <w:pStyle w:val="Heading2"/>
        <w:spacing w:after="100" w:before="220"/>
      </w:pPr>
      <w:r>
        <w:rPr>
          <w:rFonts w:ascii="Calibri" w:cs="Calibri" w:eastAsia="Calibri" w:hAnsi="Calibri"/>
          <w:b/>
          <w:bCs/>
          <w:color w:val="2F5D8A"/>
          <w:sz w:val="25"/>
          <w:szCs w:val="25"/>
        </w:rPr>
        <w:t xml:space="preserve">How to answer a consultant panel</w:t>
      </w:r>
    </w:p>
    <w:p>
      <w:pPr>
        <w:pStyle w:val="ListParagraph"/>
        <w:numPr>
          <w:ilvl w:val="0"/>
          <w:numId w:val="1"/>
        </w:numPr>
        <w:spacing w:after="70" w:line="268"/>
      </w:pPr>
      <w:r>
        <w:rPr>
          <w:rFonts w:ascii="Georgia" w:cs="Georgia" w:eastAsia="Georgia" w:hAnsi="Georgia"/>
          <w:b/>
          <w:bCs/>
          <w:color w:val="1A1A1A"/>
          <w:sz w:val="21"/>
          <w:szCs w:val="21"/>
        </w:rPr>
        <w:t xml:space="preserve">Lead with the answer,</w:t>
      </w:r>
      <w:r>
        <w:rPr>
          <w:rFonts w:ascii="Georgia" w:cs="Georgia" w:eastAsia="Georgia" w:hAnsi="Georgia"/>
          <w:color w:val="1A1A1A"/>
          <w:sz w:val="21"/>
          <w:szCs w:val="21"/>
        </w:rPr>
        <w:t xml:space="preserve"> then give two or three supporting points, then the detail if asked.</w:t>
      </w:r>
    </w:p>
    <w:p>
      <w:pPr>
        <w:pStyle w:val="ListParagraph"/>
        <w:numPr>
          <w:ilvl w:val="0"/>
          <w:numId w:val="1"/>
        </w:numPr>
        <w:spacing w:after="70" w:line="268"/>
      </w:pPr>
      <w:r>
        <w:rPr>
          <w:rFonts w:ascii="Georgia" w:cs="Georgia" w:eastAsia="Georgia" w:hAnsi="Georgia"/>
          <w:b/>
          <w:bCs/>
          <w:color w:val="1A1A1A"/>
          <w:sz w:val="21"/>
          <w:szCs w:val="21"/>
        </w:rPr>
        <w:t xml:space="preserve">Be specific to the Forum:</w:t>
      </w:r>
      <w:r>
        <w:rPr>
          <w:rFonts w:ascii="Georgia" w:cs="Georgia" w:eastAsia="Georgia" w:hAnsi="Georgia"/>
          <w:color w:val="1A1A1A"/>
          <w:sz w:val="21"/>
          <w:szCs w:val="21"/>
        </w:rPr>
        <w:t xml:space="preserve"> name the team, the existing output, the regulator, the deadline. Specificity is the clearest signal that you have done the work.</w:t>
      </w:r>
    </w:p>
    <w:p>
      <w:pPr>
        <w:pStyle w:val="ListParagraph"/>
        <w:numPr>
          <w:ilvl w:val="0"/>
          <w:numId w:val="1"/>
        </w:numPr>
        <w:spacing w:after="70" w:line="268"/>
      </w:pPr>
      <w:r>
        <w:rPr>
          <w:rFonts w:ascii="Georgia" w:cs="Georgia" w:eastAsia="Georgia" w:hAnsi="Georgia"/>
          <w:b/>
          <w:bCs/>
          <w:color w:val="1A1A1A"/>
          <w:sz w:val="21"/>
          <w:szCs w:val="21"/>
        </w:rPr>
        <w:t xml:space="preserve">Name the trade-off</w:t>
      </w:r>
      <w:r>
        <w:rPr>
          <w:rFonts w:ascii="Georgia" w:cs="Georgia" w:eastAsia="Georgia" w:hAnsi="Georgia"/>
          <w:color w:val="1A1A1A"/>
          <w:sz w:val="21"/>
          <w:szCs w:val="21"/>
        </w:rPr>
        <w:t xml:space="preserve"> you are making, and why.</w:t>
      </w:r>
    </w:p>
    <w:p>
      <w:pPr>
        <w:pStyle w:val="ListParagraph"/>
        <w:numPr>
          <w:ilvl w:val="0"/>
          <w:numId w:val="1"/>
        </w:numPr>
        <w:spacing w:after="70" w:line="268"/>
      </w:pPr>
      <w:r>
        <w:rPr>
          <w:rFonts w:ascii="Georgia" w:cs="Georgia" w:eastAsia="Georgia" w:hAnsi="Georgia"/>
          <w:b/>
          <w:bCs/>
          <w:color w:val="1A1A1A"/>
          <w:sz w:val="21"/>
          <w:szCs w:val="21"/>
        </w:rPr>
        <w:t xml:space="preserve">End with the next step:</w:t>
      </w:r>
      <w:r>
        <w:rPr>
          <w:rFonts w:ascii="Georgia" w:cs="Georgia" w:eastAsia="Georgia" w:hAnsi="Georgia"/>
          <w:color w:val="1A1A1A"/>
          <w:sz w:val="21"/>
          <w:szCs w:val="21"/>
        </w:rPr>
        <w:t xml:space="preserve"> what you would actually do first.</w:t>
      </w:r>
    </w:p>
    <w:p>
      <w:pPr>
        <w:pStyle w:val="ListParagraph"/>
        <w:numPr>
          <w:ilvl w:val="0"/>
          <w:numId w:val="1"/>
        </w:numPr>
        <w:spacing w:after="70" w:line="268"/>
      </w:pPr>
      <w:r>
        <w:rPr>
          <w:rFonts w:ascii="Georgia" w:cs="Georgia" w:eastAsia="Georgia" w:hAnsi="Georgia"/>
          <w:b/>
          <w:bCs/>
          <w:color w:val="1A1A1A"/>
          <w:sz w:val="21"/>
          <w:szCs w:val="21"/>
        </w:rPr>
        <w:t xml:space="preserve">Respect the timeline:</w:t>
      </w:r>
      <w:r>
        <w:rPr>
          <w:rFonts w:ascii="Georgia" w:cs="Georgia" w:eastAsia="Georgia" w:hAnsi="Georgia"/>
          <w:color w:val="1A1A1A"/>
          <w:sz w:val="21"/>
          <w:szCs w:val="21"/>
        </w:rPr>
        <w:t xml:space="preserve"> the contract runs to May 2027, which means a tenure of perhaps six to eight months. Plans that fit that window will read as realistic; plans that need three years will not.</w:t>
      </w:r>
    </w:p>
    <w:p>
      <w:pPr>
        <w:pStyle w:val="Heading2"/>
        <w:spacing w:after="100" w:before="220"/>
      </w:pPr>
      <w:r>
        <w:rPr>
          <w:rFonts w:ascii="Calibri" w:cs="Calibri" w:eastAsia="Calibri" w:hAnsi="Calibri"/>
          <w:b/>
          <w:bCs/>
          <w:color w:val="2F5D8A"/>
          <w:sz w:val="25"/>
          <w:szCs w:val="25"/>
        </w:rPr>
        <w:t xml:space="preserve">A. Strategy and collaboration</w:t>
      </w:r>
    </w:p>
    <w:p>
      <w:pPr>
        <w:pStyle w:val="Heading3"/>
        <w:spacing w:after="70" w:before="160"/>
      </w:pPr>
      <w:r>
        <w:rPr>
          <w:rFonts w:ascii="Calibri" w:cs="Calibri" w:eastAsia="Calibri" w:hAnsi="Calibri"/>
          <w:b/>
          <w:bCs/>
          <w:color w:val="1F2A44"/>
          <w:sz w:val="22"/>
          <w:szCs w:val="22"/>
        </w:rPr>
        <w:t xml:space="preserve">A1. How would you set up this workstream in your first 100 days?</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Structure, realism, and whether you would start with the teams rather than around them.</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I would start with one collaboration done properly rather than four done thinly, and that should be quantum. In the first month I would listen and map: meet the quantum, autonomous mobility and robotics, biotechnology and planetary-systems teams, the Centres for AI Excellence and Cybersecurity, and the GRIP team; inventory what each has already produced; and map the regulators and decision windows around each technology.</w:t>
      </w:r>
    </w:p>
    <w:p>
      <w:pPr>
        <w:spacing w:after="140" w:line="276"/>
        <w:jc w:val="both"/>
      </w:pPr>
      <w:r>
        <w:rPr>
          <w:rFonts w:ascii="Georgia" w:cs="Georgia" w:eastAsia="Georgia" w:hAnsi="Georgia"/>
          <w:color w:val="1A1A1A"/>
          <w:sz w:val="21"/>
          <w:szCs w:val="21"/>
        </w:rPr>
        <w:t xml:space="preserve">In the second month I would agree a short collaboration charter with the quantum team (scope, who leads what, decision rights and credit), choose one priority governance question with them, and secure an anchor regulator. My hypothesis is that the question is coherence of the quantum-safe transition beyond finance and across jurisdictions, building on the team’s 2024 work with the UK FCA, but the team owns its agenda, so I would test that.</w:t>
      </w:r>
    </w:p>
    <w:p>
      <w:pPr>
        <w:spacing w:after="140" w:line="276"/>
        <w:jc w:val="both"/>
      </w:pPr>
      <w:r>
        <w:rPr>
          <w:rFonts w:ascii="Georgia" w:cs="Georgia" w:eastAsia="Georgia" w:hAnsi="Georgia"/>
          <w:color w:val="1A1A1A"/>
          <w:sz w:val="21"/>
          <w:szCs w:val="21"/>
        </w:rPr>
        <w:t xml:space="preserve">In the third month I would run the first working session and start the knowledge product, while documenting the method as I go, so the second team collaboration starts from a template rather than a blank page. Case 1 sets this out in full.</w:t>
      </w:r>
    </w:p>
    <w:p>
      <w:pPr>
        <w:spacing w:after="140" w:line="276"/>
        <w:jc w:val="both"/>
      </w:pPr>
      <w:r>
        <w:rPr>
          <w:rFonts w:ascii="Georgia" w:cs="Georgia" w:eastAsia="Georgia" w:hAnsi="Georgia"/>
          <w:b/>
          <w:bCs/>
          <w:color w:val="1A1A1A"/>
          <w:sz w:val="21"/>
          <w:szCs w:val="21"/>
        </w:rPr>
        <w:t xml:space="preserve">Avoid:</w:t>
      </w:r>
      <w:r>
        <w:rPr>
          <w:rFonts w:ascii="Georgia" w:cs="Georgia" w:eastAsia="Georgia" w:hAnsi="Georgia"/>
          <w:color w:val="1A1A1A"/>
          <w:sz w:val="21"/>
          <w:szCs w:val="21"/>
        </w:rPr>
        <w:t xml:space="preserve"> A plan that starts with external events before the internal partnership is agreed.</w:t>
      </w:r>
    </w:p>
    <w:p>
      <w:pPr>
        <w:pStyle w:val="Heading3"/>
        <w:spacing w:after="70" w:before="160"/>
      </w:pPr>
      <w:r>
        <w:rPr>
          <w:rFonts w:ascii="Calibri" w:cs="Calibri" w:eastAsia="Calibri" w:hAnsi="Calibri"/>
          <w:b/>
          <w:bCs/>
          <w:color w:val="1F2A44"/>
          <w:sz w:val="22"/>
          <w:szCs w:val="22"/>
        </w:rPr>
        <w:t xml:space="preserve">A2. What is your vision for this workstream, and what does success look like by May 2027?</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Whether you can think beyond activities to a durable change.</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The vision is that governance becomes part of how the Forum’s frontier-technology programmes are designed, rather than an afterthought, and that the Forum becomes the place where jurisdictions compare notes on governing frontier technologies. By May 2027, success would be concrete: a collaboration with the quantum team that has produced a regulator-facing output with a named regulator community behind it; a second collaboration under way, most likely with autonomous mobility and robotics given the team’s 2026 work on regulatory diversity; and a documented method the Forum can keep using after my contract ends. I would measure adoption and outcomes, for instance regulators or companies using the output, rather than the number of meetings held.</w:t>
      </w:r>
    </w:p>
    <w:p>
      <w:pPr>
        <w:pStyle w:val="Heading3"/>
        <w:spacing w:after="70" w:before="160"/>
      </w:pPr>
      <w:r>
        <w:rPr>
          <w:rFonts w:ascii="Calibri" w:cs="Calibri" w:eastAsia="Calibri" w:hAnsi="Calibri"/>
          <w:b/>
          <w:bCs/>
          <w:color w:val="1F2A44"/>
          <w:sz w:val="22"/>
          <w:szCs w:val="22"/>
        </w:rPr>
        <w:t xml:space="preserve">A3. How would you work with the quantum team without becoming an extra layer?</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Matrix instinct and humility towards technical teams.</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By making their work more useful rather than adding process. The quantum team owns the technology agenda and its community; I would bring three things it does not have in-house: a regulator network through GRIP, a cross-jurisdiction view of how rules are diverging, and the craft of turning technical findings into something a supervisor can act on. Practically, that means co-owning a defined piece of work, crediting the team in everything external, joining their existing community rather than creating a parallel one, and agreeing at the start how decisions are made. If I cannot show value in their terms within a few months, I would be the extra layer, and I should be told so.</w:t>
      </w:r>
    </w:p>
    <w:p>
      <w:pPr>
        <w:spacing w:after="140" w:line="276"/>
        <w:jc w:val="both"/>
      </w:pPr>
      <w:r>
        <w:rPr>
          <w:rFonts w:ascii="Georgia" w:cs="Georgia" w:eastAsia="Georgia" w:hAnsi="Georgia"/>
          <w:b/>
          <w:bCs/>
          <w:color w:val="1A1A1A"/>
          <w:sz w:val="21"/>
          <w:szCs w:val="21"/>
        </w:rPr>
        <w:t xml:space="preserve">Avoid:</w:t>
      </w:r>
      <w:r>
        <w:rPr>
          <w:rFonts w:ascii="Georgia" w:cs="Georgia" w:eastAsia="Georgia" w:hAnsi="Georgia"/>
          <w:color w:val="1A1A1A"/>
          <w:sz w:val="21"/>
          <w:szCs w:val="21"/>
        </w:rPr>
        <w:t xml:space="preserve"> Positioning yourself as the team’s governance supervisor.</w:t>
      </w:r>
    </w:p>
    <w:p>
      <w:pPr>
        <w:pStyle w:val="Heading3"/>
        <w:spacing w:after="70" w:before="160"/>
      </w:pPr>
      <w:r>
        <w:rPr>
          <w:rFonts w:ascii="Calibri" w:cs="Calibri" w:eastAsia="Calibri" w:hAnsi="Calibri"/>
          <w:b/>
          <w:bCs/>
          <w:color w:val="1F2A44"/>
          <w:sz w:val="22"/>
          <w:szCs w:val="22"/>
        </w:rPr>
        <w:t xml:space="preserve">A4. The JD talks about integrating regulatory thinking early in technology development and programme design. What does that mean in practice?</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Whether you can turn a phrase into a method.</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It does not mean regulating early; it means asking the governance questions while choices are still open. Concretely, when a Forum technology programme is being scoped I would want six questions answered: which regulators have or will claim jurisdiction; which governance questions are live now and which will be in three to five years; where jurisdictions are already diverging; what evidence regulators would need to act well, and whether the programme could generate it; who is missing from the community (regulators, legal and compliance leaders, civil society, the Global South); and what a practical output for regulators would look like and how it would reach them. For quantum today, the live question is the security transition; quantum sensing is the next one and has almost no governance framework, which is exactly where early integration pays off.</w:t>
      </w:r>
    </w:p>
    <w:p>
      <w:pPr>
        <w:pStyle w:val="Heading3"/>
        <w:spacing w:after="70" w:before="160"/>
      </w:pPr>
      <w:r>
        <w:rPr>
          <w:rFonts w:ascii="Calibri" w:cs="Calibri" w:eastAsia="Calibri" w:hAnsi="Calibri"/>
          <w:b/>
          <w:bCs/>
          <w:color w:val="1F2A44"/>
          <w:sz w:val="22"/>
          <w:szCs w:val="22"/>
        </w:rPr>
        <w:t xml:space="preserve">A5. There are four technology teams and one of you. How do you prioritise?</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Prioritisation with explicit criteria, which consultants value highly.</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I would use four criteria: a live decision window, when regulators are actually deciding something; existing regulatory-facing work to build on; a willing team and at least one regulator ready to engage; and replicability, meaning the lessons transfer to the next team. On those criteria quantum comes first: hard deadlines to 2035 and a precedent with the FCA. Autonomous mobility and robotics comes second: the team’s 2026 paper already frames regulatory diversity as the problem, national rules are moving fast, and humanoid robots are arriving before any framework. Biotechnology is third, where the AI-bio convergence would also involve the Centre for AI Excellence. For planetary systems I would stay light-touch until its scope and decision windows are clearer. The trade-off is depth over breadth, which I think is right for a build phase.</w:t>
      </w:r>
    </w:p>
    <w:p>
      <w:pPr>
        <w:pStyle w:val="Heading2"/>
        <w:spacing w:after="100" w:before="220"/>
      </w:pPr>
      <w:r>
        <w:rPr>
          <w:rFonts w:ascii="Calibri" w:cs="Calibri" w:eastAsia="Calibri" w:hAnsi="Calibri"/>
          <w:b/>
          <w:bCs/>
          <w:color w:val="2F5D8A"/>
          <w:sz w:val="25"/>
          <w:szCs w:val="25"/>
        </w:rPr>
        <w:t xml:space="preserve">B. Thought leadership and content</w:t>
      </w:r>
    </w:p>
    <w:p>
      <w:pPr>
        <w:pStyle w:val="Heading3"/>
        <w:spacing w:after="70" w:before="160"/>
      </w:pPr>
      <w:r>
        <w:rPr>
          <w:rFonts w:ascii="Calibri" w:cs="Calibri" w:eastAsia="Calibri" w:hAnsi="Calibri"/>
          <w:b/>
          <w:bCs/>
          <w:color w:val="1F2A44"/>
          <w:sz w:val="22"/>
          <w:szCs w:val="22"/>
        </w:rPr>
        <w:t xml:space="preserve">B1. What would be the first knowledge product you would develop with the quantum team, and why?</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Judgement about what the Forum should publish and why it would matter.</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My hypothesis would be a regulator-facing output on coherence in the quantum-safe transition across jurisdictions and critical sectors. The reasoning: the direction is agreed (start now, finish by 2035), but dates, algorithm choices, hybrid requirements and supervisory expectations differ between the US, EU, UK and others, and the Forum’s existing regulator-facing work covers only finance with one regulator. The output could combine a crosswalk of national requirements, a small set of shared principles for supervisors in telecommunications, energy, health and government services, and practical guidance on the hard cases such as long-lived devices. It should be co-developed with a working group of cybersecurity agencies, sector regulators and legal and compliance leaders, and timed to the decision windows: EU member states starting by end-2026, UK discovery by 2028. I would test all of this with the quantum team first; they may see a sharper gap.</w:t>
      </w:r>
    </w:p>
    <w:p>
      <w:pPr>
        <w:spacing w:after="140" w:line="276"/>
        <w:jc w:val="both"/>
      </w:pPr>
      <w:r>
        <w:rPr>
          <w:rFonts w:ascii="Georgia" w:cs="Georgia" w:eastAsia="Georgia" w:hAnsi="Georgia"/>
          <w:b/>
          <w:bCs/>
          <w:color w:val="1A1A1A"/>
          <w:sz w:val="21"/>
          <w:szCs w:val="21"/>
        </w:rPr>
        <w:t xml:space="preserve">Avoid:</w:t>
      </w:r>
      <w:r>
        <w:rPr>
          <w:rFonts w:ascii="Georgia" w:cs="Georgia" w:eastAsia="Georgia" w:hAnsi="Georgia"/>
          <w:color w:val="1A1A1A"/>
          <w:sz w:val="21"/>
          <w:szCs w:val="21"/>
        </w:rPr>
        <w:t xml:space="preserve"> Proposing a generic ‘state of quantum’ report the Forum already has variants of.</w:t>
      </w:r>
    </w:p>
    <w:p>
      <w:pPr>
        <w:pStyle w:val="Heading3"/>
        <w:spacing w:after="70" w:before="160"/>
      </w:pPr>
      <w:r>
        <w:rPr>
          <w:rFonts w:ascii="Calibri" w:cs="Calibri" w:eastAsia="Calibri" w:hAnsi="Calibri"/>
          <w:b/>
          <w:bCs/>
          <w:color w:val="1F2A44"/>
          <w:sz w:val="22"/>
          <w:szCs w:val="22"/>
        </w:rPr>
        <w:t xml:space="preserve">B2. How do you make a knowledge product action-oriented rather than something that sits on a shelf?</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Understanding of adoption, not just authorship.</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Five conditions. Co-design with the people who will use it, including regulators, from the start rather than at launch. Timing to a real decision, such as a strategy being drafted or a deadline approaching. Specificity: checklists, model approaches, worked cases, rather than analysis alone. A route to adoption: a government counterpart, a C4IR pilot or a community that will carry it. And a handover plan so it has an owner after launch. The Space Sustainability Rating is a good precedent: incubated by the Forum and now run independently by EPFL.</w:t>
      </w:r>
    </w:p>
    <w:p>
      <w:pPr>
        <w:pStyle w:val="Heading3"/>
        <w:spacing w:after="70" w:before="160"/>
      </w:pPr>
      <w:r>
        <w:rPr>
          <w:rFonts w:ascii="Calibri" w:cs="Calibri" w:eastAsia="Calibri" w:hAnsi="Calibri"/>
          <w:b/>
          <w:bCs/>
          <w:color w:val="1F2A44"/>
          <w:sz w:val="22"/>
          <w:szCs w:val="22"/>
        </w:rPr>
        <w:t xml:space="preserve">B3. How would you keep track of global regulatory and technology developments across four domains?</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Whether you have a system.</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A light but disciplined system with three layers. Structured sources: regulator and standards-body outputs (NIST, ENISA, national cybersecurity agencies, UNECE, the EU and national legislatures), specialist trackers, and the teams’ own communities. People: a small network of regulators and practitioners per domain who will tell me what is coming before it is published, which is where the Forum’s communities are an advantage. And a cadence: a short monthly horizon note per domain for the teams, flagging decisions coming up in the next six to twelve months, because the aim is to catch decision windows, not to summarise news.</w:t>
      </w:r>
    </w:p>
    <w:p>
      <w:pPr>
        <w:pStyle w:val="Heading3"/>
        <w:spacing w:after="70" w:before="160"/>
      </w:pPr>
      <w:r>
        <w:rPr>
          <w:rFonts w:ascii="Calibri" w:cs="Calibri" w:eastAsia="Calibri" w:hAnsi="Calibri"/>
          <w:b/>
          <w:bCs/>
          <w:color w:val="1F2A44"/>
          <w:sz w:val="22"/>
          <w:szCs w:val="22"/>
        </w:rPr>
        <w:t xml:space="preserve">B4. In 2025 a Google researcher estimated RSA-2048 could be broken with under a million qubits. What does that mean for a government?</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Translating a technical development into governance insight.</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Three things. First, the resource estimate has fallen twentyfold in six years (from about 20 million qubits in 2019), so the planning assumption should be that the threshold keeps falling; no such machine exists today, but the trend matters more than the current state. Second, it does not change what governments must do, it changes the urgency: by Mosca’s theorem, if data must stay secret for twenty years and migration takes ten, you are already late, and harvest-now-decrypt-later means data taken today is at risk. Third, the practical response is to fund and enforce the migration they have already announced: cryptographic inventories now, priority systems by around 2030, and attention to long-lived infrastructure and to sectors with weak capacity. The governance lesson is to plan to deadlines, not to predictions of Q-Day.</w:t>
      </w:r>
    </w:p>
    <w:p>
      <w:pPr>
        <w:pStyle w:val="Heading2"/>
        <w:spacing w:after="100" w:before="220"/>
      </w:pPr>
      <w:r>
        <w:rPr>
          <w:rFonts w:ascii="Calibri" w:cs="Calibri" w:eastAsia="Calibri" w:hAnsi="Calibri"/>
          <w:b/>
          <w:bCs/>
          <w:color w:val="2F5D8A"/>
          <w:sz w:val="25"/>
          <w:szCs w:val="25"/>
        </w:rPr>
        <w:t xml:space="preserve">C. Partnerships and stakeholder engagement</w:t>
      </w:r>
    </w:p>
    <w:p>
      <w:pPr>
        <w:pStyle w:val="Heading3"/>
        <w:spacing w:after="70" w:before="160"/>
      </w:pPr>
      <w:r>
        <w:rPr>
          <w:rFonts w:ascii="Calibri" w:cs="Calibri" w:eastAsia="Calibri" w:hAnsi="Calibri"/>
          <w:b/>
          <w:bCs/>
          <w:color w:val="1F2A44"/>
          <w:sz w:val="22"/>
          <w:szCs w:val="22"/>
        </w:rPr>
        <w:t xml:space="preserve">C1. How would you build the multistakeholder community for this work? Who comes first?</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Whether you understand sequencing of commitments.</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I would sequence it rather than invite everyone at once. First, one or two anchor regulators willing to co-lead, because companies engage seriously when regulators are in the room. Second, companies that bear the cost of fragmentation, represented by both technical leaders and their chief legal and compliance officers. Third, the technical community and standards bodies, so the work stays grounded. Fourth, civil society and under-represented jurisdictions, including from the Global South, early enough to shape the work, not just review it. Where possible I would build on the quantum team’s existing network rather than create a parallel one. This is the same logic I used when advising on the sequencing of new platforms in the Gulf: identify the first commitments that make the others follow.</w:t>
      </w:r>
    </w:p>
    <w:p>
      <w:pPr>
        <w:pStyle w:val="Heading3"/>
        <w:spacing w:after="70" w:before="160"/>
      </w:pPr>
      <w:r>
        <w:rPr>
          <w:rFonts w:ascii="Calibri" w:cs="Calibri" w:eastAsia="Calibri" w:hAnsi="Calibri"/>
          <w:b/>
          <w:bCs/>
          <w:color w:val="1F2A44"/>
          <w:sz w:val="22"/>
          <w:szCs w:val="22"/>
        </w:rPr>
        <w:t xml:space="preserve">C2. What do Chief Legal Officers and Chief Compliance Officers want from work like this, and how would you engage them?</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Understanding of the JD’s named communities.</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They want predictability and early warning: what regulators will expect, by when, and how requirements differ across the markets they operate in. They also want a credible channel to explain implementation realities to regulators. So the offer to them is a seat in shaping regulator-facing outputs, early sight of emerging expectations, and peer exchange with counterparts facing the same problem. I would engage them through the Forum’s existing CLO and CCO communities, with a focused ask tied to a live issue, such as how to evidence post-quantum readiness to supervisors, rather than a general invitation.</w:t>
      </w:r>
    </w:p>
    <w:p>
      <w:pPr>
        <w:pStyle w:val="Heading3"/>
        <w:spacing w:after="70" w:before="160"/>
      </w:pPr>
      <w:r>
        <w:rPr>
          <w:rFonts w:ascii="Calibri" w:cs="Calibri" w:eastAsia="Calibri" w:hAnsi="Calibri"/>
          <w:b/>
          <w:bCs/>
          <w:color w:val="1F2A44"/>
          <w:sz w:val="22"/>
          <w:szCs w:val="22"/>
        </w:rPr>
        <w:t xml:space="preserve">C3. How would you design a high-level dialogue that produces an outcome rather than a conversation?</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Convening craft.</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Design backwards from the decision. Before the session, agree the specific outcome wanted and who can commit to it; circulate a short draft (principles, options or a proposal) so the discussion reacts to something concrete; and make sure the people in the room can actually decide or commit. In the session, spend most of the time on the one or two contested points, not on presentations. Afterwards, send a written summary of what was agreed within days, with owners and a follow-up date. A dialogue without a draft on the table and a follow-up mechanism is a conversation.</w:t>
      </w:r>
    </w:p>
    <w:p>
      <w:pPr>
        <w:pStyle w:val="Heading3"/>
        <w:spacing w:after="70" w:before="160"/>
      </w:pPr>
      <w:r>
        <w:rPr>
          <w:rFonts w:ascii="Calibri" w:cs="Calibri" w:eastAsia="Calibri" w:hAnsi="Calibri"/>
          <w:b/>
          <w:bCs/>
          <w:color w:val="1F2A44"/>
          <w:sz w:val="22"/>
          <w:szCs w:val="22"/>
        </w:rPr>
        <w:t xml:space="preserve">C4. How would you work with the C4IR network, for example the new Abu Dhabi Centre for Frontier Technologies?</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Understanding of how the Forum pilots with governments.</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The centres are where frameworks meet a real government. For quantum, the Abu Dhabi centre is a natural partner, since quantum is one of its focus areas, and the Saudi centre has already piloted the Quantum Economy Blueprint. I would involve them early, ask what their government counterparts are actually trying to decide, and aim for one pilot where a government applies the output in practice, for instance a national readiness assessment for the quantum-safe transition. Their experience then feeds back into the global work, which is how the model becomes replicable.</w:t>
      </w:r>
    </w:p>
    <w:p>
      <w:pPr>
        <w:pStyle w:val="Heading2"/>
        <w:spacing w:after="100" w:before="220"/>
      </w:pPr>
      <w:r>
        <w:rPr>
          <w:rFonts w:ascii="Calibri" w:cs="Calibri" w:eastAsia="Calibri" w:hAnsi="Calibri"/>
          <w:b/>
          <w:bCs/>
          <w:color w:val="2F5D8A"/>
          <w:sz w:val="25"/>
          <w:szCs w:val="25"/>
        </w:rPr>
        <w:t xml:space="preserve">D. Frontier-technology knowledge</w:t>
      </w:r>
    </w:p>
    <w:p>
      <w:pPr>
        <w:pStyle w:val="Heading3"/>
        <w:spacing w:after="70" w:before="160"/>
      </w:pPr>
      <w:r>
        <w:rPr>
          <w:rFonts w:ascii="Calibri" w:cs="Calibri" w:eastAsia="Calibri" w:hAnsi="Calibri"/>
          <w:b/>
          <w:bCs/>
          <w:color w:val="1F2A44"/>
          <w:sz w:val="22"/>
          <w:szCs w:val="22"/>
        </w:rPr>
        <w:t xml:space="preserve">D1. Explain the quantum threat to a General Counsel in two minutes.</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Clarity and accuracy for a non-technical senior audience.</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Almost all digital trust today, from secure websites and payments to digital signatures on contracts and software, relies on a type of encryption that a large enough quantum computer could break. That machine does not exist yet, and expert estimates of when it might range from roughly the early 2030s to much later. But there are two reasons to act now. First, data stolen today can be decrypted later, so anything that must stay confidential for years is already exposed. Second, replacing encryption across an organisation and its suppliers takes many years. Governments have set deadlines: the US, EU and UK expect high-risk systems migrated around 2030 and everything by 2035, and regulators will expect firms to show progress. For a General Counsel the practical questions are: do we know where we use this cryptography, have we asked our suppliers about their plans, and who owns this risk at board level?</w:t>
      </w:r>
    </w:p>
    <w:p>
      <w:pPr>
        <w:spacing w:after="140" w:line="276"/>
        <w:jc w:val="both"/>
      </w:pPr>
      <w:r>
        <w:rPr>
          <w:rFonts w:ascii="Georgia" w:cs="Georgia" w:eastAsia="Georgia" w:hAnsi="Georgia"/>
          <w:b/>
          <w:bCs/>
          <w:color w:val="1A1A1A"/>
          <w:sz w:val="21"/>
          <w:szCs w:val="21"/>
        </w:rPr>
        <w:t xml:space="preserve">Avoid:</w:t>
      </w:r>
      <w:r>
        <w:rPr>
          <w:rFonts w:ascii="Georgia" w:cs="Georgia" w:eastAsia="Georgia" w:hAnsi="Georgia"/>
          <w:color w:val="1A1A1A"/>
          <w:sz w:val="21"/>
          <w:szCs w:val="21"/>
        </w:rPr>
        <w:t xml:space="preserve"> Explaining qubits; the General Counsel needs exposure, timeline and actions.</w:t>
      </w:r>
    </w:p>
    <w:p>
      <w:pPr>
        <w:pStyle w:val="Heading3"/>
        <w:spacing w:after="70" w:before="160"/>
      </w:pPr>
      <w:r>
        <w:rPr>
          <w:rFonts w:ascii="Calibri" w:cs="Calibri" w:eastAsia="Calibri" w:hAnsi="Calibri"/>
          <w:b/>
          <w:bCs/>
          <w:color w:val="1F2A44"/>
          <w:sz w:val="22"/>
          <w:szCs w:val="22"/>
        </w:rPr>
        <w:t xml:space="preserve">D2. Quantum key distribution or post-quantum cryptography: what should governments back?</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Whether you know a real expert debate.</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For most purposes, post-quantum cryptography. It runs on existing hardware and networks, is standardised (NIST’s 2024 standards), and can be deployed at scale through software and firmware updates. QKD offers security grounded in physics but needs dedicated hardware, is limited in distance without trusted relay nodes, and still depends on classical methods for authentication, which is why the US NSA, the UK NCSC and France’s ANSSI treat it as a niche complement. China and parts of the EU are investing heavily in QKD infrastructure, so the honest answer is PQC as the backbone and QKD for specific high-value links, with the choice itself becoming a point of international divergence.</w:t>
      </w:r>
    </w:p>
    <w:p>
      <w:pPr>
        <w:pStyle w:val="Heading3"/>
        <w:spacing w:after="70" w:before="160"/>
      </w:pPr>
      <w:r>
        <w:rPr>
          <w:rFonts w:ascii="Calibri" w:cs="Calibri" w:eastAsia="Calibri" w:hAnsi="Calibri"/>
          <w:b/>
          <w:bCs/>
          <w:color w:val="1F2A44"/>
          <w:sz w:val="22"/>
          <w:szCs w:val="22"/>
        </w:rPr>
        <w:t xml:space="preserve">D3. Where is quantum computing really, and when will it matter commercially?</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Calibrated judgement rather than hype or dismissal.</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We are at the point where error correction has been shown to work. Google demonstrated in late 2024 that errors fall as the error-correcting code grows, and Quantinuum ran 48 error-corrected logical qubits in 2025. Published roadmaps target early fault-tolerant machines around 2029 to 2033, IBM’s being 200 logical qubits by 2029. Commercial value will come first in simulating chemistry and materials; optimisation claims should be treated cautiously. Investment reached about $12.6 billion in 2025 and quantum computing revenues passed $1 billion. So: real, accelerating, but most transformative applications are late-decade at the earliest, and security is the near-term governance issue.</w:t>
      </w:r>
    </w:p>
    <w:p>
      <w:pPr>
        <w:pStyle w:val="Heading3"/>
        <w:spacing w:after="70" w:before="160"/>
      </w:pPr>
      <w:r>
        <w:rPr>
          <w:rFonts w:ascii="Calibri" w:cs="Calibri" w:eastAsia="Calibri" w:hAnsi="Calibri"/>
          <w:b/>
          <w:bCs/>
          <w:color w:val="1F2A44"/>
          <w:sz w:val="22"/>
          <w:szCs w:val="22"/>
        </w:rPr>
        <w:t xml:space="preserve">D4. What is the most important governance issue in autonomous mobility and robotics right now?</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Whether your knowledge extends beyond quantum.</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Two, at different stages. For autonomous vehicles, it is shared safety learning across jurisdictions. Robotaxis now operate at real scale (Waymo around half a million paid rides a week in the US, Baidu hundreds of thousands in China), but each country is building its own approval, liability and data-reporting regime; the team’s 2026 paper frames exactly this move from regulatory diversity to shared learning, and aviation shows how powerful cross-border incident learning can be. For robotics, it is humanoid and general-purpose robots entering workplaces and homes before any framework exists; existing safety standards were written for fenced industrial robots. That is a textbook case for integrating governance early.</w:t>
      </w:r>
    </w:p>
    <w:p>
      <w:pPr>
        <w:pStyle w:val="Heading3"/>
        <w:spacing w:after="70" w:before="160"/>
      </w:pPr>
      <w:r>
        <w:rPr>
          <w:rFonts w:ascii="Calibri" w:cs="Calibri" w:eastAsia="Calibri" w:hAnsi="Calibri"/>
          <w:b/>
          <w:bCs/>
          <w:color w:val="1F2A44"/>
          <w:sz w:val="22"/>
          <w:szCs w:val="22"/>
        </w:rPr>
        <w:t xml:space="preserve">D5. What governance issue in biotechnology concerns you most?</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Judgement on a sensitive domain.</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The convergence of AI and biology. AI models can now design proteins and propose novel genetic sequences, which accelerates medicine and biomanufacturing but also lowers barriers to misuse, and DNA-synthesis screening was designed to catch known threats, not novel designs. The governance response has to connect three layers that are currently governed separately: safeguards in AI models, screening by synthesis providers, and verification of customers, across countries. It sits between the Forum’s biotechnology work and the Centre for AI Excellence, which is precisely the kind of convergence a cross-cutting workstream exists to handle.</w:t>
      </w:r>
    </w:p>
    <w:p>
      <w:pPr>
        <w:pStyle w:val="Heading3"/>
        <w:spacing w:after="70" w:before="160"/>
      </w:pPr>
      <w:r>
        <w:rPr>
          <w:rFonts w:ascii="Calibri" w:cs="Calibri" w:eastAsia="Calibri" w:hAnsi="Calibri"/>
          <w:b/>
          <w:bCs/>
          <w:color w:val="1F2A44"/>
          <w:sz w:val="22"/>
          <w:szCs w:val="22"/>
        </w:rPr>
        <w:t xml:space="preserve">D6. If you could only work on one technology convergence, which would it be?</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Strategic judgement and understanding of convergence.</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AI and biology, because the potential harm is severe, the capability is diffusing fast, and no single regulator or Forum team owns it. A close second is physical AI, the combination of AI and robotics, because deployment is accelerating and existing product-safety and liability regimes were not designed for machines that learn. I would sequence convergence work after the first single-technology collaboration is established, so it builds on relationships rather than starting from scratch.</w:t>
      </w:r>
    </w:p>
    <w:p>
      <w:pPr>
        <w:pStyle w:val="Heading2"/>
        <w:spacing w:after="100" w:before="220"/>
      </w:pPr>
      <w:r>
        <w:rPr>
          <w:rFonts w:ascii="Calibri" w:cs="Calibri" w:eastAsia="Calibri" w:hAnsi="Calibri"/>
          <w:b/>
          <w:bCs/>
          <w:color w:val="2F5D8A"/>
          <w:sz w:val="25"/>
          <w:szCs w:val="25"/>
        </w:rPr>
        <w:t xml:space="preserve">E. Fit and experience</w:t>
      </w:r>
    </w:p>
    <w:p>
      <w:pPr>
        <w:pStyle w:val="Heading3"/>
        <w:spacing w:after="70" w:before="160"/>
      </w:pPr>
      <w:r>
        <w:rPr>
          <w:rFonts w:ascii="Calibri" w:cs="Calibri" w:eastAsia="Calibri" w:hAnsi="Calibri"/>
          <w:b/>
          <w:bCs/>
          <w:color w:val="1F2A44"/>
          <w:sz w:val="22"/>
          <w:szCs w:val="22"/>
        </w:rPr>
        <w:t xml:space="preserve">E1. You don’t have a technical background in quantum or biotechnology. Why should we hire you?</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Self-awareness and a convincing case.</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Because the role does not need another technical specialist; the Forum’s technology teams already have that expertise. It needs someone who understands the technologies well enough to see the governance questions, and who can connect those teams to regulators, companies and governments and turn the result into something used. That is what I have done: comparative regulatory analysis across jurisdictions as a lawyer, implementation guidance for governments at the UN, positioning frontier biotechnology within NEOM’s regulatory regime, and designing multistakeholder platforms with senior government leaders. And I have made a point of learning the technical substance properly. I can explain why error correction matters, or why AI-designed proteins strain synthesis screening, which is what earns a technical team’s trust.</w:t>
      </w:r>
    </w:p>
    <w:p>
      <w:pPr>
        <w:pStyle w:val="Heading3"/>
        <w:spacing w:after="70" w:before="160"/>
      </w:pPr>
      <w:r>
        <w:rPr>
          <w:rFonts w:ascii="Calibri" w:cs="Calibri" w:eastAsia="Calibri" w:hAnsi="Calibri"/>
          <w:b/>
          <w:bCs/>
          <w:color w:val="1F2A44"/>
          <w:sz w:val="22"/>
          <w:szCs w:val="22"/>
        </w:rPr>
        <w:t xml:space="preserve">E2. Tell us about something you built from concept to implementation.</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Entrepreneurial track record (a JD requirement). Consultants will probe the detail.</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Use your strongest real example: advising on the design and sequencing of one flagship platform at FGS, or building your current workstream and community. Structure it as: the starting point and why nothing existed; the design choices you made (who to involve first, what to sequence, what to leave out); the obstacles and how you handled them; the result, with evidence; and what you would do differently. Speak in the first person and be ready for ten follow-up questions on specifics: what exactly you proposed, who resisted, how you decided.</w:t>
      </w:r>
    </w:p>
    <w:p>
      <w:pPr>
        <w:spacing w:after="140" w:line="276"/>
        <w:jc w:val="both"/>
      </w:pPr>
      <w:r>
        <w:rPr>
          <w:rFonts w:ascii="Georgia" w:cs="Georgia" w:eastAsia="Georgia" w:hAnsi="Georgia"/>
          <w:b/>
          <w:bCs/>
          <w:color w:val="1A1A1A"/>
          <w:sz w:val="21"/>
          <w:szCs w:val="21"/>
        </w:rPr>
        <w:t xml:space="preserve">Avoid:</w:t>
      </w:r>
      <w:r>
        <w:rPr>
          <w:rFonts w:ascii="Georgia" w:cs="Georgia" w:eastAsia="Georgia" w:hAnsi="Georgia"/>
          <w:color w:val="1A1A1A"/>
          <w:sz w:val="21"/>
          <w:szCs w:val="21"/>
        </w:rPr>
        <w:t xml:space="preserve"> Describing the organisation’s achievement rather than your own contribution.</w:t>
      </w:r>
    </w:p>
    <w:p>
      <w:pPr>
        <w:pStyle w:val="Heading3"/>
        <w:spacing w:after="70" w:before="160"/>
      </w:pPr>
      <w:r>
        <w:rPr>
          <w:rFonts w:ascii="Calibri" w:cs="Calibri" w:eastAsia="Calibri" w:hAnsi="Calibri"/>
          <w:b/>
          <w:bCs/>
          <w:color w:val="1F2A44"/>
          <w:sz w:val="22"/>
          <w:szCs w:val="22"/>
        </w:rPr>
        <w:t xml:space="preserve">E3. Tell us about a multistakeholder project that didn’t go to plan.</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Honesty, learning, resilience.</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Choose a genuine example where something stalled, a partner withdrew, or a convening failed to produce the outcome intended. Own your part of it clearly, explain what you learned, and show the specific thing you now do differently (for example, securing an anchor commitment before convening, or putting a written draft on the table). Panels trust candidates who can describe failure precisely.</w:t>
      </w:r>
    </w:p>
    <w:p>
      <w:pPr>
        <w:pStyle w:val="Heading3"/>
        <w:spacing w:after="70" w:before="160"/>
      </w:pPr>
      <w:r>
        <w:rPr>
          <w:rFonts w:ascii="Calibri" w:cs="Calibri" w:eastAsia="Calibri" w:hAnsi="Calibri"/>
          <w:b/>
          <w:bCs/>
          <w:color w:val="1F2A44"/>
          <w:sz w:val="22"/>
          <w:szCs w:val="22"/>
        </w:rPr>
        <w:t xml:space="preserve">E4. Can an organisation that doesn’t regulate, like the Forum, really shape regulation?</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Understanding of the Forum’s theory of change and its critics.</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Yes, but indirectly and only under conditions. The Forum shapes regulation by creating shared understanding before positions harden, by co-developing frameworks with regulators (the quantum security work with the FCA is an example), by showing regulators what other jurisdictions are doing, and by piloting approaches with governments through the C4IR network, as Rwanda did with performance-based drone rules. The critique is that multistakeholder processes can over-weight corporate voices; the answer is transparency, genuine inclusion of civil society and the Global South, and outputs that governments adopt through their own accountable processes. The Forum complements regulators; it does not substitute for them.</w:t>
      </w:r>
    </w:p>
    <w:p>
      <w:pPr>
        <w:pStyle w:val="Heading2"/>
        <w:spacing w:after="100" w:before="220"/>
      </w:pPr>
      <w:r>
        <w:rPr>
          <w:rFonts w:ascii="Calibri" w:cs="Calibri" w:eastAsia="Calibri" w:hAnsi="Calibri"/>
          <w:b/>
          <w:bCs/>
          <w:color w:val="2F5D8A"/>
          <w:sz w:val="25"/>
          <w:szCs w:val="25"/>
        </w:rPr>
        <w:t xml:space="preserve">F. Judgement curveballs</w:t>
      </w:r>
    </w:p>
    <w:p>
      <w:pPr>
        <w:pStyle w:val="Heading3"/>
        <w:spacing w:after="70" w:before="160"/>
      </w:pPr>
      <w:r>
        <w:rPr>
          <w:rFonts w:ascii="Calibri" w:cs="Calibri" w:eastAsia="Calibri" w:hAnsi="Calibri"/>
          <w:b/>
          <w:bCs/>
          <w:color w:val="1F2A44"/>
          <w:sz w:val="22"/>
          <w:szCs w:val="22"/>
        </w:rPr>
        <w:t xml:space="preserve">F1. The quantum team tells you they don’t need a regulatory person. What do you do?</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Resilience and matrix skill.</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I would take it seriously rather than argue. First, understand why: perhaps they feel they already cover regulators, or they have had a poor experience of ‘help’ that added work. Then offer something small and concrete that is clearly useful to them, for example a map of how post-quantum requirements differ across jurisdictions, or an introduction to regulators they have not reached. If that proves valuable, the collaboration follows; if it does not, I have learned where the real need is. I would also make sure the Head of Digital Inclusion and the team’s leadership agree on the purpose of the collaboration, so it is not left to persuasion alone.</w:t>
      </w:r>
    </w:p>
    <w:p>
      <w:pPr>
        <w:pStyle w:val="Heading3"/>
        <w:spacing w:after="70" w:before="160"/>
      </w:pPr>
      <w:r>
        <w:rPr>
          <w:rFonts w:ascii="Calibri" w:cs="Calibri" w:eastAsia="Calibri" w:hAnsi="Calibri"/>
          <w:b/>
          <w:bCs/>
          <w:color w:val="1F2A44"/>
          <w:sz w:val="22"/>
          <w:szCs w:val="22"/>
        </w:rPr>
        <w:t xml:space="preserve">F2. A partner company wants to use a Forum dialogue to argue against a proposed regulation. How do you handle it?</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Integrity and neutrality.</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The dialogue is a space for evidence and exchange, not advocacy for one member. I would welcome the company’s evidence on implementation costs or unintended effects, because regulators need that, but make sure it is heard alongside other perspectives and that no output presents one company’s position as the community’s view. If the aim is purely lobbying, I would say clearly that the Forum is not the right channel. The Forum’s value to regulators depends on being trusted as neutral.</w:t>
      </w:r>
    </w:p>
    <w:p>
      <w:pPr>
        <w:pStyle w:val="Heading3"/>
        <w:spacing w:after="70" w:before="160"/>
      </w:pPr>
      <w:r>
        <w:rPr>
          <w:rFonts w:ascii="Calibri" w:cs="Calibri" w:eastAsia="Calibri" w:hAnsi="Calibri"/>
          <w:b/>
          <w:bCs/>
          <w:color w:val="1F2A44"/>
          <w:sz w:val="22"/>
          <w:szCs w:val="22"/>
        </w:rPr>
        <w:t xml:space="preserve">F3. A government asks the Forum to endorse its national quantum regulation. What do you advise?</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Understanding of the Forum’s role and limits, including sensitivity to partners.</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The Forum does not endorse national regulation; doing so would compromise its neutrality with other governments. But there are valuable things it can do: help the government benchmark its approach against other jurisdictions, bring its regulators into the community so its experience informs others, and, if appropriate, support a pilot through a C4IR centre. I would propose that, and make sure the answer is given carefully and early, particularly with a close partner.</w:t>
      </w:r>
    </w:p>
    <w:p>
      <w:pPr>
        <w:pStyle w:val="Heading3"/>
        <w:spacing w:after="70" w:before="160"/>
      </w:pPr>
      <w:r>
        <w:rPr>
          <w:rFonts w:ascii="Calibri" w:cs="Calibri" w:eastAsia="Calibri" w:hAnsi="Calibri"/>
          <w:b/>
          <w:bCs/>
          <w:color w:val="1F2A44"/>
          <w:sz w:val="22"/>
          <w:szCs w:val="22"/>
        </w:rPr>
        <w:t xml:space="preserve">F4. What would you not do in this role?</w:t>
      </w:r>
    </w:p>
    <w:p>
      <w:pPr>
        <w:spacing w:after="140" w:line="276"/>
        <w:jc w:val="both"/>
      </w:pPr>
      <w:r>
        <w:rPr>
          <w:rFonts w:ascii="Georgia" w:cs="Georgia" w:eastAsia="Georgia" w:hAnsi="Georgia"/>
          <w:b/>
          <w:bCs/>
          <w:color w:val="1A1A1A"/>
          <w:sz w:val="21"/>
          <w:szCs w:val="21"/>
        </w:rPr>
        <w:t xml:space="preserve">What they are testing:</w:t>
      </w:r>
      <w:r>
        <w:rPr>
          <w:rFonts w:ascii="Georgia" w:cs="Georgia" w:eastAsia="Georgia" w:hAnsi="Georgia"/>
          <w:color w:val="1A1A1A"/>
          <w:sz w:val="21"/>
          <w:szCs w:val="21"/>
        </w:rPr>
        <w:t xml:space="preserve"> Focus and a clear view of scope.</w:t>
      </w:r>
    </w:p>
    <w:p>
      <w:pPr>
        <w:spacing w:after="140" w:line="276"/>
        <w:jc w:val="both"/>
      </w:pPr>
      <w:r>
        <w:rPr>
          <w:rFonts w:ascii="Georgia" w:cs="Georgia" w:eastAsia="Georgia" w:hAnsi="Georgia"/>
          <w:b/>
          <w:bCs/>
          <w:color w:val="1A1A1A"/>
          <w:sz w:val="21"/>
          <w:szCs w:val="21"/>
        </w:rPr>
        <w:t xml:space="preserve">Model answer:</w:t>
      </w:r>
      <w:r>
        <w:rPr>
          <w:rFonts w:ascii="Georgia" w:cs="Georgia" w:eastAsia="Georgia" w:hAnsi="Georgia"/>
          <w:color w:val="1A1A1A"/>
          <w:sz w:val="21"/>
          <w:szCs w:val="21"/>
        </w:rPr>
        <w:t xml:space="preserve"> I would not write regulation or design regulatory instruments for governments; that is their role. I would not build GRIP’s index or flagship paper, which sit with the core team. I would not try to be the technical expert in each domain. And I would not start four collaborations at once. Saying no to those is what makes it possible to do the job well in a limited time.</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B3 · Case Studies</w:t>
      </w:r>
    </w:p>
    <w:p>
      <w:pPr>
        <w:spacing w:after="200" w:line="288"/>
      </w:pPr>
      <w:r>
        <w:rPr>
          <w:rFonts w:ascii="Georgia" w:cs="Georgia" w:eastAsia="Georgia" w:hAnsi="Georgia"/>
          <w:i/>
          <w:iCs/>
          <w:color w:val="55606E"/>
          <w:sz w:val="22"/>
          <w:szCs w:val="22"/>
        </w:rPr>
        <w:t xml:space="preserve">The panel is likely to pose at least one ‘how would you approach…’ case, and may ask for a written or presented exercise. Case 1 is written as a complete work product, at the standard you would submit. Cases 2 to 4 are shorter, structured answers to the other most likely prompts.</w:t>
      </w:r>
    </w:p>
    <w:p>
      <w:pPr>
        <w:pStyle w:val="Heading2"/>
        <w:spacing w:after="100" w:before="220"/>
      </w:pPr>
      <w:r>
        <w:rPr>
          <w:rFonts w:ascii="Calibri" w:cs="Calibri" w:eastAsia="Calibri" w:hAnsi="Calibri"/>
          <w:b/>
          <w:bCs/>
          <w:color w:val="2F5D8A"/>
          <w:sz w:val="25"/>
          <w:szCs w:val="25"/>
        </w:rPr>
        <w:t xml:space="preserve">Case 1 · Designing the First GRIP × Quantum Collaboration</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“Your first collaboration will be with the quantum team. How would you design it?”</w:t>
      </w:r>
    </w:p>
    <w:p>
      <w:pPr>
        <w:pStyle w:val="Heading3"/>
        <w:spacing w:after="70" w:before="160"/>
      </w:pPr>
      <w:r>
        <w:rPr>
          <w:rFonts w:ascii="Calibri" w:cs="Calibri" w:eastAsia="Calibri" w:hAnsi="Calibri"/>
          <w:b/>
          <w:bCs/>
          <w:color w:val="1F2A44"/>
          <w:sz w:val="22"/>
          <w:szCs w:val="22"/>
        </w:rPr>
        <w:t xml:space="preserve">Purpose of this document</w:t>
      </w:r>
    </w:p>
    <w:p>
      <w:pPr>
        <w:spacing w:after="140" w:line="276"/>
        <w:jc w:val="both"/>
      </w:pPr>
      <w:r>
        <w:rPr>
          <w:rFonts w:ascii="Georgia" w:cs="Georgia" w:eastAsia="Georgia" w:hAnsi="Georgia"/>
          <w:color w:val="1A1A1A"/>
          <w:sz w:val="21"/>
          <w:szCs w:val="21"/>
        </w:rPr>
        <w:t xml:space="preserve">This document sets out the architecture of the first collaboration between GRIP’s frontier-technology workstream and the Forum’s quantum technologies team. It provides: (1) the governing principles for the collaboration; (2) a phased framework fitted to the contract period to May 2027; (3) a map of the dependencies that determine sequencing; (4) the transition logic specifying when GRIP’s role steps back and who owns each element afterwards; and (5) the feedback architecture that turns this collaboration into the template for the other frontier-technology teams. It is not a work plan for the quantum team; the team owns its agenda and its community. It is the design that makes the collaboration add value rather than a parallel activity.</w:t>
      </w:r>
    </w:p>
    <w:p>
      <w:pPr>
        <w:pStyle w:val="Heading3"/>
        <w:spacing w:after="70" w:before="160"/>
      </w:pPr>
      <w:r>
        <w:rPr>
          <w:rFonts w:ascii="Calibri" w:cs="Calibri" w:eastAsia="Calibri" w:hAnsi="Calibri"/>
          <w:b/>
          <w:bCs/>
          <w:color w:val="1F2A44"/>
          <w:sz w:val="22"/>
          <w:szCs w:val="22"/>
        </w:rPr>
        <w:t xml:space="preserve">1. Governing principles</w:t>
      </w:r>
    </w:p>
    <w:p>
      <w:pPr>
        <w:spacing w:after="140" w:line="276"/>
        <w:jc w:val="both"/>
      </w:pPr>
      <w:r>
        <w:rPr>
          <w:rFonts w:ascii="Georgia" w:cs="Georgia" w:eastAsia="Georgia" w:hAnsi="Georgia"/>
          <w:b/>
          <w:bCs/>
          <w:color w:val="1A1A1A"/>
          <w:sz w:val="21"/>
          <w:szCs w:val="21"/>
        </w:rPr>
        <w:t xml:space="preserve">First: build on what exists, and fill the gap it leaves.</w:t>
      </w:r>
      <w:r>
        <w:rPr>
          <w:rFonts w:ascii="Georgia" w:cs="Georgia" w:eastAsia="Georgia" w:hAnsi="Georgia"/>
          <w:color w:val="1A1A1A"/>
          <w:sz w:val="21"/>
          <w:szCs w:val="21"/>
        </w:rPr>
        <w:t xml:space="preserve"> The quantum team has a coherent body of work: principles (2022), an organisational readiness toolkit (2023), regulator-facing work with the UK Financial Conduct Authority on the financial sector (2024), a national strategy blueprint piloted in Saudi Arabia (2024), and industrial use cases (2025). The collaboration should extend that work where it stops, not restart it. The clearest gap is regulatory coherence beyond one sector and one jurisdiction: the quantum-safe transition now has published deadlines in the US, EU and UK, but diverging requirements, and critical sectors other than finance have little regulator-facing guidance.</w:t>
      </w:r>
    </w:p>
    <w:p>
      <w:pPr>
        <w:spacing w:after="140" w:line="276"/>
        <w:jc w:val="both"/>
      </w:pPr>
      <w:r>
        <w:rPr>
          <w:rFonts w:ascii="Georgia" w:cs="Georgia" w:eastAsia="Georgia" w:hAnsi="Georgia"/>
          <w:b/>
          <w:bCs/>
          <w:color w:val="1A1A1A"/>
          <w:sz w:val="21"/>
          <w:szCs w:val="21"/>
        </w:rPr>
        <w:t xml:space="preserve">Second: anchor every output to a decision window.</w:t>
      </w:r>
      <w:r>
        <w:rPr>
          <w:rFonts w:ascii="Georgia" w:cs="Georgia" w:eastAsia="Georgia" w:hAnsi="Georgia"/>
          <w:color w:val="1A1A1A"/>
          <w:sz w:val="21"/>
          <w:szCs w:val="21"/>
        </w:rPr>
        <w:t xml:space="preserve"> Governance outputs are used when they arrive as regulators are deciding. The windows are known: EU member states are expected to begin their transition by the end of 2026; the UK expects discovery and planning complete by 2028; NIST plans to deprecate quantum-vulnerable algorithms after 2030. The collaboration’s timing, content and audience follow these windows, not the Forum’s publication calendar alone.</w:t>
      </w:r>
    </w:p>
    <w:p>
      <w:pPr>
        <w:spacing w:after="140" w:line="276"/>
        <w:jc w:val="both"/>
      </w:pPr>
      <w:r>
        <w:rPr>
          <w:rFonts w:ascii="Georgia" w:cs="Georgia" w:eastAsia="Georgia" w:hAnsi="Georgia"/>
          <w:b/>
          <w:bCs/>
          <w:color w:val="1A1A1A"/>
          <w:sz w:val="21"/>
          <w:szCs w:val="21"/>
        </w:rPr>
        <w:t xml:space="preserve">Third: design for replication from the first day.</w:t>
      </w:r>
      <w:r>
        <w:rPr>
          <w:rFonts w:ascii="Georgia" w:cs="Georgia" w:eastAsia="Georgia" w:hAnsi="Georgia"/>
          <w:color w:val="1A1A1A"/>
          <w:sz w:val="21"/>
          <w:szCs w:val="21"/>
        </w:rPr>
        <w:t xml:space="preserve"> This collaboration is the prototype for how GRIP works with every frontier-technology team. Each step (how the issue was chosen, how regulators were brought in, how the output was designed) must be documented as it happens, so that the second collaboration starts from a method rather than a blank page. A successful quantum output without a documented method would be a one-off; the method is the scalable model the JD asks for.</w:t>
      </w:r>
    </w:p>
    <w:p>
      <w:pPr>
        <w:pStyle w:val="Heading3"/>
        <w:spacing w:after="70" w:before="160"/>
      </w:pPr>
      <w:r>
        <w:rPr>
          <w:rFonts w:ascii="Calibri" w:cs="Calibri" w:eastAsia="Calibri" w:hAnsi="Calibri"/>
          <w:b/>
          <w:bCs/>
          <w:color w:val="1F2A44"/>
          <w:sz w:val="22"/>
          <w:szCs w:val="22"/>
        </w:rPr>
        <w:t xml:space="preserve">2. What the Lead produces, and what the Lead does not</w:t>
      </w:r>
    </w:p>
    <w:tbl>
      <w:tblPr>
        <w:tblW w:type="dxa" w:w="9360"/>
        <w:tblBorders>
          <w:top w:val="single" w:color="C9D3E0" w:sz="2"/>
          <w:left w:val="none"/>
          <w:bottom w:val="single" w:color="C9D3E0" w:sz="2"/>
          <w:right w:val="none"/>
          <w:insideH w:val="single" w:color="C9D3E0" w:sz="2"/>
          <w:insideV w:val="single" w:color="C9D3E0" w:sz="2"/>
        </w:tblBorders>
      </w:tblPr>
      <w:tblGrid>
        <w:gridCol w:w="4680"/>
        <w:gridCol w:w="4680"/>
      </w:tblGrid>
      <w:tr>
        <w:trPr>
          <w:tblHeader/>
        </w:trPr>
        <w:tc>
          <w:tcPr>
            <w:tcW w:type="dxa" w:w="468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The Lead produces</w:t>
            </w:r>
          </w:p>
        </w:tc>
        <w:tc>
          <w:tcPr>
            <w:tcW w:type="dxa" w:w="468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Owned by others</w:t>
            </w:r>
          </w:p>
        </w:tc>
      </w:tr>
      <w:tr>
        <w:tc>
          <w:tcPr>
            <w:tcW w:type="dxa" w:w="468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collaboration charter with the quantum team: scope, roles, decision rights, credit, and how the work enters the team’s programme.</w:t>
            </w:r>
          </w:p>
        </w:tc>
        <w:tc>
          <w:tcPr>
            <w:tcW w:type="dxa" w:w="468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technology agenda, technical content and the Quantum Economy Network: the quantum team.</w:t>
            </w:r>
          </w:p>
        </w:tc>
      </w:tr>
      <w:tr>
        <w:tc>
          <w:tcPr>
            <w:tcW w:type="dxa" w:w="468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governance issue map for quantum and a reasoned choice of the first priority question.</w:t>
            </w:r>
          </w:p>
        </w:tc>
        <w:tc>
          <w:tcPr>
            <w:tcW w:type="dxa" w:w="468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Regulation and supervisory expectations: governments and regulators.</w:t>
            </w:r>
          </w:p>
        </w:tc>
      </w:tr>
      <w:tr>
        <w:tc>
          <w:tcPr>
            <w:tcW w:type="dxa" w:w="468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stakeholder map with a sequence for bringing regulators, industry, legal and compliance leaders and under-represented jurisdictions into the work.</w:t>
            </w:r>
          </w:p>
        </w:tc>
        <w:tc>
          <w:tcPr>
            <w:tcW w:type="dxa" w:w="468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GRIP’s Regulatory Future Readiness Index and flagship paper: the core GRIP team.</w:t>
            </w:r>
          </w:p>
        </w:tc>
      </w:tr>
      <w:tr>
        <w:tc>
          <w:tcPr>
            <w:tcW w:type="dxa" w:w="468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co-designed knowledge product, jointly with the quantum team.</w:t>
            </w:r>
          </w:p>
        </w:tc>
        <w:tc>
          <w:tcPr>
            <w:tcW w:type="dxa" w:w="468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Cybersecurity expertise on cryptographic migration: shared with the Centre for Cybersecurity.</w:t>
            </w:r>
          </w:p>
        </w:tc>
      </w:tr>
      <w:tr>
        <w:tc>
          <w:tcPr>
            <w:tcW w:type="dxa" w:w="468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method note: the reusable approach for integrating regulatory thinking into a frontier-technology programme.</w:t>
            </w:r>
          </w:p>
        </w:tc>
        <w:tc>
          <w:tcPr>
            <w:tcW w:type="dxa" w:w="468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In-country pilots: C4IR centres and their government counterparts.</w:t>
            </w:r>
          </w:p>
        </w:tc>
      </w:tr>
    </w:tbl>
    <w:p>
      <w:pPr>
        <w:spacing w:after="80"/>
      </w:pPr>
    </w:p>
    <w:p>
      <w:pPr>
        <w:pStyle w:val="Heading3"/>
        <w:spacing w:after="70" w:before="160"/>
      </w:pPr>
      <w:r>
        <w:rPr>
          <w:rFonts w:ascii="Calibri" w:cs="Calibri" w:eastAsia="Calibri" w:hAnsi="Calibri"/>
          <w:b/>
          <w:bCs/>
          <w:color w:val="1F2A44"/>
          <w:sz w:val="22"/>
          <w:szCs w:val="22"/>
        </w:rPr>
        <w:t xml:space="preserve">3. Three-phase framework</w:t>
      </w:r>
    </w:p>
    <w:p>
      <w:pPr>
        <w:spacing w:after="140" w:line="276"/>
        <w:jc w:val="both"/>
      </w:pPr>
      <w:r>
        <w:rPr>
          <w:rFonts w:ascii="Georgia" w:cs="Georgia" w:eastAsia="Georgia" w:hAnsi="Georgia"/>
          <w:color w:val="1A1A1A"/>
          <w:sz w:val="21"/>
          <w:szCs w:val="21"/>
        </w:rPr>
        <w:t xml:space="preserve">The phases reflect the logic of moving from an agreed partnership, to evidence that the collaboration adds value, to a model that outlasts the contract. Timing assumes a start in late 2026; the phases, not the months, are the design.</w:t>
      </w:r>
    </w:p>
    <w:p>
      <w:pPr>
        <w:pStyle w:val="Heading3"/>
        <w:spacing w:after="70" w:before="160"/>
      </w:pPr>
      <w:r>
        <w:rPr>
          <w:rFonts w:ascii="Calibri" w:cs="Calibri" w:eastAsia="Calibri" w:hAnsi="Calibri"/>
          <w:b/>
          <w:bCs/>
          <w:color w:val="1F2A44"/>
          <w:sz w:val="22"/>
          <w:szCs w:val="22"/>
        </w:rPr>
        <w:t xml:space="preserve">Phase 1 · Foundations (months 1–2)</w:t>
      </w:r>
    </w:p>
    <w:p>
      <w:pPr>
        <w:spacing w:after="140" w:line="276"/>
        <w:jc w:val="both"/>
      </w:pPr>
      <w:r>
        <w:rPr>
          <w:rFonts w:ascii="Georgia" w:cs="Georgia" w:eastAsia="Georgia" w:hAnsi="Georgia"/>
          <w:color w:val="1A1A1A"/>
          <w:sz w:val="21"/>
          <w:szCs w:val="21"/>
        </w:rPr>
        <w:t xml:space="preserve">The foundations phase creates the conditions everything else depends on. Nothing external happens until the partnership with the quantum team is explicit, because an external convening launched without agreed roles and credit damages the relationship the whole model relies on. The Lead and the quantum team run a joint diagnostic: an inventory of existing outputs and relationships, the governance issue map (Part A, Part III §1.10), the decision windows by jurisdiction, and the regulators relevant to each issue. The collaboration charter is agreed with the team lead and endorsed by the Head of Digital Inclusion. The priority question is chosen against four criteria: a live decision window, a gap in existing work, willing regulators, and replicability. The working hypothesis is coherence of the quantum-safe transition across jurisdictions and critical sectors beyond finance, but the diagnostic may point elsewhere (for instance to quantum sensing, which has almost no governance framework). The phase ends with one or two anchor regulators agreeing to co-lead, because industry participation depends on it.</w:t>
      </w:r>
    </w:p>
    <w:p>
      <w:pPr>
        <w:pStyle w:val="Heading3"/>
        <w:spacing w:after="70" w:before="160"/>
      </w:pPr>
      <w:r>
        <w:rPr>
          <w:rFonts w:ascii="Calibri" w:cs="Calibri" w:eastAsia="Calibri" w:hAnsi="Calibri"/>
          <w:b/>
          <w:bCs/>
          <w:color w:val="1F2A44"/>
          <w:sz w:val="22"/>
          <w:szCs w:val="22"/>
        </w:rPr>
        <w:t xml:space="preserve">Phase 2 · Proof of value (months 3–5)</w:t>
      </w:r>
    </w:p>
    <w:p>
      <w:pPr>
        <w:spacing w:after="140" w:line="276"/>
        <w:jc w:val="both"/>
      </w:pPr>
      <w:r>
        <w:rPr>
          <w:rFonts w:ascii="Georgia" w:cs="Georgia" w:eastAsia="Georgia" w:hAnsi="Georgia"/>
          <w:color w:val="1A1A1A"/>
          <w:sz w:val="21"/>
          <w:szCs w:val="21"/>
        </w:rPr>
        <w:t xml:space="preserve">The proof-of-value phase produces evidence that the collaboration makes the quantum team’s work more useful to regulators and industry. A working group is convened around the priority question, built on the team’s existing network: anchor regulators and national cybersecurity agencies; sector supervisors (telecommunications, energy, health, government services); companies represented by both technical and legal and compliance leaders; standards bodies; and participants from jurisdictions beyond the US and Europe, including through the C4IR network. The working group reacts to a concrete draft rather than an open agenda: for example, a crosswalk of national requirements and a small set of shared principles for supervisors. The Annual Meeting in January is used as a convening moment (a closed-door roundtable of regulators and chief legal officers), not as a launch, because the output will not yet be mature. One C4IR centre, most naturally Abu Dhabi or Saudi Arabia, is engaged to test the output with a government counterpart.</w:t>
      </w:r>
    </w:p>
    <w:p>
      <w:pPr>
        <w:pStyle w:val="Heading3"/>
        <w:spacing w:after="70" w:before="160"/>
      </w:pPr>
      <w:r>
        <w:rPr>
          <w:rFonts w:ascii="Calibri" w:cs="Calibri" w:eastAsia="Calibri" w:hAnsi="Calibri"/>
          <w:b/>
          <w:bCs/>
          <w:color w:val="1F2A44"/>
          <w:sz w:val="22"/>
          <w:szCs w:val="22"/>
        </w:rPr>
        <w:t xml:space="preserve">Phase 3 · Institutionalisation and replication (months 6–7)</w:t>
      </w:r>
    </w:p>
    <w:p>
      <w:pPr>
        <w:spacing w:after="140" w:line="276"/>
        <w:jc w:val="both"/>
      </w:pPr>
      <w:r>
        <w:rPr>
          <w:rFonts w:ascii="Georgia" w:cs="Georgia" w:eastAsia="Georgia" w:hAnsi="Georgia"/>
          <w:color w:val="1A1A1A"/>
          <w:sz w:val="21"/>
          <w:szCs w:val="21"/>
        </w:rPr>
        <w:t xml:space="preserve">The final phase makes the collaboration self-sustaining without the Lead. The output is finalised and published with the quantum team and its regulator co-leads, with an owner for its next iteration. The regulator community is given a chair and a cadence inside the quantum team’s network. The scoping questions for integrating regulatory thinking are built into the quantum team’s programme-design template. The method note is completed and used to start the second collaboration, most likely with autonomous mobility and robotics (Case 2). By May 2027, the test of success is that the quantum work continues without GRIP’s day-to-day involvement and the second team is working from the method.</w:t>
      </w:r>
    </w:p>
    <w:p>
      <w:pPr>
        <w:pStyle w:val="Heading3"/>
        <w:spacing w:after="70" w:before="160"/>
      </w:pPr>
      <w:r>
        <w:rPr>
          <w:rFonts w:ascii="Calibri" w:cs="Calibri" w:eastAsia="Calibri" w:hAnsi="Calibri"/>
          <w:b/>
          <w:bCs/>
          <w:color w:val="1F2A44"/>
          <w:sz w:val="22"/>
          <w:szCs w:val="22"/>
        </w:rPr>
        <w:t xml:space="preserve">4. Initiative design across six dimensions</w:t>
      </w:r>
    </w:p>
    <w:tbl>
      <w:tblPr>
        <w:tblW w:type="dxa" w:w="9360"/>
        <w:tblBorders>
          <w:top w:val="single" w:color="C9D3E0" w:sz="2"/>
          <w:left w:val="none"/>
          <w:bottom w:val="single" w:color="C9D3E0" w:sz="2"/>
          <w:right w:val="none"/>
          <w:insideH w:val="single" w:color="C9D3E0" w:sz="2"/>
          <w:insideV w:val="single" w:color="C9D3E0" w:sz="2"/>
        </w:tblBorders>
      </w:tblPr>
      <w:tblGrid>
        <w:gridCol w:w="1700"/>
        <w:gridCol w:w="2560"/>
        <w:gridCol w:w="2550"/>
        <w:gridCol w:w="2550"/>
      </w:tblGrid>
      <w:tr>
        <w:trPr>
          <w:tblHeader/>
        </w:trPr>
        <w:tc>
          <w:tcPr>
            <w:tcW w:type="dxa" w:w="1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Dimension</w:t>
            </w:r>
          </w:p>
        </w:tc>
        <w:tc>
          <w:tcPr>
            <w:tcW w:type="dxa" w:w="25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Phase 1 · Foundations</w:t>
            </w:r>
          </w:p>
        </w:tc>
        <w:tc>
          <w:tcPr>
            <w:tcW w:type="dxa" w:w="25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Phase 2 · Proof of value</w:t>
            </w:r>
          </w:p>
        </w:tc>
        <w:tc>
          <w:tcPr>
            <w:tcW w:type="dxa" w:w="25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Phase 3 · Institutionalisation</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Agenda and evidence</w:t>
            </w:r>
          </w:p>
        </w:tc>
        <w:tc>
          <w:tcPr>
            <w:tcW w:type="dxa" w:w="2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Joint diagnostic; issue map; decision windows by jurisdiction; priority question chosen on explicit criteria.</w:t>
            </w:r>
          </w:p>
        </w:tc>
        <w:tc>
          <w:tcPr>
            <w:tcW w:type="dxa" w:w="2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Evidence base built: crosswalk of national requirements; sector readiness evidence from working-group members.</w:t>
            </w:r>
          </w:p>
        </w:tc>
        <w:tc>
          <w:tcPr>
            <w:tcW w:type="dxa" w:w="2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Evidence handed to the quantum team for maintenance; next priority question identified (e.g. quantum sensing).</w:t>
            </w:r>
          </w:p>
        </w:tc>
      </w:tr>
      <w:tr>
        <w:tc>
          <w:tcPr>
            <w:tcW w:type="dxa" w:w="1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Internal integration</w:t>
            </w:r>
          </w:p>
        </w:tc>
        <w:tc>
          <w:tcPr>
            <w:tcW w:type="dxa" w:w="2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Collaboration charter agreed and endorsed; Centre for Cybersecurity engaged on scope.</w:t>
            </w:r>
          </w:p>
        </w:tc>
        <w:tc>
          <w:tcPr>
            <w:tcW w:type="dxa" w:w="2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Joint working rhythm with the quantum team; governance questions inform the team’s programme.</w:t>
            </w:r>
          </w:p>
        </w:tc>
        <w:tc>
          <w:tcPr>
            <w:tcW w:type="dxa" w:w="2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Scoping questions embedded in the team’s programme-design template.</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Regulators and governments</w:t>
            </w:r>
          </w:p>
        </w:tc>
        <w:tc>
          <w:tcPr>
            <w:tcW w:type="dxa" w:w="2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 map; anchor regulator(s) secured as co-leads.</w:t>
            </w:r>
          </w:p>
        </w:tc>
        <w:tc>
          <w:tcPr>
            <w:tcW w:type="dxa" w:w="2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Cybersecurity agencies and sector supervisors in the working group; C4IR centre engaged.</w:t>
            </w:r>
          </w:p>
        </w:tc>
        <w:tc>
          <w:tcPr>
            <w:tcW w:type="dxa" w:w="2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 community chaired and on a cadence; C4IR pilot under way with a government counterpart.</w:t>
            </w:r>
          </w:p>
        </w:tc>
      </w:tr>
      <w:tr>
        <w:tc>
          <w:tcPr>
            <w:tcW w:type="dxa" w:w="1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Industry and community</w:t>
            </w:r>
          </w:p>
        </w:tc>
        <w:tc>
          <w:tcPr>
            <w:tcW w:type="dxa" w:w="2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Existing Quantum Economy Network mapped; CLO and CCO communities briefed.</w:t>
            </w:r>
          </w:p>
        </w:tc>
        <w:tc>
          <w:tcPr>
            <w:tcW w:type="dxa" w:w="2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Companies (technical, legal and compliance) contribute implementation evidence; Global South participants included.</w:t>
            </w:r>
          </w:p>
        </w:tc>
        <w:tc>
          <w:tcPr>
            <w:tcW w:type="dxa" w:w="2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Community continues within the quantum network.</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Knowledge product</w:t>
            </w:r>
          </w:p>
        </w:tc>
        <w:tc>
          <w:tcPr>
            <w:tcW w:type="dxa" w:w="25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Output concept and audience defined; draft outline tested with anchor regulators.</w:t>
            </w:r>
          </w:p>
        </w:tc>
        <w:tc>
          <w:tcPr>
            <w:tcW w:type="dxa" w:w="2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Draft co-designed through working group; January roundtable used to test contested points.</w:t>
            </w:r>
          </w:p>
        </w:tc>
        <w:tc>
          <w:tcPr>
            <w:tcW w:type="dxa" w:w="2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Output finalised and published jointly; owner for next edition named.</w:t>
            </w:r>
          </w:p>
        </w:tc>
      </w:tr>
      <w:tr>
        <w:tc>
          <w:tcPr>
            <w:tcW w:type="dxa" w:w="1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Codification and replication</w:t>
            </w:r>
          </w:p>
        </w:tc>
        <w:tc>
          <w:tcPr>
            <w:tcW w:type="dxa" w:w="25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Method note opened; every design choice logged.</w:t>
            </w:r>
          </w:p>
        </w:tc>
        <w:tc>
          <w:tcPr>
            <w:tcW w:type="dxa" w:w="2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After-action review at each milestone.</w:t>
            </w:r>
          </w:p>
        </w:tc>
        <w:tc>
          <w:tcPr>
            <w:tcW w:type="dxa" w:w="2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Method note completed; second collaboration started from it.</w:t>
            </w:r>
          </w:p>
        </w:tc>
      </w:tr>
    </w:tbl>
    <w:p>
      <w:pPr>
        <w:spacing w:after="80"/>
      </w:pPr>
    </w:p>
    <w:p>
      <w:pPr>
        <w:pStyle w:val="Heading3"/>
        <w:spacing w:after="70" w:before="160"/>
      </w:pPr>
      <w:r>
        <w:rPr>
          <w:rFonts w:ascii="Calibri" w:cs="Calibri" w:eastAsia="Calibri" w:hAnsi="Calibri"/>
          <w:b/>
          <w:bCs/>
          <w:color w:val="1F2A44"/>
          <w:sz w:val="22"/>
          <w:szCs w:val="22"/>
        </w:rPr>
        <w:t xml:space="preserve">5. Dependency map</w:t>
      </w:r>
    </w:p>
    <w:p>
      <w:pPr>
        <w:spacing w:after="140" w:line="276"/>
        <w:jc w:val="both"/>
      </w:pPr>
      <w:r>
        <w:rPr>
          <w:rFonts w:ascii="Georgia" w:cs="Georgia" w:eastAsia="Georgia" w:hAnsi="Georgia"/>
          <w:color w:val="1A1A1A"/>
          <w:sz w:val="21"/>
          <w:szCs w:val="21"/>
        </w:rPr>
        <w:t xml:space="preserve">Treating these dimensions as parallel workstreams would produce activity without a coherent collaboration. The dependencies below govern sequencing.</w:t>
      </w:r>
    </w:p>
    <w:tbl>
      <w:tblPr>
        <w:tblW w:type="dxa" w:w="9360"/>
        <w:tblBorders>
          <w:top w:val="single" w:color="C9D3E0" w:sz="2"/>
          <w:left w:val="none"/>
          <w:bottom w:val="single" w:color="C9D3E0" w:sz="2"/>
          <w:right w:val="none"/>
          <w:insideH w:val="single" w:color="C9D3E0" w:sz="2"/>
          <w:insideV w:val="single" w:color="C9D3E0" w:sz="2"/>
        </w:tblBorders>
      </w:tblPr>
      <w:tblGrid>
        <w:gridCol w:w="2600"/>
        <w:gridCol w:w="2600"/>
        <w:gridCol w:w="4160"/>
      </w:tblGrid>
      <w:tr>
        <w:trPr>
          <w:tblHeader/>
        </w:trPr>
        <w:tc>
          <w:tcPr>
            <w:tcW w:type="dxa" w:w="26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Enabling step</w:t>
            </w:r>
          </w:p>
        </w:tc>
        <w:tc>
          <w:tcPr>
            <w:tcW w:type="dxa" w:w="26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Dependent step</w:t>
            </w:r>
          </w:p>
        </w:tc>
        <w:tc>
          <w:tcPr>
            <w:tcW w:type="dxa" w:w="41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Why the dependency is binding</w:t>
            </w:r>
          </w:p>
        </w:tc>
      </w:tr>
      <w:tr>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Collaboration charter (Phase 1)</w:t>
            </w:r>
          </w:p>
        </w:tc>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Any external convening</w:t>
            </w:r>
          </w:p>
        </w:tc>
        <w:tc>
          <w:tcPr>
            <w:tcW w:type="dxa" w:w="4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Convening before roles and credit are agreed signals that GRIP is building a parallel track, and undermines the partnership the model depends on.</w:t>
            </w:r>
          </w:p>
        </w:tc>
      </w:tr>
      <w:tr>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Priority question (Phase 1)</w:t>
            </w:r>
          </w:p>
        </w:tc>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 mapping and invitations</w:t>
            </w:r>
          </w:p>
        </w:tc>
        <w:tc>
          <w:tcPr>
            <w:tcW w:type="dxa" w:w="4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Which regulators matter depends on the question: cybersecurity agencies for migration coherence, defence and privacy bodies for sensing.</w:t>
            </w:r>
          </w:p>
        </w:tc>
      </w:tr>
      <w:tr>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Anchor regulator commitment (Phase 1)</w:t>
            </w:r>
          </w:p>
        </w:tc>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Industry participation</w:t>
            </w:r>
          </w:p>
        </w:tc>
        <w:tc>
          <w:tcPr>
            <w:tcW w:type="dxa" w:w="4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Companies, and especially legal and compliance leaders, commit time when regulators are at the table; without an anchor, the working group becomes an industry forum.</w:t>
            </w:r>
          </w:p>
        </w:tc>
      </w:tr>
      <w:tr>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Evidence base (crosswalk) (Phase 2)</w:t>
            </w:r>
          </w:p>
        </w:tc>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Draft principles for supervisors</w:t>
            </w:r>
          </w:p>
        </w:tc>
        <w:tc>
          <w:tcPr>
            <w:tcW w:type="dxa" w:w="4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Principles written before the divergence is mapped would be generic; the crosswalk shows where alignment is actually needed.</w:t>
            </w:r>
          </w:p>
        </w:tc>
      </w:tr>
      <w:tr>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Working-group draft (Phase 2)</w:t>
            </w:r>
          </w:p>
        </w:tc>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January roundtable</w:t>
            </w:r>
          </w:p>
        </w:tc>
        <w:tc>
          <w:tcPr>
            <w:tcW w:type="dxa" w:w="4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senior roundtable produces decisions only if it reacts to a concrete draft; without one it becomes a general discussion.</w:t>
            </w:r>
          </w:p>
        </w:tc>
      </w:tr>
      <w:tr>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C4IR government counterpart (Phase 2)</w:t>
            </w:r>
          </w:p>
        </w:tc>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In-country pilot</w:t>
            </w:r>
          </w:p>
        </w:tc>
        <w:tc>
          <w:tcPr>
            <w:tcW w:type="dxa" w:w="4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pilot needs a government that is actively deciding something; the centre identifies whether one exists.</w:t>
            </w:r>
          </w:p>
        </w:tc>
      </w:tr>
      <w:tr>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Method note (continuous)</w:t>
            </w:r>
          </w:p>
        </w:tc>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Second collaboration</w:t>
            </w:r>
          </w:p>
        </w:tc>
        <w:tc>
          <w:tcPr>
            <w:tcW w:type="dxa" w:w="4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Without documentation, the second team starts from scratch and the ‘scalable model’ does not exist.</w:t>
            </w:r>
          </w:p>
        </w:tc>
      </w:tr>
    </w:tbl>
    <w:p>
      <w:pPr>
        <w:spacing w:after="80"/>
      </w:pPr>
    </w:p>
    <w:p>
      <w:pPr>
        <w:pStyle w:val="Heading3"/>
        <w:spacing w:after="70" w:before="160"/>
      </w:pPr>
      <w:r>
        <w:rPr>
          <w:rFonts w:ascii="Calibri" w:cs="Calibri" w:eastAsia="Calibri" w:hAnsi="Calibri"/>
          <w:b/>
          <w:bCs/>
          <w:color w:val="1F2A44"/>
          <w:sz w:val="22"/>
          <w:szCs w:val="22"/>
        </w:rPr>
        <w:t xml:space="preserve">6. Transition logic: when GRIP steps back</w:t>
      </w:r>
    </w:p>
    <w:p>
      <w:pPr>
        <w:spacing w:after="140" w:line="276"/>
        <w:jc w:val="both"/>
      </w:pPr>
      <w:r>
        <w:rPr>
          <w:rFonts w:ascii="Georgia" w:cs="Georgia" w:eastAsia="Georgia" w:hAnsi="Georgia"/>
          <w:color w:val="1A1A1A"/>
          <w:sz w:val="21"/>
          <w:szCs w:val="21"/>
        </w:rPr>
        <w:t xml:space="preserve">The collaboration must be designed so that GRIP’s intensive role is temporary. Each GRIP-led mechanism has a trigger for handover and a steady-state owner.</w:t>
      </w:r>
    </w:p>
    <w:tbl>
      <w:tblPr>
        <w:tblW w:type="dxa" w:w="9360"/>
        <w:tblBorders>
          <w:top w:val="single" w:color="C9D3E0" w:sz="2"/>
          <w:left w:val="none"/>
          <w:bottom w:val="single" w:color="C9D3E0" w:sz="2"/>
          <w:right w:val="none"/>
          <w:insideH w:val="single" w:color="C9D3E0" w:sz="2"/>
          <w:insideV w:val="single" w:color="C9D3E0" w:sz="2"/>
        </w:tblBorders>
      </w:tblPr>
      <w:tblGrid>
        <w:gridCol w:w="3000"/>
        <w:gridCol w:w="3300"/>
        <w:gridCol w:w="3060"/>
      </w:tblGrid>
      <w:tr>
        <w:trPr>
          <w:tblHeader/>
        </w:trPr>
        <w:tc>
          <w:tcPr>
            <w:tcW w:type="dxa" w:w="30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GRIP-led mechanism</w:t>
            </w:r>
          </w:p>
        </w:tc>
        <w:tc>
          <w:tcPr>
            <w:tcW w:type="dxa" w:w="33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Transition trigger</w:t>
            </w:r>
          </w:p>
        </w:tc>
        <w:tc>
          <w:tcPr>
            <w:tcW w:type="dxa" w:w="30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Steady-state owner</w:t>
            </w:r>
          </w:p>
        </w:tc>
      </w:tr>
      <w:tr>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Setting the governance agenda with the quantum team</w:t>
            </w:r>
          </w:p>
        </w:tc>
        <w:tc>
          <w:tcPr>
            <w:tcW w:type="dxa" w:w="3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Scoping questions embedded in the team’s programme template and used once without GRIP support.</w:t>
            </w:r>
          </w:p>
        </w:tc>
        <w:tc>
          <w:tcPr>
            <w:tcW w:type="dxa" w:w="30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team, with GRIP available on request.</w:t>
            </w:r>
          </w:p>
        </w:tc>
      </w:tr>
      <w:tr>
        <w:tc>
          <w:tcPr>
            <w:tcW w:type="dxa" w:w="3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Convening the regulator community</w:t>
            </w:r>
          </w:p>
        </w:tc>
        <w:tc>
          <w:tcPr>
            <w:tcW w:type="dxa" w:w="3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community has a chair (ideally a regulator) and a regular cadence.</w:t>
            </w:r>
          </w:p>
        </w:tc>
        <w:tc>
          <w:tcPr>
            <w:tcW w:type="dxa" w:w="30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 community within the Quantum Economy Network.</w:t>
            </w:r>
          </w:p>
        </w:tc>
      </w:tr>
      <w:tr>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Co-authoring the knowledge product</w:t>
            </w:r>
          </w:p>
        </w:tc>
        <w:tc>
          <w:tcPr>
            <w:tcW w:type="dxa" w:w="3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Published, and an owner named for updates as deadlines approach.</w:t>
            </w:r>
          </w:p>
        </w:tc>
        <w:tc>
          <w:tcPr>
            <w:tcW w:type="dxa" w:w="30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Quantum team and regulator co-leads.</w:t>
            </w:r>
          </w:p>
        </w:tc>
      </w:tr>
      <w:tr>
        <w:tc>
          <w:tcPr>
            <w:tcW w:type="dxa" w:w="3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Brokering the C4IR pilot</w:t>
            </w:r>
          </w:p>
        </w:tc>
        <w:tc>
          <w:tcPr>
            <w:tcW w:type="dxa" w:w="3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Government counterpart and centre own the workplan.</w:t>
            </w:r>
          </w:p>
        </w:tc>
        <w:tc>
          <w:tcPr>
            <w:tcW w:type="dxa" w:w="30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C4IR centre and its government counterpart.</w:t>
            </w:r>
          </w:p>
        </w:tc>
      </w:tr>
      <w:tr>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Codifying the method</w:t>
            </w:r>
          </w:p>
        </w:tc>
        <w:tc>
          <w:tcPr>
            <w:tcW w:type="dxa" w:w="3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Method used to start a second collaboration.</w:t>
            </w:r>
          </w:p>
        </w:tc>
        <w:tc>
          <w:tcPr>
            <w:tcW w:type="dxa" w:w="30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GRIP (as the Forum’s reusable approach for frontier-technology governance).</w:t>
            </w:r>
          </w:p>
        </w:tc>
      </w:tr>
    </w:tbl>
    <w:p>
      <w:pPr>
        <w:spacing w:after="80"/>
      </w:pPr>
    </w:p>
    <w:p>
      <w:pPr>
        <w:pStyle w:val="Heading3"/>
        <w:spacing w:after="70" w:before="160"/>
      </w:pPr>
      <w:r>
        <w:rPr>
          <w:rFonts w:ascii="Calibri" w:cs="Calibri" w:eastAsia="Calibri" w:hAnsi="Calibri"/>
          <w:b/>
          <w:bCs/>
          <w:color w:val="1F2A44"/>
          <w:sz w:val="22"/>
          <w:szCs w:val="22"/>
        </w:rPr>
        <w:t xml:space="preserve">7. How success is measured</w:t>
      </w:r>
    </w:p>
    <w:tbl>
      <w:tblPr>
        <w:tblW w:type="dxa" w:w="9360"/>
        <w:tblBorders>
          <w:top w:val="single" w:color="C9D3E0" w:sz="2"/>
          <w:left w:val="none"/>
          <w:bottom w:val="single" w:color="C9D3E0" w:sz="2"/>
          <w:right w:val="none"/>
          <w:insideH w:val="single" w:color="C9D3E0" w:sz="2"/>
          <w:insideV w:val="single" w:color="C9D3E0" w:sz="2"/>
        </w:tblBorders>
      </w:tblPr>
      <w:tblGrid>
        <w:gridCol w:w="1500"/>
        <w:gridCol w:w="4600"/>
        <w:gridCol w:w="3260"/>
      </w:tblGrid>
      <w:tr>
        <w:trPr>
          <w:tblHeader/>
        </w:trPr>
        <w:tc>
          <w:tcPr>
            <w:tcW w:type="dxa" w:w="15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Level</w:t>
            </w:r>
          </w:p>
        </w:tc>
        <w:tc>
          <w:tcPr>
            <w:tcW w:type="dxa" w:w="46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Indicator</w:t>
            </w:r>
          </w:p>
        </w:tc>
        <w:tc>
          <w:tcPr>
            <w:tcW w:type="dxa" w:w="32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Early warning signal</w:t>
            </w:r>
          </w:p>
        </w:tc>
      </w:tr>
      <w:tr>
        <w:tc>
          <w:tcPr>
            <w:tcW w:type="dxa" w:w="1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Adoption</w:t>
            </w:r>
          </w:p>
        </w:tc>
        <w:tc>
          <w:tcPr>
            <w:tcW w:type="dxa" w:w="4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Regulators and companies in the working group use the output (cited in guidance, used in supervisory dialogue or migration plans).</w:t>
            </w:r>
          </w:p>
        </w:tc>
        <w:tc>
          <w:tcPr>
            <w:tcW w:type="dxa" w:w="3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Working-group attendance drops, or regulators send observers rather than decision-makers.</w:t>
            </w:r>
          </w:p>
        </w:tc>
      </w:tr>
      <w:tr>
        <w:tc>
          <w:tcPr>
            <w:tcW w:type="dxa" w:w="1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Outcome</w:t>
            </w:r>
          </w:p>
        </w:tc>
        <w:tc>
          <w:tcPr>
            <w:tcW w:type="dxa" w:w="4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At least one concrete change: a regulator aligns a requirement, a sector body adopts the principles, a government uses the output in its plan.</w:t>
            </w:r>
          </w:p>
        </w:tc>
        <w:tc>
          <w:tcPr>
            <w:tcW w:type="dxa" w:w="32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Feedback limited to ‘interesting’; no requests to use or adapt the output.</w:t>
            </w:r>
          </w:p>
        </w:tc>
      </w:tr>
      <w:tr>
        <w:tc>
          <w:tcPr>
            <w:tcW w:type="dxa" w:w="1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System</w:t>
            </w:r>
          </w:p>
        </w:tc>
        <w:tc>
          <w:tcPr>
            <w:tcW w:type="dxa" w:w="4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quantum team continues the governance work without GRIP; a second team starts from the method.</w:t>
            </w:r>
          </w:p>
        </w:tc>
        <w:tc>
          <w:tcPr>
            <w:tcW w:type="dxa" w:w="3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quantum team treats governance as GRIP’s task rather than part of its programme.</w:t>
            </w:r>
          </w:p>
        </w:tc>
      </w:tr>
    </w:tbl>
    <w:p>
      <w:pPr>
        <w:spacing w:after="80"/>
      </w:pPr>
    </w:p>
    <w:p>
      <w:pPr>
        <w:pStyle w:val="Heading3"/>
        <w:spacing w:after="70" w:before="160"/>
      </w:pPr>
      <w:r>
        <w:rPr>
          <w:rFonts w:ascii="Calibri" w:cs="Calibri" w:eastAsia="Calibri" w:hAnsi="Calibri"/>
          <w:b/>
          <w:bCs/>
          <w:color w:val="1F2A44"/>
          <w:sz w:val="22"/>
          <w:szCs w:val="22"/>
        </w:rPr>
        <w:t xml:space="preserve">8. Risks and mitigations</w:t>
      </w:r>
    </w:p>
    <w:tbl>
      <w:tblPr>
        <w:tblW w:type="dxa" w:w="9360"/>
        <w:tblBorders>
          <w:top w:val="single" w:color="C9D3E0" w:sz="2"/>
          <w:left w:val="none"/>
          <w:bottom w:val="single" w:color="C9D3E0" w:sz="2"/>
          <w:right w:val="none"/>
          <w:insideH w:val="single" w:color="C9D3E0" w:sz="2"/>
          <w:insideV w:val="single" w:color="C9D3E0" w:sz="2"/>
        </w:tblBorders>
      </w:tblPr>
      <w:tblGrid>
        <w:gridCol w:w="3500"/>
        <w:gridCol w:w="5860"/>
      </w:tblGrid>
      <w:tr>
        <w:trPr>
          <w:tblHeader/>
        </w:trPr>
        <w:tc>
          <w:tcPr>
            <w:tcW w:type="dxa" w:w="35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Risk</w:t>
            </w:r>
          </w:p>
        </w:tc>
        <w:tc>
          <w:tcPr>
            <w:tcW w:type="dxa" w:w="58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Mitigation</w:t>
            </w:r>
          </w:p>
        </w:tc>
      </w:tr>
      <w:tr>
        <w:tc>
          <w:tcPr>
            <w:tcW w:type="dxa" w:w="3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quantum team sees GRIP as an extra layer.</w:t>
            </w:r>
          </w:p>
        </w:tc>
        <w:tc>
          <w:tcPr>
            <w:tcW w:type="dxa" w:w="5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Start with something concretely useful to them; co-own and credit; agree decision rights in the charter.</w:t>
            </w:r>
          </w:p>
        </w:tc>
      </w:tr>
      <w:tr>
        <w:tc>
          <w:tcPr>
            <w:tcW w:type="dxa" w:w="3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Regulators engage at too junior a level.</w:t>
            </w:r>
          </w:p>
        </w:tc>
        <w:tc>
          <w:tcPr>
            <w:tcW w:type="dxa" w:w="5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Secure anchor co-leads before convening; offer them something of value (peer comparison, early industry evidence).</w:t>
            </w:r>
          </w:p>
        </w:tc>
      </w:tr>
      <w:tr>
        <w:tc>
          <w:tcPr>
            <w:tcW w:type="dxa" w:w="3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Industry voices dominate.</w:t>
            </w:r>
          </w:p>
        </w:tc>
        <w:tc>
          <w:tcPr>
            <w:tcW w:type="dxa" w:w="5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 co-leads; civil society and Global South participation from the start; transparent membership.</w:t>
            </w:r>
          </w:p>
        </w:tc>
      </w:tr>
      <w:tr>
        <w:tc>
          <w:tcPr>
            <w:tcW w:type="dxa" w:w="3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Geopolitical sensitivity (export controls, divergent national standards).</w:t>
            </w:r>
          </w:p>
        </w:tc>
        <w:tc>
          <w:tcPr>
            <w:tcW w:type="dxa" w:w="5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Keep the focus on transition coherence and shared principles; hold sensitive discussions under Chatham House rule; involve the Centre for Cybersecurity.</w:t>
            </w:r>
          </w:p>
        </w:tc>
      </w:tr>
      <w:tr>
        <w:tc>
          <w:tcPr>
            <w:tcW w:type="dxa" w:w="3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contract ends before the work is embedded.</w:t>
            </w:r>
          </w:p>
        </w:tc>
        <w:tc>
          <w:tcPr>
            <w:tcW w:type="dxa" w:w="5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Design handover from Phase 1; prioritise the transition logic over additional outputs.</w:t>
            </w:r>
          </w:p>
        </w:tc>
      </w:tr>
    </w:tbl>
    <w:p>
      <w:pPr>
        <w:spacing w:after="80"/>
      </w:pPr>
    </w:p>
    <w:p>
      <w:pPr>
        <w:pStyle w:val="Heading3"/>
        <w:spacing w:after="70" w:before="160"/>
      </w:pPr>
      <w:r>
        <w:rPr>
          <w:rFonts w:ascii="Calibri" w:cs="Calibri" w:eastAsia="Calibri" w:hAnsi="Calibri"/>
          <w:b/>
          <w:bCs/>
          <w:color w:val="1F2A44"/>
          <w:sz w:val="22"/>
          <w:szCs w:val="22"/>
        </w:rPr>
        <w:t xml:space="preserve">9. Feedback architecture: from one collaboration to a model</w:t>
      </w:r>
    </w:p>
    <w:p>
      <w:pPr>
        <w:spacing w:after="140" w:line="276"/>
        <w:jc w:val="both"/>
      </w:pPr>
      <w:r>
        <w:rPr>
          <w:rFonts w:ascii="Georgia" w:cs="Georgia" w:eastAsia="Georgia" w:hAnsi="Georgia"/>
          <w:color w:val="1A1A1A"/>
          <w:sz w:val="21"/>
          <w:szCs w:val="21"/>
        </w:rPr>
        <w:t xml:space="preserve">Codifying what works is a primary responsibility, not an afterthought. At each milestone, a short after-action review produces four outputs. A </w:t>
      </w:r>
      <w:r>
        <w:rPr>
          <w:rFonts w:ascii="Georgia" w:cs="Georgia" w:eastAsia="Georgia" w:hAnsi="Georgia"/>
          <w:b/>
          <w:bCs/>
          <w:color w:val="1A1A1A"/>
          <w:sz w:val="21"/>
          <w:szCs w:val="21"/>
        </w:rPr>
        <w:t xml:space="preserve">conditions note</w:t>
      </w:r>
      <w:r>
        <w:rPr>
          <w:rFonts w:ascii="Georgia" w:cs="Georgia" w:eastAsia="Georgia" w:hAnsi="Georgia"/>
          <w:color w:val="1A1A1A"/>
          <w:sz w:val="21"/>
          <w:szCs w:val="21"/>
        </w:rPr>
        <w:t xml:space="preserve">: what was true at the start (the team’s existing work, regulator appetite, decision windows) that made the chosen approach possible. A </w:t>
      </w:r>
      <w:r>
        <w:rPr>
          <w:rFonts w:ascii="Georgia" w:cs="Georgia" w:eastAsia="Georgia" w:hAnsi="Georgia"/>
          <w:b/>
          <w:bCs/>
          <w:color w:val="1A1A1A"/>
          <w:sz w:val="21"/>
          <w:szCs w:val="21"/>
        </w:rPr>
        <w:t xml:space="preserve">sequencing note</w:t>
      </w:r>
      <w:r>
        <w:rPr>
          <w:rFonts w:ascii="Georgia" w:cs="Georgia" w:eastAsia="Georgia" w:hAnsi="Georgia"/>
          <w:color w:val="1A1A1A"/>
          <w:sz w:val="21"/>
          <w:szCs w:val="21"/>
        </w:rPr>
        <w:t xml:space="preserve">: why each step came when it did, and what would have happened otherwise. A </w:t>
      </w:r>
      <w:r>
        <w:rPr>
          <w:rFonts w:ascii="Georgia" w:cs="Georgia" w:eastAsia="Georgia" w:hAnsi="Georgia"/>
          <w:b/>
          <w:bCs/>
          <w:color w:val="1A1A1A"/>
          <w:sz w:val="21"/>
          <w:szCs w:val="21"/>
        </w:rPr>
        <w:t xml:space="preserve">failure log</w:t>
      </w:r>
      <w:r>
        <w:rPr>
          <w:rFonts w:ascii="Georgia" w:cs="Georgia" w:eastAsia="Georgia" w:hAnsi="Georgia"/>
          <w:color w:val="1A1A1A"/>
          <w:sz w:val="21"/>
          <w:szCs w:val="21"/>
        </w:rPr>
        <w:t xml:space="preserve">: what did not work before the right approach was found. A </w:t>
      </w:r>
      <w:r>
        <w:rPr>
          <w:rFonts w:ascii="Georgia" w:cs="Georgia" w:eastAsia="Georgia" w:hAnsi="Georgia"/>
          <w:b/>
          <w:bCs/>
          <w:color w:val="1A1A1A"/>
          <w:sz w:val="21"/>
          <w:szCs w:val="21"/>
        </w:rPr>
        <w:t xml:space="preserve">replication brief</w:t>
      </w:r>
      <w:r>
        <w:rPr>
          <w:rFonts w:ascii="Georgia" w:cs="Georgia" w:eastAsia="Georgia" w:hAnsi="Georgia"/>
          <w:color w:val="1A1A1A"/>
          <w:sz w:val="21"/>
          <w:szCs w:val="21"/>
        </w:rPr>
        <w:t xml:space="preserve">: what another frontier-technology team would need in place to apply the same approach, and how it would need to adapt to a different technology, regulator landscape or maturity stage.</w:t>
      </w:r>
    </w:p>
    <w:p>
      <w:pPr>
        <w:spacing w:after="140" w:line="276"/>
        <w:jc w:val="both"/>
      </w:pPr>
      <w:r>
        <w:rPr>
          <w:rFonts w:ascii="Georgia" w:cs="Georgia" w:eastAsia="Georgia" w:hAnsi="Georgia"/>
          <w:color w:val="1A1A1A"/>
          <w:sz w:val="21"/>
          <w:szCs w:val="21"/>
        </w:rPr>
        <w:t xml:space="preserve">These reviews feed the method note that the second collaboration uses. The distinction matters: a quantum collaboration that produces a good output without this documentation is a success story; the same collaboration with it is the first instance of a replicable model for integrating governance into every frontier-technology programme at the Forum. That difference is the Lead’s responsibility.</w:t>
      </w:r>
    </w:p>
    <w:p>
      <w:r>
        <w:br w:type="page"/>
      </w:r>
    </w:p>
    <w:p>
      <w:pPr>
        <w:pStyle w:val="Heading2"/>
        <w:spacing w:after="100" w:before="220"/>
      </w:pPr>
      <w:r>
        <w:rPr>
          <w:rFonts w:ascii="Calibri" w:cs="Calibri" w:eastAsia="Calibri" w:hAnsi="Calibri"/>
          <w:b/>
          <w:bCs/>
          <w:color w:val="2F5D8A"/>
          <w:sz w:val="25"/>
          <w:szCs w:val="25"/>
        </w:rPr>
        <w:t xml:space="preserve">Case 2 · Extending the Model Across All Frontier-Technology Teams</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“The role is meant to work across all the frontier-technology teams. How would you organise that, as one person, by May 2027?”</w:t>
      </w:r>
    </w:p>
    <w:p>
      <w:pPr>
        <w:pStyle w:val="Heading3"/>
        <w:spacing w:after="70" w:before="160"/>
      </w:pPr>
      <w:r>
        <w:rPr>
          <w:rFonts w:ascii="Calibri" w:cs="Calibri" w:eastAsia="Calibri" w:hAnsi="Calibri"/>
          <w:b/>
          <w:bCs/>
          <w:color w:val="1F2A44"/>
          <w:sz w:val="22"/>
          <w:szCs w:val="22"/>
        </w:rPr>
        <w:t xml:space="preserve">Answer first</w:t>
      </w:r>
    </w:p>
    <w:p>
      <w:pPr>
        <w:spacing w:after="140" w:line="276"/>
        <w:jc w:val="both"/>
      </w:pPr>
      <w:r>
        <w:rPr>
          <w:rFonts w:ascii="Georgia" w:cs="Georgia" w:eastAsia="Georgia" w:hAnsi="Georgia"/>
          <w:color w:val="1A1A1A"/>
          <w:sz w:val="21"/>
          <w:szCs w:val="21"/>
        </w:rPr>
        <w:t xml:space="preserve">Work in depth with one team at a time, starting with quantum, while giving every other team a light version of the method at the point where it matters most (programme scoping). Sequence the teams by explicit criteria, and treat the documented method, not the number of teams touched, as the real deliverable.</w:t>
      </w:r>
    </w:p>
    <w:p>
      <w:pPr>
        <w:pStyle w:val="Heading3"/>
        <w:spacing w:after="70" w:before="160"/>
      </w:pPr>
      <w:r>
        <w:rPr>
          <w:rFonts w:ascii="Calibri" w:cs="Calibri" w:eastAsia="Calibri" w:hAnsi="Calibri"/>
          <w:b/>
          <w:bCs/>
          <w:color w:val="1F2A44"/>
          <w:sz w:val="22"/>
          <w:szCs w:val="22"/>
        </w:rPr>
        <w:t xml:space="preserve">1. Three possible operating models</w:t>
      </w:r>
    </w:p>
    <w:tbl>
      <w:tblPr>
        <w:tblW w:type="dxa" w:w="9360"/>
        <w:tblBorders>
          <w:top w:val="single" w:color="C9D3E0" w:sz="2"/>
          <w:left w:val="none"/>
          <w:bottom w:val="single" w:color="C9D3E0" w:sz="2"/>
          <w:right w:val="none"/>
          <w:insideH w:val="single" w:color="C9D3E0" w:sz="2"/>
          <w:insideV w:val="single" w:color="C9D3E0" w:sz="2"/>
        </w:tblBorders>
      </w:tblPr>
      <w:tblGrid>
        <w:gridCol w:w="1900"/>
        <w:gridCol w:w="3000"/>
        <w:gridCol w:w="2230"/>
        <w:gridCol w:w="2230"/>
      </w:tblGrid>
      <w:tr>
        <w:trPr>
          <w:tblHeader/>
        </w:trPr>
        <w:tc>
          <w:tcPr>
            <w:tcW w:type="dxa" w:w="19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Model</w:t>
            </w:r>
          </w:p>
        </w:tc>
        <w:tc>
          <w:tcPr>
            <w:tcW w:type="dxa" w:w="30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How it works</w:t>
            </w:r>
          </w:p>
        </w:tc>
        <w:tc>
          <w:tcPr>
            <w:tcW w:type="dxa" w:w="223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Strength</w:t>
            </w:r>
          </w:p>
        </w:tc>
        <w:tc>
          <w:tcPr>
            <w:tcW w:type="dxa" w:w="223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Weakness</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Embedded partnership</w:t>
            </w:r>
          </w:p>
        </w:tc>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Lead works inside one team’s programme for a period, co-owning a piece of work.</w:t>
            </w:r>
          </w:p>
        </w:tc>
        <w:tc>
          <w:tcPr>
            <w:tcW w:type="dxa" w:w="22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Deep value; real trust; produces evidence the model works.</w:t>
            </w:r>
          </w:p>
        </w:tc>
        <w:tc>
          <w:tcPr>
            <w:tcW w:type="dxa" w:w="22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Covers one team at a time.</w:t>
            </w:r>
          </w:p>
        </w:tc>
      </w:tr>
      <w:tr>
        <w:tc>
          <w:tcPr>
            <w:tcW w:type="dxa" w:w="19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Central service</w:t>
            </w:r>
          </w:p>
        </w:tc>
        <w:tc>
          <w:tcPr>
            <w:tcW w:type="dxa" w:w="3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Teams request governance input as needed (reviews, introductions to regulators).</w:t>
            </w:r>
          </w:p>
        </w:tc>
        <w:tc>
          <w:tcPr>
            <w:tcW w:type="dxa" w:w="22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Broad coverage; low cost per team.</w:t>
            </w:r>
          </w:p>
        </w:tc>
        <w:tc>
          <w:tcPr>
            <w:tcW w:type="dxa" w:w="223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Shallow; governance stays an afterthought.</w:t>
            </w:r>
          </w:p>
        </w:tc>
      </w:tr>
      <w:tr>
        <w:tc>
          <w:tcPr>
            <w:tcW w:type="dxa" w:w="19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Community of practice</w:t>
            </w:r>
          </w:p>
        </w:tc>
        <w:tc>
          <w:tcPr>
            <w:tcW w:type="dxa" w:w="3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cross-team network sharing governance approaches and regulator contacts.</w:t>
            </w:r>
          </w:p>
        </w:tc>
        <w:tc>
          <w:tcPr>
            <w:tcW w:type="dxa" w:w="22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Sustainable; builds internal capability.</w:t>
            </w:r>
          </w:p>
        </w:tc>
        <w:tc>
          <w:tcPr>
            <w:tcW w:type="dxa" w:w="223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Slow to show impact; needs an anchor.</w:t>
            </w:r>
          </w:p>
        </w:tc>
      </w:tr>
    </w:tbl>
    <w:p>
      <w:pPr>
        <w:spacing w:after="80"/>
      </w:pPr>
    </w:p>
    <w:p>
      <w:pPr>
        <w:spacing w:after="140" w:line="276"/>
        <w:jc w:val="both"/>
      </w:pPr>
      <w:r>
        <w:rPr>
          <w:rFonts w:ascii="Georgia" w:cs="Georgia" w:eastAsia="Georgia" w:hAnsi="Georgia"/>
          <w:b/>
          <w:bCs/>
          <w:color w:val="1A1A1A"/>
          <w:sz w:val="21"/>
          <w:szCs w:val="21"/>
        </w:rPr>
        <w:t xml:space="preserve">Recommendation:</w:t>
      </w:r>
      <w:r>
        <w:rPr>
          <w:rFonts w:ascii="Georgia" w:cs="Georgia" w:eastAsia="Georgia" w:hAnsi="Georgia"/>
          <w:color w:val="1A1A1A"/>
          <w:sz w:val="21"/>
          <w:szCs w:val="21"/>
        </w:rPr>
        <w:t xml:space="preserve"> a hybrid. Embedded partnership with one team at a time (quantum first); a light ‘scoping check’ offered to every team (the six governance questions from Part A, Part I §6.2, applied when a programme is designed); and a community of practice started in the final phase, so the approach survives the contract.</w:t>
      </w:r>
    </w:p>
    <w:p>
      <w:pPr>
        <w:pStyle w:val="Heading3"/>
        <w:spacing w:after="70" w:before="160"/>
      </w:pPr>
      <w:r>
        <w:rPr>
          <w:rFonts w:ascii="Calibri" w:cs="Calibri" w:eastAsia="Calibri" w:hAnsi="Calibri"/>
          <w:b/>
          <w:bCs/>
          <w:color w:val="1F2A44"/>
          <w:sz w:val="22"/>
          <w:szCs w:val="22"/>
        </w:rPr>
        <w:t xml:space="preserve">2. Sequencing the teams</w:t>
      </w:r>
    </w:p>
    <w:tbl>
      <w:tblPr>
        <w:tblW w:type="dxa" w:w="9360"/>
        <w:tblBorders>
          <w:top w:val="single" w:color="C9D3E0" w:sz="2"/>
          <w:left w:val="none"/>
          <w:bottom w:val="single" w:color="C9D3E0" w:sz="2"/>
          <w:right w:val="none"/>
          <w:insideH w:val="single" w:color="C9D3E0" w:sz="2"/>
          <w:insideV w:val="single" w:color="C9D3E0" w:sz="2"/>
        </w:tblBorders>
      </w:tblPr>
      <w:tblGrid>
        <w:gridCol w:w="2100"/>
        <w:gridCol w:w="1810"/>
        <w:gridCol w:w="1810"/>
        <w:gridCol w:w="1820"/>
        <w:gridCol w:w="1820"/>
      </w:tblGrid>
      <w:tr>
        <w:trPr>
          <w:tblHeader/>
        </w:trPr>
        <w:tc>
          <w:tcPr>
            <w:tcW w:type="dxa" w:w="21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Criterion</w:t>
            </w:r>
          </w:p>
        </w:tc>
        <w:tc>
          <w:tcPr>
            <w:tcW w:type="dxa" w:w="181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Quantum</w:t>
            </w:r>
          </w:p>
        </w:tc>
        <w:tc>
          <w:tcPr>
            <w:tcW w:type="dxa" w:w="181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Autonomous mobility and robotics</w:t>
            </w:r>
          </w:p>
        </w:tc>
        <w:tc>
          <w:tcPr>
            <w:tcW w:type="dxa" w:w="182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Biotechnology</w:t>
            </w:r>
          </w:p>
        </w:tc>
        <w:tc>
          <w:tcPr>
            <w:tcW w:type="dxa" w:w="182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Planetary systems</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Live decision window</w:t>
            </w:r>
          </w:p>
        </w:tc>
        <w:tc>
          <w:tcPr>
            <w:tcW w:type="dxa" w:w="1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 migration deadlines to 2035.</w:t>
            </w:r>
          </w:p>
        </w:tc>
        <w:tc>
          <w:tcPr>
            <w:tcW w:type="dxa" w:w="1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 UK, US, China and UNECE rules moving now.</w:t>
            </w:r>
          </w:p>
        </w:tc>
        <w:tc>
          <w:tcPr>
            <w:tcW w:type="dxa" w:w="182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Medium-high: EU Biotech Act, NGT rules, US security measures.</w:t>
            </w:r>
          </w:p>
        </w:tc>
        <w:tc>
          <w:tcPr>
            <w:tcW w:type="dxa" w:w="182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Medium: debris guidance; less defined.</w:t>
            </w:r>
          </w:p>
        </w:tc>
      </w:tr>
      <w:tr>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Existing regulatory-facing work</w:t>
            </w:r>
          </w:p>
        </w:tc>
        <w:tc>
          <w:tcPr>
            <w:tcW w:type="dxa" w:w="1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 FCA collaboration (2024).</w:t>
            </w:r>
          </w:p>
        </w:tc>
        <w:tc>
          <w:tcPr>
            <w:tcW w:type="dxa" w:w="1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 2026 paper on regulatory diversity.</w:t>
            </w:r>
          </w:p>
        </w:tc>
        <w:tc>
          <w:tcPr>
            <w:tcW w:type="dxa" w:w="182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Medium: Policy Maturity Index.</w:t>
            </w:r>
          </w:p>
        </w:tc>
        <w:tc>
          <w:tcPr>
            <w:tcW w:type="dxa" w:w="182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Medium: Space Sustainability Rating precedent.</w:t>
            </w:r>
          </w:p>
        </w:tc>
      </w:tr>
      <w:tr>
        <w:tc>
          <w:tcPr>
            <w:tcW w:type="dxa" w:w="2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Partner readiness</w:t>
            </w:r>
          </w:p>
        </w:tc>
        <w:tc>
          <w:tcPr>
            <w:tcW w:type="dxa" w:w="1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Expected to be high (confirmed first collaboration).</w:t>
            </w:r>
          </w:p>
        </w:tc>
        <w:tc>
          <w:tcPr>
            <w:tcW w:type="dxa" w:w="18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To confirm.</w:t>
            </w:r>
          </w:p>
        </w:tc>
        <w:tc>
          <w:tcPr>
            <w:tcW w:type="dxa" w:w="182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To confirm; AI-bio needs the Centre for AI Excellence.</w:t>
            </w:r>
          </w:p>
        </w:tc>
        <w:tc>
          <w:tcPr>
            <w:tcW w:type="dxa" w:w="182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Scope to confirm.</w:t>
            </w:r>
          </w:p>
        </w:tc>
      </w:tr>
      <w:tr>
        <w:tc>
          <w:tcPr>
            <w:tcW w:type="dxa" w:w="2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Replicability of lessons</w:t>
            </w:r>
          </w:p>
        </w:tc>
        <w:tc>
          <w:tcPr>
            <w:tcW w:type="dxa" w:w="1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 clean regulatory-coherence problem.</w:t>
            </w:r>
          </w:p>
        </w:tc>
        <w:tc>
          <w:tcPr>
            <w:tcW w:type="dxa" w:w="18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 shared-learning model transfers.</w:t>
            </w:r>
          </w:p>
        </w:tc>
        <w:tc>
          <w:tcPr>
            <w:tcW w:type="dxa" w:w="182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Medium: more sensitive domain.</w:t>
            </w:r>
          </w:p>
        </w:tc>
        <w:tc>
          <w:tcPr>
            <w:tcW w:type="dxa" w:w="182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Medium.</w:t>
            </w:r>
          </w:p>
        </w:tc>
      </w:tr>
    </w:tbl>
    <w:p>
      <w:pPr>
        <w:spacing w:after="80"/>
      </w:pPr>
    </w:p>
    <w:p>
      <w:pPr>
        <w:spacing w:after="140" w:line="276"/>
        <w:jc w:val="both"/>
      </w:pPr>
      <w:r>
        <w:rPr>
          <w:rFonts w:ascii="Georgia" w:cs="Georgia" w:eastAsia="Georgia" w:hAnsi="Georgia"/>
          <w:b/>
          <w:bCs/>
          <w:color w:val="1A1A1A"/>
          <w:sz w:val="21"/>
          <w:szCs w:val="21"/>
        </w:rPr>
        <w:t xml:space="preserve">Sequence:</w:t>
      </w:r>
      <w:r>
        <w:rPr>
          <w:rFonts w:ascii="Georgia" w:cs="Georgia" w:eastAsia="Georgia" w:hAnsi="Georgia"/>
          <w:color w:val="1A1A1A"/>
          <w:sz w:val="21"/>
          <w:szCs w:val="21"/>
        </w:rPr>
        <w:t xml:space="preserve"> quantum, then autonomous mobility and robotics, then biotechnology (with the AI Centre on the AI-bio convergence), with planetary systems kept light until its scope and decision windows are clearer. Realistically, by May 2027 this means one collaboration completed and a second well under way; claiming more would not be credible.</w:t>
      </w:r>
    </w:p>
    <w:p>
      <w:pPr>
        <w:pStyle w:val="Heading3"/>
        <w:spacing w:after="70" w:before="160"/>
      </w:pPr>
      <w:r>
        <w:rPr>
          <w:rFonts w:ascii="Calibri" w:cs="Calibri" w:eastAsia="Calibri" w:hAnsi="Calibri"/>
          <w:b/>
          <w:bCs/>
          <w:color w:val="1F2A44"/>
          <w:sz w:val="22"/>
          <w:szCs w:val="22"/>
        </w:rPr>
        <w:t xml:space="preserve">3. The reusable method (what gets documented)</w:t>
      </w:r>
    </w:p>
    <w:p>
      <w:pPr>
        <w:pStyle w:val="ListParagraph"/>
        <w:numPr>
          <w:ilvl w:val="0"/>
          <w:numId w:val="2"/>
        </w:numPr>
        <w:spacing w:after="70" w:line="268"/>
      </w:pPr>
      <w:r>
        <w:rPr>
          <w:rFonts w:ascii="Georgia" w:cs="Georgia" w:eastAsia="Georgia" w:hAnsi="Georgia"/>
          <w:b/>
          <w:bCs/>
          <w:color w:val="1A1A1A"/>
          <w:sz w:val="21"/>
          <w:szCs w:val="21"/>
        </w:rPr>
        <w:t xml:space="preserve">Scoping questions:</w:t>
      </w:r>
      <w:r>
        <w:rPr>
          <w:rFonts w:ascii="Georgia" w:cs="Georgia" w:eastAsia="Georgia" w:hAnsi="Georgia"/>
          <w:color w:val="1A1A1A"/>
          <w:sz w:val="21"/>
          <w:szCs w:val="21"/>
        </w:rPr>
        <w:t xml:space="preserve"> the six questions for integrating governance into programme design.</w:t>
      </w:r>
    </w:p>
    <w:p>
      <w:pPr>
        <w:pStyle w:val="ListParagraph"/>
        <w:numPr>
          <w:ilvl w:val="0"/>
          <w:numId w:val="2"/>
        </w:numPr>
        <w:spacing w:after="70" w:line="268"/>
      </w:pPr>
      <w:r>
        <w:rPr>
          <w:rFonts w:ascii="Georgia" w:cs="Georgia" w:eastAsia="Georgia" w:hAnsi="Georgia"/>
          <w:b/>
          <w:bCs/>
          <w:color w:val="1A1A1A"/>
          <w:sz w:val="21"/>
          <w:szCs w:val="21"/>
        </w:rPr>
        <w:t xml:space="preserve">Governance issue map:</w:t>
      </w:r>
      <w:r>
        <w:rPr>
          <w:rFonts w:ascii="Georgia" w:cs="Georgia" w:eastAsia="Georgia" w:hAnsi="Georgia"/>
          <w:color w:val="1A1A1A"/>
          <w:sz w:val="21"/>
          <w:szCs w:val="21"/>
        </w:rPr>
        <w:t xml:space="preserve"> a standard template (issue, stakes, active actors, gap), as used for quantum in Part A.</w:t>
      </w:r>
    </w:p>
    <w:p>
      <w:pPr>
        <w:pStyle w:val="ListParagraph"/>
        <w:numPr>
          <w:ilvl w:val="0"/>
          <w:numId w:val="2"/>
        </w:numPr>
        <w:spacing w:after="70" w:line="268"/>
      </w:pPr>
      <w:r>
        <w:rPr>
          <w:rFonts w:ascii="Georgia" w:cs="Georgia" w:eastAsia="Georgia" w:hAnsi="Georgia"/>
          <w:b/>
          <w:bCs/>
          <w:color w:val="1A1A1A"/>
          <w:sz w:val="21"/>
          <w:szCs w:val="21"/>
        </w:rPr>
        <w:t xml:space="preserve">Stakeholder sequencing:</w:t>
      </w:r>
      <w:r>
        <w:rPr>
          <w:rFonts w:ascii="Georgia" w:cs="Georgia" w:eastAsia="Georgia" w:hAnsi="Georgia"/>
          <w:color w:val="1A1A1A"/>
          <w:sz w:val="21"/>
          <w:szCs w:val="21"/>
        </w:rPr>
        <w:t xml:space="preserve"> anchor regulator first, then industry (technical plus legal and compliance), then standards bodies, then civil society and under-represented jurisdictions.</w:t>
      </w:r>
    </w:p>
    <w:p>
      <w:pPr>
        <w:pStyle w:val="ListParagraph"/>
        <w:numPr>
          <w:ilvl w:val="0"/>
          <w:numId w:val="2"/>
        </w:numPr>
        <w:spacing w:after="70" w:line="268"/>
      </w:pPr>
      <w:r>
        <w:rPr>
          <w:rFonts w:ascii="Georgia" w:cs="Georgia" w:eastAsia="Georgia" w:hAnsi="Georgia"/>
          <w:b/>
          <w:bCs/>
          <w:color w:val="1A1A1A"/>
          <w:sz w:val="21"/>
          <w:szCs w:val="21"/>
        </w:rPr>
        <w:t xml:space="preserve">Output selection:</w:t>
      </w:r>
      <w:r>
        <w:rPr>
          <w:rFonts w:ascii="Georgia" w:cs="Georgia" w:eastAsia="Georgia" w:hAnsi="Georgia"/>
          <w:color w:val="1A1A1A"/>
          <w:sz w:val="21"/>
          <w:szCs w:val="21"/>
        </w:rPr>
        <w:t xml:space="preserve"> matching the product type to the situation (principles, readiness toolkit, regulator-facing paper, cross-jurisdiction synthesis, pilot), as in Part A, Part IV §4 and §6.</w:t>
      </w:r>
    </w:p>
    <w:p>
      <w:pPr>
        <w:pStyle w:val="ListParagraph"/>
        <w:numPr>
          <w:ilvl w:val="0"/>
          <w:numId w:val="2"/>
        </w:numPr>
        <w:spacing w:after="70" w:line="268"/>
      </w:pPr>
      <w:r>
        <w:rPr>
          <w:rFonts w:ascii="Georgia" w:cs="Georgia" w:eastAsia="Georgia" w:hAnsi="Georgia"/>
          <w:b/>
          <w:bCs/>
          <w:color w:val="1A1A1A"/>
          <w:sz w:val="21"/>
          <w:szCs w:val="21"/>
        </w:rPr>
        <w:t xml:space="preserve">After-action review:</w:t>
      </w:r>
      <w:r>
        <w:rPr>
          <w:rFonts w:ascii="Georgia" w:cs="Georgia" w:eastAsia="Georgia" w:hAnsi="Georgia"/>
          <w:color w:val="1A1A1A"/>
          <w:sz w:val="21"/>
          <w:szCs w:val="21"/>
        </w:rPr>
        <w:t xml:space="preserve"> conditions, sequencing, failures, replication brief.</w:t>
      </w:r>
    </w:p>
    <w:p>
      <w:pPr>
        <w:pStyle w:val="Heading3"/>
        <w:spacing w:after="70" w:before="160"/>
      </w:pPr>
      <w:r>
        <w:rPr>
          <w:rFonts w:ascii="Calibri" w:cs="Calibri" w:eastAsia="Calibri" w:hAnsi="Calibri"/>
          <w:b/>
          <w:bCs/>
          <w:color w:val="1F2A44"/>
          <w:sz w:val="22"/>
          <w:szCs w:val="22"/>
        </w:rPr>
        <w:t xml:space="preserve">4. Making one person go further</w:t>
      </w:r>
    </w:p>
    <w:p>
      <w:pPr>
        <w:spacing w:after="140" w:line="276"/>
        <w:jc w:val="both"/>
      </w:pPr>
      <w:r>
        <w:rPr>
          <w:rFonts w:ascii="Georgia" w:cs="Georgia" w:eastAsia="Georgia" w:hAnsi="Georgia"/>
          <w:color w:val="1A1A1A"/>
          <w:sz w:val="21"/>
          <w:szCs w:val="21"/>
        </w:rPr>
        <w:t xml:space="preserve">Use the leverage the Forum already has: the teams’ own communities, knowledge partners on specific outputs, C4IR centres for pilots, the GRIP team’s government relationships, and the Centres for AI Excellence and Cybersecurity for convergence and security questions. Say no to things outside scope: writing regulation, running parallel communities, or starting collaborations that cannot be finished.</w:t>
      </w:r>
    </w:p>
    <w:p>
      <w:pPr>
        <w:pStyle w:val="Heading2"/>
        <w:spacing w:after="100" w:before="220"/>
      </w:pPr>
      <w:r>
        <w:rPr>
          <w:rFonts w:ascii="Calibri" w:cs="Calibri" w:eastAsia="Calibri" w:hAnsi="Calibri"/>
          <w:b/>
          <w:bCs/>
          <w:color w:val="2F5D8A"/>
          <w:sz w:val="25"/>
          <w:szCs w:val="25"/>
        </w:rPr>
        <w:t xml:space="preserve">Case 3 · Humanoid Robots Before the Rules</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“General-purpose and humanoid robots are moving into warehouses, shops and eventually homes faster than any governance framework. What should the Forum do, and how would you work with the robotics team?”</w:t>
      </w:r>
    </w:p>
    <w:p>
      <w:pPr>
        <w:pStyle w:val="Heading3"/>
        <w:spacing w:after="70" w:before="160"/>
      </w:pPr>
      <w:r>
        <w:rPr>
          <w:rFonts w:ascii="Calibri" w:cs="Calibri" w:eastAsia="Calibri" w:hAnsi="Calibri"/>
          <w:b/>
          <w:bCs/>
          <w:color w:val="1F2A44"/>
          <w:sz w:val="22"/>
          <w:szCs w:val="22"/>
        </w:rPr>
        <w:t xml:space="preserve">Answer first</w:t>
      </w:r>
    </w:p>
    <w:p>
      <w:pPr>
        <w:spacing w:after="140" w:line="276"/>
        <w:jc w:val="both"/>
      </w:pPr>
      <w:r>
        <w:rPr>
          <w:rFonts w:ascii="Georgia" w:cs="Georgia" w:eastAsia="Georgia" w:hAnsi="Georgia"/>
          <w:color w:val="1A1A1A"/>
          <w:sz w:val="21"/>
          <w:szCs w:val="21"/>
        </w:rPr>
        <w:t xml:space="preserve">This is the textbook case for integrating governance early. The technology is at pilot stage, the market is scaling fast (especially in China), and existing safety rules were written for fenced industrial robots. The Forum’s best contribution is a shared, evidence-based view of what responsible deployment in shared spaces requires, built with the people who will deploy, regulate and work alongside these machines, before incidents and divergent national rules set the terms.</w:t>
      </w:r>
    </w:p>
    <w:p>
      <w:pPr>
        <w:pStyle w:val="Heading3"/>
        <w:spacing w:after="70" w:before="160"/>
      </w:pPr>
      <w:r>
        <w:rPr>
          <w:rFonts w:ascii="Calibri" w:cs="Calibri" w:eastAsia="Calibri" w:hAnsi="Calibri"/>
          <w:b/>
          <w:bCs/>
          <w:color w:val="1F2A44"/>
          <w:sz w:val="22"/>
          <w:szCs w:val="22"/>
        </w:rPr>
        <w:t xml:space="preserve">1. Diagnosis: what governance questions arise, and when</w:t>
      </w:r>
    </w:p>
    <w:tbl>
      <w:tblPr>
        <w:tblW w:type="dxa" w:w="9360"/>
        <w:tblBorders>
          <w:top w:val="single" w:color="C9D3E0" w:sz="2"/>
          <w:left w:val="none"/>
          <w:bottom w:val="single" w:color="C9D3E0" w:sz="2"/>
          <w:right w:val="none"/>
          <w:insideH w:val="single" w:color="C9D3E0" w:sz="2"/>
          <w:insideV w:val="single" w:color="C9D3E0" w:sz="2"/>
        </w:tblBorders>
      </w:tblPr>
      <w:tblGrid>
        <w:gridCol w:w="1700"/>
        <w:gridCol w:w="2400"/>
        <w:gridCol w:w="5260"/>
      </w:tblGrid>
      <w:tr>
        <w:trPr>
          <w:tblHeader/>
        </w:trPr>
        <w:tc>
          <w:tcPr>
            <w:tcW w:type="dxa" w:w="1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Stage</w:t>
            </w:r>
          </w:p>
        </w:tc>
        <w:tc>
          <w:tcPr>
            <w:tcW w:type="dxa" w:w="24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Setting</w:t>
            </w:r>
          </w:p>
        </w:tc>
        <w:tc>
          <w:tcPr>
            <w:tcW w:type="dxa" w:w="52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Governance questions</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Now: pilots</w:t>
            </w:r>
          </w:p>
        </w:tc>
        <w:tc>
          <w:tcPr>
            <w:tcW w:type="dxa" w:w="2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Warehouses and factories.</w:t>
            </w:r>
          </w:p>
        </w:tc>
        <w:tc>
          <w:tcPr>
            <w:tcW w:type="dxa" w:w="5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Worker safety alongside mobile, dynamically balancing robots; incident reporting; data from cameras and sensors in workplaces.</w:t>
            </w:r>
          </w:p>
        </w:tc>
      </w:tr>
      <w:tr>
        <w:tc>
          <w:tcPr>
            <w:tcW w:type="dxa" w:w="1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Next: early commercial</w:t>
            </w:r>
          </w:p>
        </w:tc>
        <w:tc>
          <w:tcPr>
            <w:tcW w:type="dxa" w:w="2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Retail, hospitality, healthcare support.</w:t>
            </w:r>
          </w:p>
        </w:tc>
        <w:tc>
          <w:tcPr>
            <w:tcW w:type="dxa" w:w="52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Interaction with the public; liability; cybersecurity (a hacked robot is a physical risk); accessibility.</w:t>
            </w:r>
          </w:p>
        </w:tc>
      </w:tr>
      <w:tr>
        <w:tc>
          <w:tcPr>
            <w:tcW w:type="dxa" w:w="1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Later: scale</w:t>
            </w:r>
          </w:p>
        </w:tc>
        <w:tc>
          <w:tcPr>
            <w:tcW w:type="dxa" w:w="2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Homes and care.</w:t>
            </w:r>
          </w:p>
        </w:tc>
        <w:tc>
          <w:tcPr>
            <w:tcW w:type="dxa" w:w="5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Privacy inside homes; safety with children and vulnerable people; consumer protection; labour-market impacts.</w:t>
            </w:r>
          </w:p>
        </w:tc>
      </w:tr>
    </w:tbl>
    <w:p>
      <w:pPr>
        <w:spacing w:after="80"/>
      </w:pPr>
    </w:p>
    <w:p>
      <w:pPr>
        <w:pStyle w:val="Heading3"/>
        <w:spacing w:after="70" w:before="160"/>
      </w:pPr>
      <w:r>
        <w:rPr>
          <w:rFonts w:ascii="Calibri" w:cs="Calibri" w:eastAsia="Calibri" w:hAnsi="Calibri"/>
          <w:b/>
          <w:bCs/>
          <w:color w:val="1F2A44"/>
          <w:sz w:val="22"/>
          <w:szCs w:val="22"/>
        </w:rPr>
        <w:t xml:space="preserve">2. Landscape</w:t>
      </w:r>
    </w:p>
    <w:p>
      <w:pPr>
        <w:spacing w:after="140" w:line="276"/>
        <w:jc w:val="both"/>
      </w:pPr>
      <w:r>
        <w:rPr>
          <w:rFonts w:ascii="Georgia" w:cs="Georgia" w:eastAsia="Georgia" w:hAnsi="Georgia"/>
          <w:color w:val="1A1A1A"/>
          <w:sz w:val="21"/>
          <w:szCs w:val="21"/>
        </w:rPr>
        <w:t xml:space="preserve">Standards exist for industrial robots (ISO 10218, revised 2025) and collaborative robots (ISO/TS 15066), and work on dynamically stable mobile robots is emerging. China published a national standard system for humanoid robots and embodied intelligence in February 2026. The EU’s Machinery Regulation (applying from January 2027) and AI Act will cover many AI-enabled robots, and product liability now extends to software. No jurisdiction has a dedicated framework for general-purpose robots in public or domestic spaces.</w:t>
      </w:r>
    </w:p>
    <w:p>
      <w:pPr>
        <w:pStyle w:val="Heading3"/>
        <w:spacing w:after="70" w:before="160"/>
      </w:pPr>
      <w:r>
        <w:rPr>
          <w:rFonts w:ascii="Calibri" w:cs="Calibri" w:eastAsia="Calibri" w:hAnsi="Calibri"/>
          <w:b/>
          <w:bCs/>
          <w:color w:val="1F2A44"/>
          <w:sz w:val="22"/>
          <w:szCs w:val="22"/>
        </w:rPr>
        <w:t xml:space="preserve">3. Proposed approach</w:t>
      </w:r>
    </w:p>
    <w:p>
      <w:pPr>
        <w:pStyle w:val="ListParagraph"/>
        <w:numPr>
          <w:ilvl w:val="0"/>
          <w:numId w:val="2"/>
        </w:numPr>
        <w:spacing w:after="70" w:line="268"/>
      </w:pPr>
      <w:r>
        <w:rPr>
          <w:rFonts w:ascii="Georgia" w:cs="Georgia" w:eastAsia="Georgia" w:hAnsi="Georgia"/>
          <w:b/>
          <w:bCs/>
          <w:color w:val="1A1A1A"/>
          <w:sz w:val="21"/>
          <w:szCs w:val="21"/>
        </w:rPr>
        <w:t xml:space="preserve">Evidence first.</w:t>
      </w:r>
      <w:r>
        <w:rPr>
          <w:rFonts w:ascii="Georgia" w:cs="Georgia" w:eastAsia="Georgia" w:hAnsi="Georgia"/>
          <w:color w:val="1A1A1A"/>
          <w:sz w:val="21"/>
          <w:szCs w:val="21"/>
        </w:rPr>
        <w:t xml:space="preserve"> Gather deployment evidence from companies already piloting humanoids, drawing on the Forum’s industrial-operations communities (including the Global Lighthouse Network of advanced manufacturing sites), so the work is grounded in what actually happens on the floor.</w:t>
      </w:r>
    </w:p>
    <w:p>
      <w:pPr>
        <w:pStyle w:val="ListParagraph"/>
        <w:numPr>
          <w:ilvl w:val="0"/>
          <w:numId w:val="2"/>
        </w:numPr>
        <w:spacing w:after="70" w:line="268"/>
      </w:pPr>
      <w:r>
        <w:rPr>
          <w:rFonts w:ascii="Georgia" w:cs="Georgia" w:eastAsia="Georgia" w:hAnsi="Georgia"/>
          <w:b/>
          <w:bCs/>
          <w:color w:val="1A1A1A"/>
          <w:sz w:val="21"/>
          <w:szCs w:val="21"/>
        </w:rPr>
        <w:t xml:space="preserve">Cross-jurisdiction synthesis.</w:t>
      </w:r>
      <w:r>
        <w:rPr>
          <w:rFonts w:ascii="Georgia" w:cs="Georgia" w:eastAsia="Georgia" w:hAnsi="Georgia"/>
          <w:color w:val="1A1A1A"/>
          <w:sz w:val="21"/>
          <w:szCs w:val="21"/>
        </w:rPr>
        <w:t xml:space="preserve"> Compare emerging approaches (China’s standard system, EU machinery and AI rules, ISO work, US occupational-safety practice) to show regulators where they converge and diverge.</w:t>
      </w:r>
    </w:p>
    <w:p>
      <w:pPr>
        <w:pStyle w:val="ListParagraph"/>
        <w:numPr>
          <w:ilvl w:val="0"/>
          <w:numId w:val="2"/>
        </w:numPr>
        <w:spacing w:after="70" w:line="268"/>
      </w:pPr>
      <w:r>
        <w:rPr>
          <w:rFonts w:ascii="Georgia" w:cs="Georgia" w:eastAsia="Georgia" w:hAnsi="Georgia"/>
          <w:b/>
          <w:bCs/>
          <w:color w:val="1A1A1A"/>
          <w:sz w:val="21"/>
          <w:szCs w:val="21"/>
        </w:rPr>
        <w:t xml:space="preserve">Co-developed deployment principles.</w:t>
      </w:r>
      <w:r>
        <w:rPr>
          <w:rFonts w:ascii="Georgia" w:cs="Georgia" w:eastAsia="Georgia" w:hAnsi="Georgia"/>
          <w:color w:val="1A1A1A"/>
          <w:sz w:val="21"/>
          <w:szCs w:val="21"/>
        </w:rPr>
        <w:t xml:space="preserve"> With operators, manufacturers, standards bodies, occupational-safety and product-safety regulators, insurers and worker representatives: what responsible deployment in shared spaces requires at each stage.</w:t>
      </w:r>
    </w:p>
    <w:p>
      <w:pPr>
        <w:pStyle w:val="ListParagraph"/>
        <w:numPr>
          <w:ilvl w:val="0"/>
          <w:numId w:val="2"/>
        </w:numPr>
        <w:spacing w:after="70" w:line="268"/>
      </w:pPr>
      <w:r>
        <w:rPr>
          <w:rFonts w:ascii="Georgia" w:cs="Georgia" w:eastAsia="Georgia" w:hAnsi="Georgia"/>
          <w:b/>
          <w:bCs/>
          <w:color w:val="1A1A1A"/>
          <w:sz w:val="21"/>
          <w:szCs w:val="21"/>
        </w:rPr>
        <w:t xml:space="preserve">Pilot and learn.</w:t>
      </w:r>
      <w:r>
        <w:rPr>
          <w:rFonts w:ascii="Georgia" w:cs="Georgia" w:eastAsia="Georgia" w:hAnsi="Georgia"/>
          <w:color w:val="1A1A1A"/>
          <w:sz w:val="21"/>
          <w:szCs w:val="21"/>
        </w:rPr>
        <w:t xml:space="preserve"> Test the principles with one or two operators and a C4IR centre (Abu Dhabi lists robotics as a focus area).</w:t>
      </w:r>
    </w:p>
    <w:p>
      <w:pPr>
        <w:pStyle w:val="Heading3"/>
        <w:spacing w:after="70" w:before="160"/>
      </w:pPr>
      <w:r>
        <w:rPr>
          <w:rFonts w:ascii="Calibri" w:cs="Calibri" w:eastAsia="Calibri" w:hAnsi="Calibri"/>
          <w:b/>
          <w:bCs/>
          <w:color w:val="1F2A44"/>
          <w:sz w:val="22"/>
          <w:szCs w:val="22"/>
        </w:rPr>
        <w:t xml:space="preserve">4. Key dependencies and risks</w:t>
      </w:r>
    </w:p>
    <w:p>
      <w:pPr>
        <w:spacing w:after="140" w:line="276"/>
        <w:jc w:val="both"/>
      </w:pPr>
      <w:r>
        <w:rPr>
          <w:rFonts w:ascii="Georgia" w:cs="Georgia" w:eastAsia="Georgia" w:hAnsi="Georgia"/>
          <w:color w:val="1A1A1A"/>
          <w:sz w:val="21"/>
          <w:szCs w:val="21"/>
        </w:rPr>
        <w:t xml:space="preserve">Worker representatives must be involved from the start: principles designed without them will lack legitimacy where adoption matters most. Regulators need to be present before principles are drafted, or they will treat the output as industry self-regulation. Risks: hype cycles (humanoid timelines are contested), US-China divergence in standards, and the perception of the Forum as a promotional platform for robot makers.</w:t>
      </w:r>
    </w:p>
    <w:p>
      <w:pPr>
        <w:pStyle w:val="Heading2"/>
        <w:spacing w:after="100" w:before="220"/>
      </w:pPr>
      <w:r>
        <w:rPr>
          <w:rFonts w:ascii="Calibri" w:cs="Calibri" w:eastAsia="Calibri" w:hAnsi="Calibri"/>
          <w:b/>
          <w:bCs/>
          <w:color w:val="2F5D8A"/>
          <w:sz w:val="25"/>
          <w:szCs w:val="25"/>
        </w:rPr>
        <w:t xml:space="preserve">Case 4 · AI-Designed Biology Between Two Teams</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“AI models can now design proteins and genetic sequences. The issue sits between the Centre for AI Excellence and the biotechnology team. What would you propose?”</w:t>
      </w:r>
    </w:p>
    <w:p>
      <w:pPr>
        <w:pStyle w:val="Heading3"/>
        <w:spacing w:after="70" w:before="160"/>
      </w:pPr>
      <w:r>
        <w:rPr>
          <w:rFonts w:ascii="Calibri" w:cs="Calibri" w:eastAsia="Calibri" w:hAnsi="Calibri"/>
          <w:b/>
          <w:bCs/>
          <w:color w:val="1F2A44"/>
          <w:sz w:val="22"/>
          <w:szCs w:val="22"/>
        </w:rPr>
        <w:t xml:space="preserve">Answer first</w:t>
      </w:r>
    </w:p>
    <w:p>
      <w:pPr>
        <w:spacing w:after="140" w:line="276"/>
        <w:jc w:val="both"/>
      </w:pPr>
      <w:r>
        <w:rPr>
          <w:rFonts w:ascii="Georgia" w:cs="Georgia" w:eastAsia="Georgia" w:hAnsi="Georgia"/>
          <w:color w:val="1A1A1A"/>
          <w:sz w:val="21"/>
          <w:szCs w:val="21"/>
        </w:rPr>
        <w:t xml:space="preserve">Treat it as a chain that needs to be governed as a whole: safeguards in AI models, screening by DNA-synthesis providers, and verification of customers, across countries. Each link is currently governed separately, by different actors, with different standards. The Forum’s contribution is to convene the three links, with security agencies, and help build interoperable expectations; the cross-cutting workstream is the natural home precisely because neither team owns it alone.</w:t>
      </w:r>
    </w:p>
    <w:p>
      <w:pPr>
        <w:pStyle w:val="Heading3"/>
        <w:spacing w:after="70" w:before="160"/>
      </w:pPr>
      <w:r>
        <w:rPr>
          <w:rFonts w:ascii="Calibri" w:cs="Calibri" w:eastAsia="Calibri" w:hAnsi="Calibri"/>
          <w:b/>
          <w:bCs/>
          <w:color w:val="1F2A44"/>
          <w:sz w:val="22"/>
          <w:szCs w:val="22"/>
        </w:rPr>
        <w:t xml:space="preserve">1. The governance chain</w:t>
      </w:r>
    </w:p>
    <w:tbl>
      <w:tblPr>
        <w:tblW w:type="dxa" w:w="9360"/>
        <w:tblBorders>
          <w:top w:val="single" w:color="C9D3E0" w:sz="2"/>
          <w:left w:val="none"/>
          <w:bottom w:val="single" w:color="C9D3E0" w:sz="2"/>
          <w:right w:val="none"/>
          <w:insideH w:val="single" w:color="C9D3E0" w:sz="2"/>
          <w:insideV w:val="single" w:color="C9D3E0" w:sz="2"/>
        </w:tblBorders>
      </w:tblPr>
      <w:tblGrid>
        <w:gridCol w:w="2200"/>
        <w:gridCol w:w="3700"/>
        <w:gridCol w:w="3460"/>
      </w:tblGrid>
      <w:tr>
        <w:trPr>
          <w:tblHeader/>
        </w:trPr>
        <w:tc>
          <w:tcPr>
            <w:tcW w:type="dxa" w:w="22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Link</w:t>
            </w:r>
          </w:p>
        </w:tc>
        <w:tc>
          <w:tcPr>
            <w:tcW w:type="dxa" w:w="3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Current state</w:t>
            </w:r>
          </w:p>
        </w:tc>
        <w:tc>
          <w:tcPr>
            <w:tcW w:type="dxa" w:w="34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Gap</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 model safeguards</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Frontier AI developers run biosecurity evaluations; practices vary; open-weight biological models raise specific questions.</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Shared expectations for evaluation and access controls on biological design tools.</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DNA-synthesis screening</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Industry screening (International Gene Synthesis Consortium), IBBIS, US and UK guidance; screening largely compares orders to known threats.</w:t>
            </w:r>
          </w:p>
        </w:tc>
        <w:tc>
          <w:tcPr>
            <w:tcW w:type="dxa" w:w="3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Function-based screening that can catch novel AI-designed sequences; coverage of benchtop synthesisers.</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Customer verification</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Varies by provider and country.</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Common know-your-customer standards across jurisdictions.</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International layer</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Biological Weapons Convention without verification.</w:t>
            </w:r>
          </w:p>
        </w:tc>
        <w:tc>
          <w:tcPr>
            <w:tcW w:type="dxa" w:w="3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Practical cooperation among national biosecurity authorities.</w:t>
            </w:r>
          </w:p>
        </w:tc>
      </w:tr>
    </w:tbl>
    <w:p>
      <w:pPr>
        <w:spacing w:after="80"/>
      </w:pPr>
    </w:p>
    <w:p>
      <w:pPr>
        <w:pStyle w:val="Heading3"/>
        <w:spacing w:after="70" w:before="160"/>
      </w:pPr>
      <w:r>
        <w:rPr>
          <w:rFonts w:ascii="Calibri" w:cs="Calibri" w:eastAsia="Calibri" w:hAnsi="Calibri"/>
          <w:b/>
          <w:bCs/>
          <w:color w:val="1F2A44"/>
          <w:sz w:val="22"/>
          <w:szCs w:val="22"/>
        </w:rPr>
        <w:t xml:space="preserve">2. Proposed approach and sequencing</w:t>
      </w:r>
    </w:p>
    <w:p>
      <w:pPr>
        <w:pStyle w:val="ListParagraph"/>
        <w:numPr>
          <w:ilvl w:val="0"/>
          <w:numId w:val="2"/>
        </w:numPr>
        <w:spacing w:after="70" w:line="268"/>
      </w:pPr>
      <w:r>
        <w:rPr>
          <w:rFonts w:ascii="Georgia" w:cs="Georgia" w:eastAsia="Georgia" w:hAnsi="Georgia"/>
          <w:b/>
          <w:bCs/>
          <w:color w:val="1A1A1A"/>
          <w:sz w:val="21"/>
          <w:szCs w:val="21"/>
        </w:rPr>
        <w:t xml:space="preserve">Agree ownership internally first:</w:t>
      </w:r>
      <w:r>
        <w:rPr>
          <w:rFonts w:ascii="Georgia" w:cs="Georgia" w:eastAsia="Georgia" w:hAnsi="Georgia"/>
          <w:color w:val="1A1A1A"/>
          <w:sz w:val="21"/>
          <w:szCs w:val="21"/>
        </w:rPr>
        <w:t xml:space="preserve"> a joint approach with the Centre for AI Excellence and the biotechnology team, so the Forum speaks with one voice.</w:t>
      </w:r>
    </w:p>
    <w:p>
      <w:pPr>
        <w:pStyle w:val="ListParagraph"/>
        <w:numPr>
          <w:ilvl w:val="0"/>
          <w:numId w:val="2"/>
        </w:numPr>
        <w:spacing w:after="70" w:line="268"/>
      </w:pPr>
      <w:r>
        <w:rPr>
          <w:rFonts w:ascii="Georgia" w:cs="Georgia" w:eastAsia="Georgia" w:hAnsi="Georgia"/>
          <w:b/>
          <w:bCs/>
          <w:color w:val="1A1A1A"/>
          <w:sz w:val="21"/>
          <w:szCs w:val="21"/>
        </w:rPr>
        <w:t xml:space="preserve">Start closed-door:</w:t>
      </w:r>
      <w:r>
        <w:rPr>
          <w:rFonts w:ascii="Georgia" w:cs="Georgia" w:eastAsia="Georgia" w:hAnsi="Georgia"/>
          <w:color w:val="1A1A1A"/>
          <w:sz w:val="21"/>
          <w:szCs w:val="21"/>
        </w:rPr>
        <w:t xml:space="preserve"> an off-the-record dialogue with national biosecurity authorities and leading AI developers and synthesis providers, because the topic involves information hazards and security sensitivities.</w:t>
      </w:r>
    </w:p>
    <w:p>
      <w:pPr>
        <w:pStyle w:val="ListParagraph"/>
        <w:numPr>
          <w:ilvl w:val="0"/>
          <w:numId w:val="2"/>
        </w:numPr>
        <w:spacing w:after="70" w:line="268"/>
      </w:pPr>
      <w:r>
        <w:rPr>
          <w:rFonts w:ascii="Georgia" w:cs="Georgia" w:eastAsia="Georgia" w:hAnsi="Georgia"/>
          <w:b/>
          <w:bCs/>
          <w:color w:val="1A1A1A"/>
          <w:sz w:val="21"/>
          <w:szCs w:val="21"/>
        </w:rPr>
        <w:t xml:space="preserve">Build on existing actors rather than duplicate them:</w:t>
      </w:r>
      <w:r>
        <w:rPr>
          <w:rFonts w:ascii="Georgia" w:cs="Georgia" w:eastAsia="Georgia" w:hAnsi="Georgia"/>
          <w:color w:val="1A1A1A"/>
          <w:sz w:val="21"/>
          <w:szCs w:val="21"/>
        </w:rPr>
        <w:t xml:space="preserve"> connect with IBBIS, industry screening consortia and biosecurity NGOs; the Forum adds reach across AI companies, governments and industry.</w:t>
      </w:r>
    </w:p>
    <w:p>
      <w:pPr>
        <w:pStyle w:val="ListParagraph"/>
        <w:numPr>
          <w:ilvl w:val="0"/>
          <w:numId w:val="2"/>
        </w:numPr>
        <w:spacing w:after="70" w:line="268"/>
      </w:pPr>
      <w:r>
        <w:rPr>
          <w:rFonts w:ascii="Georgia" w:cs="Georgia" w:eastAsia="Georgia" w:hAnsi="Georgia"/>
          <w:b/>
          <w:bCs/>
          <w:color w:val="1A1A1A"/>
          <w:sz w:val="21"/>
          <w:szCs w:val="21"/>
        </w:rPr>
        <w:t xml:space="preserve">Aim for interoperable principles</w:t>
      </w:r>
      <w:r>
        <w:rPr>
          <w:rFonts w:ascii="Georgia" w:cs="Georgia" w:eastAsia="Georgia" w:hAnsi="Georgia"/>
          <w:color w:val="1A1A1A"/>
          <w:sz w:val="21"/>
          <w:szCs w:val="21"/>
        </w:rPr>
        <w:t xml:space="preserve"> linking the three links, and a handover to an institutional owner (for example a standards process or an existing biosecurity initiative).</w:t>
      </w:r>
    </w:p>
    <w:p>
      <w:pPr>
        <w:pStyle w:val="Heading3"/>
        <w:spacing w:after="70" w:before="160"/>
      </w:pPr>
      <w:r>
        <w:rPr>
          <w:rFonts w:ascii="Calibri" w:cs="Calibri" w:eastAsia="Calibri" w:hAnsi="Calibri"/>
          <w:b/>
          <w:bCs/>
          <w:color w:val="1F2A44"/>
          <w:sz w:val="22"/>
          <w:szCs w:val="22"/>
        </w:rPr>
        <w:t xml:space="preserve">3. The judgement to show</w:t>
      </w:r>
    </w:p>
    <w:p>
      <w:pPr>
        <w:spacing w:after="140" w:line="276"/>
        <w:jc w:val="both"/>
      </w:pPr>
      <w:r>
        <w:rPr>
          <w:rFonts w:ascii="Georgia" w:cs="Georgia" w:eastAsia="Georgia" w:hAnsi="Georgia"/>
          <w:color w:val="1A1A1A"/>
          <w:sz w:val="21"/>
          <w:szCs w:val="21"/>
        </w:rPr>
        <w:t xml:space="preserve">This is a domain where soft law has limits: the downside is catastrophic and actors can defect. The honest position is that voluntary principles are a starting point to build consensus and evidence, while some elements (such as screening requirements) will likely need to become binding through governments. Knowing when a convening approach is sufficient, and when it is only the first step, is part of the job.</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B4 · Behavioural Preparation</w:t>
      </w:r>
    </w:p>
    <w:p>
      <w:pPr>
        <w:spacing w:after="200" w:line="288"/>
      </w:pPr>
      <w:r>
        <w:rPr>
          <w:rFonts w:ascii="Georgia" w:cs="Georgia" w:eastAsia="Georgia" w:hAnsi="Georgia"/>
          <w:i/>
          <w:iCs/>
          <w:color w:val="55606E"/>
          <w:sz w:val="22"/>
          <w:szCs w:val="22"/>
        </w:rPr>
        <w:t xml:space="preserve">Former consultants often probe experience the way McKinsey’s Personal Experience Interview does: one story, explored in depth, with many follow-up questions. The stories below are mapped to the JD’s requirements. Prepare each in detail; do not add facts you cannot defend.</w:t>
      </w:r>
    </w:p>
    <w:p>
      <w:pPr>
        <w:pStyle w:val="Heading2"/>
        <w:spacing w:after="100" w:before="220"/>
      </w:pPr>
      <w:r>
        <w:rPr>
          <w:rFonts w:ascii="Calibri" w:cs="Calibri" w:eastAsia="Calibri" w:hAnsi="Calibri"/>
          <w:b/>
          <w:bCs/>
          <w:color w:val="2F5D8A"/>
          <w:sz w:val="25"/>
          <w:szCs w:val="25"/>
        </w:rPr>
        <w:t xml:space="preserve">1. What the probing looks like</w:t>
      </w:r>
    </w:p>
    <w:p>
      <w:pPr>
        <w:spacing w:after="140" w:line="276"/>
        <w:jc w:val="both"/>
      </w:pPr>
      <w:r>
        <w:rPr>
          <w:rFonts w:ascii="Georgia" w:cs="Georgia" w:eastAsia="Georgia" w:hAnsi="Georgia"/>
          <w:color w:val="1A1A1A"/>
          <w:sz w:val="21"/>
          <w:szCs w:val="21"/>
        </w:rPr>
        <w:t xml:space="preserve">You tell one story in three or four minutes (situation, problem, what you did, result), then expect ten or more follow-ups: What exactly did you say? Who disagreed, and why? What options did you consider? What would you do differently? The test is whether you personally drove the outcome, and whether you can recall it precisely. Use ‘I’, not ‘we’.</w:t>
      </w:r>
    </w:p>
    <w:p>
      <w:pPr>
        <w:pStyle w:val="Heading2"/>
        <w:spacing w:after="100" w:before="220"/>
      </w:pPr>
      <w:r>
        <w:rPr>
          <w:rFonts w:ascii="Calibri" w:cs="Calibri" w:eastAsia="Calibri" w:hAnsi="Calibri"/>
          <w:b/>
          <w:bCs/>
          <w:color w:val="2F5D8A"/>
          <w:sz w:val="25"/>
          <w:szCs w:val="25"/>
        </w:rPr>
        <w:t xml:space="preserve">2. Your story bank</w:t>
      </w:r>
    </w:p>
    <w:tbl>
      <w:tblPr>
        <w:tblW w:type="dxa" w:w="9360"/>
        <w:tblBorders>
          <w:top w:val="single" w:color="C9D3E0" w:sz="2"/>
          <w:left w:val="none"/>
          <w:bottom w:val="single" w:color="C9D3E0" w:sz="2"/>
          <w:right w:val="none"/>
          <w:insideH w:val="single" w:color="C9D3E0" w:sz="2"/>
          <w:insideV w:val="single" w:color="C9D3E0" w:sz="2"/>
        </w:tblBorders>
      </w:tblPr>
      <w:tblGrid>
        <w:gridCol w:w="3300"/>
        <w:gridCol w:w="3200"/>
        <w:gridCol w:w="2860"/>
      </w:tblGrid>
      <w:tr>
        <w:trPr>
          <w:tblHeader/>
        </w:trPr>
        <w:tc>
          <w:tcPr>
            <w:tcW w:type="dxa" w:w="33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Story (from your record)</w:t>
            </w:r>
          </w:p>
        </w:tc>
        <w:tc>
          <w:tcPr>
            <w:tcW w:type="dxa" w:w="32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evidences</w:t>
            </w:r>
          </w:p>
        </w:tc>
        <w:tc>
          <w:tcPr>
            <w:tcW w:type="dxa" w:w="28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JD requirement it answers</w:t>
            </w:r>
          </w:p>
        </w:tc>
      </w:tr>
      <w:tr>
        <w:tc>
          <w:tcPr>
            <w:tcW w:type="dxa" w:w="3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Advising on the design and sequencing of a flagship platform at FGS (e.g. the Global Cybersecurity Forum or the Saudi Green Initiative).</w:t>
            </w:r>
          </w:p>
        </w:tc>
        <w:tc>
          <w:tcPr>
            <w:tcW w:type="dxa" w:w="3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Building from concept; sequencing commitments; working with very senior government leaders.</w:t>
            </w:r>
          </w:p>
        </w:tc>
        <w:tc>
          <w:tcPr>
            <w:tcW w:type="dxa" w:w="2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Multistakeholder platforms; entrepreneurial build; senior relationships.</w:t>
            </w:r>
          </w:p>
        </w:tc>
      </w:tr>
      <w:tr>
        <w:tc>
          <w:tcPr>
            <w:tcW w:type="dxa" w:w="3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NEOM’s food and biotechnology programme within its bespoke regulatory environment.</w:t>
            </w:r>
          </w:p>
        </w:tc>
        <w:tc>
          <w:tcPr>
            <w:tcW w:type="dxa" w:w="3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Translating frontier technology and regulation into propositions decision-makers act on.</w:t>
            </w:r>
          </w:p>
        </w:tc>
        <w:tc>
          <w:tcPr>
            <w:tcW w:type="dxa" w:w="2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Frontier technology and governance; translation.</w:t>
            </w:r>
          </w:p>
        </w:tc>
      </w:tr>
      <w:tr>
        <w:tc>
          <w:tcPr>
            <w:tcW w:type="dxa" w:w="3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Leading your current climate and healthcare-continuity workstream.</w:t>
            </w:r>
          </w:p>
        </w:tc>
        <w:tc>
          <w:tcPr>
            <w:tcW w:type="dxa" w:w="3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Setting a research agenda; running a workstream end to end; producing a knowledge product.</w:t>
            </w:r>
          </w:p>
        </w:tc>
        <w:tc>
          <w:tcPr>
            <w:tcW w:type="dxa" w:w="2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Leading a workstream; thought leadership.</w:t>
            </w:r>
          </w:p>
        </w:tc>
      </w:tr>
      <w:tr>
        <w:tc>
          <w:tcPr>
            <w:tcW w:type="dxa" w:w="3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Building the cross-sector community of business leaders on workforce heat resilience.</w:t>
            </w:r>
          </w:p>
        </w:tc>
        <w:tc>
          <w:tcPr>
            <w:tcW w:type="dxa" w:w="3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Community building and sustaining engagement.</w:t>
            </w:r>
          </w:p>
        </w:tc>
        <w:tc>
          <w:tcPr>
            <w:tcW w:type="dxa" w:w="2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Multistakeholder community.</w:t>
            </w:r>
          </w:p>
        </w:tc>
      </w:tr>
      <w:tr>
        <w:tc>
          <w:tcPr>
            <w:tcW w:type="dxa" w:w="3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IEEP research on China’s renewable-energy transformation and the replication framework.</w:t>
            </w:r>
          </w:p>
        </w:tc>
        <w:tc>
          <w:tcPr>
            <w:tcW w:type="dxa" w:w="3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Analytical rigour; sequencing and replication logic.</w:t>
            </w:r>
          </w:p>
        </w:tc>
        <w:tc>
          <w:tcPr>
            <w:tcW w:type="dxa" w:w="2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Scalable, replicable model.</w:t>
            </w:r>
          </w:p>
        </w:tc>
      </w:tr>
      <w:tr>
        <w:tc>
          <w:tcPr>
            <w:tcW w:type="dxa" w:w="3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Comparative regulatory analysis at Herbert Smith Freehills, and implementation guidance at the UN in Geneva.</w:t>
            </w:r>
          </w:p>
        </w:tc>
        <w:tc>
          <w:tcPr>
            <w:tcW w:type="dxa" w:w="3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 expertise across jurisdictions; turning agreements into practice.</w:t>
            </w:r>
          </w:p>
        </w:tc>
        <w:tc>
          <w:tcPr>
            <w:tcW w:type="dxa" w:w="28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Regulation and law; international organisations.</w:t>
            </w:r>
          </w:p>
        </w:tc>
      </w:tr>
      <w:tr>
        <w:tc>
          <w:tcPr>
            <w:tcW w:type="dxa" w:w="3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setback: a project, convening or piece of advice that did not land.</w:t>
            </w:r>
          </w:p>
        </w:tc>
        <w:tc>
          <w:tcPr>
            <w:tcW w:type="dxa" w:w="3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Honesty and learning.</w:t>
            </w:r>
          </w:p>
        </w:tc>
        <w:tc>
          <w:tcPr>
            <w:tcW w:type="dxa" w:w="28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Resilience; judgement.</w:t>
            </w:r>
          </w:p>
        </w:tc>
      </w:tr>
    </w:tbl>
    <w:p>
      <w:pPr>
        <w:spacing w:after="80"/>
      </w:pP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Two checks before the interview.</w:t>
            </w:r>
            <w:r>
              <w:rPr>
                <w:rFonts w:ascii="Georgia" w:cs="Georgia" w:eastAsia="Georgia" w:hAnsi="Georgia"/>
                <w:color w:val="1F2A44"/>
                <w:sz w:val="20"/>
                <w:szCs w:val="20"/>
              </w:rPr>
              <w:t xml:space="preserve"> For every story, be ready to state precisely what you did (not the team), and one concrete result. And make sure every claim matches your CV wording exactly, particularly on NEOM’s regulatory regime and the carbon-credit work: the probing is designed to find the seams.</w:t>
            </w:r>
          </w:p>
        </w:tc>
      </w:tr>
    </w:tbl>
    <w:p>
      <w:pPr>
        <w:spacing w:after="80"/>
      </w:pPr>
    </w:p>
    <w:p>
      <w:pPr>
        <w:pStyle w:val="Heading1"/>
        <w:pBdr>
          <w:bottom w:val="single" w:color="2F5D8A" w:sz="12" w:space="6"/>
        </w:pBdr>
        <w:spacing w:after="140" w:before="260"/>
      </w:pPr>
      <w:r>
        <w:rPr>
          <w:rFonts w:ascii="Calibri" w:cs="Calibri" w:eastAsia="Calibri" w:hAnsi="Calibri"/>
          <w:b/>
          <w:bCs/>
          <w:color w:val="1F2A44"/>
          <w:sz w:val="30"/>
          <w:szCs w:val="30"/>
        </w:rPr>
        <w:t xml:space="preserve">B5 · Questions to Ask</w:t>
      </w:r>
    </w:p>
    <w:p>
      <w:pPr>
        <w:spacing w:after="140" w:line="276"/>
        <w:jc w:val="both"/>
      </w:pPr>
      <w:r>
        <w:rPr>
          <w:rFonts w:ascii="Georgia" w:cs="Georgia" w:eastAsia="Georgia" w:hAnsi="Georgia"/>
          <w:color w:val="1A1A1A"/>
          <w:sz w:val="21"/>
          <w:szCs w:val="21"/>
        </w:rPr>
        <w:t xml:space="preserve">You have already asked the Head of Digital Inclusion about the UAE partnership, key relationships and success metrics; build on those answers rather than repeating them.</w:t>
      </w:r>
    </w:p>
    <w:p>
      <w:pPr>
        <w:pStyle w:val="Heading2"/>
        <w:spacing w:after="100" w:before="220"/>
      </w:pPr>
      <w:r>
        <w:rPr>
          <w:rFonts w:ascii="Calibri" w:cs="Calibri" w:eastAsia="Calibri" w:hAnsi="Calibri"/>
          <w:b/>
          <w:bCs/>
          <w:color w:val="2F5D8A"/>
          <w:sz w:val="25"/>
          <w:szCs w:val="25"/>
        </w:rPr>
        <w:t xml:space="preserve">For the panel</w:t>
      </w:r>
    </w:p>
    <w:p>
      <w:pPr>
        <w:pStyle w:val="ListParagraph"/>
        <w:numPr>
          <w:ilvl w:val="0"/>
          <w:numId w:val="1"/>
        </w:numPr>
        <w:spacing w:after="70" w:line="268"/>
      </w:pPr>
      <w:r>
        <w:rPr>
          <w:rFonts w:ascii="Georgia" w:cs="Georgia" w:eastAsia="Georgia" w:hAnsi="Georgia"/>
          <w:color w:val="1A1A1A"/>
          <w:sz w:val="21"/>
          <w:szCs w:val="21"/>
        </w:rPr>
        <w:t xml:space="preserve">How did the decision to start with the quantum team come about, and what does the team hope to get from the collaboration?</w:t>
      </w:r>
    </w:p>
    <w:p>
      <w:pPr>
        <w:pStyle w:val="ListParagraph"/>
        <w:numPr>
          <w:ilvl w:val="0"/>
          <w:numId w:val="1"/>
        </w:numPr>
        <w:spacing w:after="70" w:line="268"/>
      </w:pPr>
      <w:r>
        <w:rPr>
          <w:rFonts w:ascii="Georgia" w:cs="Georgia" w:eastAsia="Georgia" w:hAnsi="Georgia"/>
          <w:color w:val="1A1A1A"/>
          <w:sz w:val="21"/>
          <w:szCs w:val="21"/>
        </w:rPr>
        <w:t xml:space="preserve">What is the intended scope of ‘planetary systems’ as a technology initiative?</w:t>
      </w:r>
    </w:p>
    <w:p>
      <w:pPr>
        <w:pStyle w:val="ListParagraph"/>
        <w:numPr>
          <w:ilvl w:val="0"/>
          <w:numId w:val="1"/>
        </w:numPr>
        <w:spacing w:after="70" w:line="268"/>
      </w:pPr>
      <w:r>
        <w:rPr>
          <w:rFonts w:ascii="Georgia" w:cs="Georgia" w:eastAsia="Georgia" w:hAnsi="Georgia"/>
          <w:color w:val="1A1A1A"/>
          <w:sz w:val="21"/>
          <w:szCs w:val="21"/>
        </w:rPr>
        <w:t xml:space="preserve">How do you see the balance between depth with one team and coverage across all of them in the first months?</w:t>
      </w:r>
    </w:p>
    <w:p>
      <w:pPr>
        <w:pStyle w:val="ListParagraph"/>
        <w:numPr>
          <w:ilvl w:val="0"/>
          <w:numId w:val="1"/>
        </w:numPr>
        <w:spacing w:after="70" w:line="268"/>
      </w:pPr>
      <w:r>
        <w:rPr>
          <w:rFonts w:ascii="Georgia" w:cs="Georgia" w:eastAsia="Georgia" w:hAnsi="Georgia"/>
          <w:color w:val="1A1A1A"/>
          <w:sz w:val="21"/>
          <w:szCs w:val="21"/>
        </w:rPr>
        <w:t xml:space="preserve">Which regulators or governments are already closest to the frontier-technology teams’ work?</w:t>
      </w:r>
    </w:p>
    <w:p>
      <w:pPr>
        <w:pStyle w:val="ListParagraph"/>
        <w:numPr>
          <w:ilvl w:val="0"/>
          <w:numId w:val="1"/>
        </w:numPr>
        <w:spacing w:after="70" w:line="268"/>
      </w:pPr>
      <w:r>
        <w:rPr>
          <w:rFonts w:ascii="Georgia" w:cs="Georgia" w:eastAsia="Georgia" w:hAnsi="Georgia"/>
          <w:color w:val="1A1A1A"/>
          <w:sz w:val="21"/>
          <w:szCs w:val="21"/>
        </w:rPr>
        <w:t xml:space="preserve">What would make you say, in May 2027, that this workstream had been worth creating?</w:t>
      </w:r>
    </w:p>
    <w:p>
      <w:pPr>
        <w:pStyle w:val="ListParagraph"/>
        <w:numPr>
          <w:ilvl w:val="0"/>
          <w:numId w:val="1"/>
        </w:numPr>
        <w:spacing w:after="70" w:line="268"/>
      </w:pPr>
      <w:r>
        <w:rPr>
          <w:rFonts w:ascii="Georgia" w:cs="Georgia" w:eastAsia="Georgia" w:hAnsi="Georgia"/>
          <w:color w:val="1A1A1A"/>
          <w:sz w:val="21"/>
          <w:szCs w:val="21"/>
        </w:rPr>
        <w:t xml:space="preserve">How does this work connect to the Centres for AI Excellence and Cybersecurity day to day?</w:t>
      </w:r>
    </w:p>
    <w:p>
      <w:pPr>
        <w:pStyle w:val="Heading2"/>
        <w:spacing w:after="100" w:before="220"/>
      </w:pPr>
      <w:r>
        <w:rPr>
          <w:rFonts w:ascii="Calibri" w:cs="Calibri" w:eastAsia="Calibri" w:hAnsi="Calibri"/>
          <w:b/>
          <w:bCs/>
          <w:color w:val="2F5D8A"/>
          <w:sz w:val="25"/>
          <w:szCs w:val="25"/>
        </w:rPr>
        <w:t xml:space="preserve">For HR</w:t>
      </w:r>
    </w:p>
    <w:p>
      <w:pPr>
        <w:pStyle w:val="ListParagraph"/>
        <w:numPr>
          <w:ilvl w:val="0"/>
          <w:numId w:val="1"/>
        </w:numPr>
        <w:spacing w:after="70" w:line="268"/>
      </w:pPr>
      <w:r>
        <w:rPr>
          <w:rFonts w:ascii="Georgia" w:cs="Georgia" w:eastAsia="Georgia" w:hAnsi="Georgia"/>
          <w:color w:val="1A1A1A"/>
          <w:sz w:val="21"/>
          <w:szCs w:val="21"/>
        </w:rPr>
        <w:t xml:space="preserve">Who will be on the panel, and what format should I expect?</w:t>
      </w:r>
    </w:p>
    <w:p>
      <w:pPr>
        <w:pStyle w:val="ListParagraph"/>
        <w:numPr>
          <w:ilvl w:val="0"/>
          <w:numId w:val="1"/>
        </w:numPr>
        <w:spacing w:after="70" w:line="268"/>
      </w:pPr>
      <w:r>
        <w:rPr>
          <w:rFonts w:ascii="Georgia" w:cs="Georgia" w:eastAsia="Georgia" w:hAnsi="Georgia"/>
          <w:color w:val="1A1A1A"/>
          <w:sz w:val="21"/>
          <w:szCs w:val="21"/>
        </w:rPr>
        <w:t xml:space="preserve">What is the timeline to a decision, and the intended start date?</w:t>
      </w:r>
    </w:p>
    <w:p>
      <w:pPr>
        <w:pStyle w:val="ListParagraph"/>
        <w:numPr>
          <w:ilvl w:val="0"/>
          <w:numId w:val="1"/>
        </w:numPr>
        <w:spacing w:after="70" w:line="268"/>
      </w:pPr>
      <w:r>
        <w:rPr>
          <w:rFonts w:ascii="Georgia" w:cs="Georgia" w:eastAsia="Georgia" w:hAnsi="Georgia"/>
          <w:color w:val="1A1A1A"/>
          <w:sz w:val="21"/>
          <w:szCs w:val="21"/>
        </w:rPr>
        <w:t xml:space="preserve">How does the Forum typically handle continuity for people in temporary roles when the work is going well?</w:t>
      </w:r>
    </w:p>
    <w:p>
      <w:pPr>
        <w:pStyle w:val="Heading1"/>
        <w:pBdr>
          <w:bottom w:val="single" w:color="2F5D8A" w:sz="12" w:space="6"/>
        </w:pBdr>
        <w:spacing w:after="140" w:before="260"/>
      </w:pPr>
      <w:r>
        <w:rPr>
          <w:rFonts w:ascii="Calibri" w:cs="Calibri" w:eastAsia="Calibri" w:hAnsi="Calibri"/>
          <w:b/>
          <w:bCs/>
          <w:color w:val="1F2A44"/>
          <w:sz w:val="30"/>
          <w:szCs w:val="30"/>
        </w:rPr>
        <w:t xml:space="preserve">B6 · Final Checklist</w:t>
      </w:r>
    </w:p>
    <w:tbl>
      <w:tblPr>
        <w:tblW w:type="dxa" w:w="9360"/>
        <w:tblBorders>
          <w:top w:val="single" w:color="C9D3E0" w:sz="2"/>
          <w:left w:val="none"/>
          <w:bottom w:val="single" w:color="C9D3E0" w:sz="2"/>
          <w:right w:val="none"/>
          <w:insideH w:val="single" w:color="C9D3E0" w:sz="2"/>
          <w:insideV w:val="single" w:color="C9D3E0" w:sz="2"/>
        </w:tblBorders>
      </w:tblPr>
      <w:tblGrid>
        <w:gridCol w:w="2400"/>
        <w:gridCol w:w="6960"/>
      </w:tblGrid>
      <w:tr>
        <w:trPr>
          <w:tblHeader/>
        </w:trPr>
        <w:tc>
          <w:tcPr>
            <w:tcW w:type="dxa" w:w="24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Have ready</w:t>
            </w:r>
          </w:p>
        </w:tc>
        <w:tc>
          <w:tcPr>
            <w:tcW w:type="dxa" w:w="69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Content</w:t>
            </w:r>
          </w:p>
        </w:tc>
      </w:tr>
      <w:tr>
        <w:tc>
          <w:tcPr>
            <w:tcW w:type="dxa" w:w="2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role in five verbs</w:t>
            </w:r>
          </w:p>
        </w:tc>
        <w:tc>
          <w:tcPr>
            <w:tcW w:type="dxa" w:w="69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Connect, integrate, convene, translate, codify. Not: writing regulation, running sandboxes, building GRIP’s index or paper.</w:t>
            </w:r>
          </w:p>
        </w:tc>
      </w:tr>
      <w:tr>
        <w:tc>
          <w:tcPr>
            <w:tcW w:type="dxa" w:w="2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Your three messages</w:t>
            </w:r>
          </w:p>
        </w:tc>
        <w:tc>
          <w:tcPr>
            <w:tcW w:type="dxa" w:w="69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Technology, policy and law; platforms from concept to delivery; sequencing and replication.</w:t>
            </w:r>
          </w:p>
        </w:tc>
      </w:tr>
      <w:tr>
        <w:tc>
          <w:tcPr>
            <w:tcW w:type="dxa" w:w="2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Why quantum first</w:t>
            </w:r>
          </w:p>
        </w:tc>
        <w:tc>
          <w:tcPr>
            <w:tcW w:type="dxa" w:w="69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Hard deadlines (2030/2035); the FCA precedent (2024); fragmentation across jurisdictions; existing Forum body of work; Abu Dhabi centre focus.</w:t>
            </w:r>
          </w:p>
        </w:tc>
      </w:tr>
      <w:tr>
        <w:tc>
          <w:tcPr>
            <w:tcW w:type="dxa" w:w="2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Five quantum facts</w:t>
            </w:r>
          </w:p>
        </w:tc>
        <w:tc>
          <w:tcPr>
            <w:tcW w:type="dxa" w:w="69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NIST PQC standards (Aug 2024); Gidney 2025 (&lt;1M qubits, &lt;1 week); Willow below threshold (2024) and Helios 48 logical qubits (2025); IBM Starling 200 logical qubits by 2029; McKinsey 2026: ~$12.6bn invested in 2025.</w:t>
            </w:r>
          </w:p>
        </w:tc>
      </w:tr>
      <w:tr>
        <w:tc>
          <w:tcPr>
            <w:tcW w:type="dxa" w:w="2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Two frameworks</w:t>
            </w:r>
          </w:p>
        </w:tc>
        <w:tc>
          <w:tcPr>
            <w:tcW w:type="dxa" w:w="69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Mosca’s theorem (X + Y &gt; Z); governance questions by maturity stage.</w:t>
            </w:r>
          </w:p>
        </w:tc>
      </w:tr>
      <w:tr>
        <w:tc>
          <w:tcPr>
            <w:tcW w:type="dxa" w:w="2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case structure</w:t>
            </w:r>
          </w:p>
        </w:tc>
        <w:tc>
          <w:tcPr>
            <w:tcW w:type="dxa" w:w="69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Governing principles, phased framework, dependencies, transition logic, feedback architecture.</w:t>
            </w:r>
          </w:p>
        </w:tc>
      </w:tr>
      <w:tr>
        <w:tc>
          <w:tcPr>
            <w:tcW w:type="dxa" w:w="2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Realism</w:t>
            </w:r>
          </w:p>
        </w:tc>
        <w:tc>
          <w:tcPr>
            <w:tcW w:type="dxa" w:w="69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Six to eight months of tenure: one collaboration completed, a second under way, a method documented.</w:t>
            </w:r>
          </w:p>
        </w:tc>
      </w:tr>
    </w:tbl>
    <w:p>
      <w:pPr>
        <w:spacing w:after="80"/>
      </w:pPr>
    </w:p>
    <w:sectPr>
      <w:footerReference w:type="default" r:id="rId7"/>
      <w:pgSz w:w="12240" w:h="15840" w:orient="portrait"/>
      <w:pgMar w:top="118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0" w:sz="4" w:space="6"/>
      </w:pBdr>
      <w:tabs>
        <w:tab w:val="right" w:pos="9360"/>
      </w:tabs>
    </w:pPr>
    <w:r>
      <w:rPr>
        <w:rFonts w:ascii="Calibri" w:cs="Calibri" w:eastAsia="Calibri" w:hAnsi="Calibri"/>
        <w:color w:val="55606E"/>
        <w:sz w:val="15"/>
        <w:szCs w:val="15"/>
      </w:rPr>
      <w:t xml:space="preserve">Frontier Technology Governance · Part B: Interview and Case Preparation</w:t>
    </w:r>
    <w:r>
      <w:rPr>
        <w:sz w:val="15"/>
        <w:szCs w:val="15"/>
      </w:rPr>
      <w:t xml:space="preserve">	</w:t>
    </w:r>
    <w:r>
      <w:rPr>
        <w:rFonts w:ascii="Calibri" w:cs="Calibri" w:eastAsia="Calibri" w:hAnsi="Calibri"/>
        <w:color w:val="55606E"/>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Frontier Technology Governance — Part B: Interview and Case Preparation</dc:title>
  <dc:creator>Interview Preparation</dc:creator>
  <cp:lastModifiedBy>Un-named</cp:lastModifiedBy>
  <cp:revision>1</cp:revision>
  <dcterms:created xsi:type="dcterms:W3CDTF">2026-09-28T18:55:06.049Z</dcterms:created>
  <dcterms:modified xsi:type="dcterms:W3CDTF">2026-09-28T18:55:06.049Z</dcterms:modified>
</cp:coreProperties>
</file>

<file path=docProps/custom.xml><?xml version="1.0" encoding="utf-8"?>
<Properties xmlns="http://schemas.openxmlformats.org/officeDocument/2006/custom-properties" xmlns:vt="http://schemas.openxmlformats.org/officeDocument/2006/docPropsVTypes"/>
</file>