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F5D8A" w:sz="12" w:space="6"/>
        </w:pBdr>
        <w:spacing w:after="140" w:before="2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Cheat Sheet — Frontier Tech &amp; Regulatory Innovation</w:t>
      </w:r>
    </w:p>
    <w:p>
      <w:pPr>
        <w:spacing w:after="20"/>
      </w:pP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The thesis (open or close with this)</w:t>
      </w:r>
    </w:p>
    <w:tbl>
      <w:tblPr>
        <w:tblW w:type="pct" w:w="100%"/>
        <w:tblBorders>
          <w:top w:val="single" w:color="2F5D8A" w:sz="4"/>
          <w:left w:val="single" w:color="2F5D8A" w:sz="24"/>
          <w:bottom w:val="single" w:color="2F5D8A" w:sz="4"/>
          <w:right w:val="single" w:color="2F5D8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color w:val="1F2A44"/>
                <w:sz w:val="20"/>
                <w:szCs w:val="20"/>
              </w:rPr>
              <w:t xml:space="preserve">In the Intelligent Age, regulation is a strategic lever, not just a brake — its agility and quality shape a country’s competitiveness. My job is the connective tissue between where technology is going and how it gets governed: agile enough to keep pace, credible enough to adopt, practical enough to replicate across borders.</w:t>
            </w:r>
          </w:p>
        </w:tc>
      </w:tr>
    </w:tbl>
    <w:p>
      <w:pPr>
        <w:spacing w:after="80"/>
      </w:pP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Five must-knows about the role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GRIP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— Global Regulatory Innovation Platform; WEF + UAE, launched July 2025; 2-yr roadmap. Three deliverables: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Global Regulatory Playbook · Regulatory Future Readiness Index · Global Regulatory Innovation Hub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(sandbox). Initial focus: AI, health, digital finance.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Your role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— build a </w:t>
      </w:r>
      <w:r>
        <w:rPr>
          <w:rFonts w:ascii="Georgia" w:cs="Georgia" w:eastAsia="Georgia" w:hAnsi="Georgia"/>
          <w:i/>
          <w:iCs/>
          <w:color w:val="1A1A1A"/>
          <w:sz w:val="21"/>
          <w:szCs w:val="21"/>
        </w:rPr>
        <w:t xml:space="preserve">new cross-cutting workstream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taking GRIP’s model upstream into frontier domains; report to Head of Digital Inclusion; partner CFTI, Cyber, AI Centres. Temp to May 2027, Geneva.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CFTI / C4IR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— Centre for Frontier Technologies; global network of government-hosted centres (US, Germany, KSA, Japan, India, + Abu Dhabi frontier-tech centre 2026). Your delivery + pilot vehicle.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The Forum has no rule-making power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— impact = convening, communities, knowledge products, initiatives. You build conditions for better rules, not the rules.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You are the translator, not the deepest scientist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— expert in the </w:t>
      </w:r>
      <w:r>
        <w:rPr>
          <w:rFonts w:ascii="Georgia" w:cs="Georgia" w:eastAsia="Georgia" w:hAnsi="Georgia"/>
          <w:i/>
          <w:iCs/>
          <w:color w:val="1A1A1A"/>
          <w:sz w:val="21"/>
          <w:szCs w:val="21"/>
        </w:rPr>
        <w:t xml:space="preserve">craft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(regulatory innovation), fast and honest across the science.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The craft — say these precisely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Pacing problem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(tech exponential, law incremental) ·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Collingridge dilemma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(easy to shape early / hard to predict; hard to change late) ·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precaution vs permissionless innovation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Five agile principles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(Deloitte, </w:t>
      </w:r>
      <w:r>
        <w:rPr>
          <w:rFonts w:ascii="Georgia" w:cs="Georgia" w:eastAsia="Georgia" w:hAnsi="Georgia"/>
          <w:i/>
          <w:iCs/>
          <w:color w:val="1A1A1A"/>
          <w:sz w:val="21"/>
          <w:szCs w:val="21"/>
        </w:rPr>
        <w:t xml:space="preserve">Future of Regulation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, 2018; adopted into WEF practice)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: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adaptive · outcome-based · risk-based · collaborative · sandboxes. Plus experimental, data-driven, self/co-regulation, international cooperation.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Anticipatory governance = foresight → experimentation → learning.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Mechanisms: sandboxes, sunset clauses, mandatory review, RIA, living guidance.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Soft law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(standards, codes, principles) = the on-ramp to hard law, not the absence of it.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RegTech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(comply) vs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SupTech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(supervise).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Sandbox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= controlled, time-limited test with real users, relaxed rules + safeguards. UK FCA 2016; 50+ jurisdictions; EU AI Act mandates national sandboxes by 2026. Always pair with a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codification plan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Five domains — the one-line dilemma each</w:t>
      </w:r>
    </w:p>
    <w:tbl>
      <w:tblPr>
        <w:tblW w:type="dxa" w:w="10360"/>
        <w:tblBorders>
          <w:top w:val="single" w:color="C9D3E0" w:sz="2"/>
          <w:left w:val="none"/>
          <w:bottom w:val="single" w:color="C9D3E0" w:sz="2"/>
          <w:right w:val="none"/>
          <w:insideH w:val="single" w:color="C9D3E0" w:sz="2"/>
          <w:insideV w:val="single" w:color="C9D3E0" w:sz="2"/>
        </w:tblBorders>
      </w:tblPr>
      <w:tblGrid>
        <w:gridCol w:w="1900"/>
        <w:gridCol w:w="5300"/>
        <w:gridCol w:w="3160"/>
      </w:tblGrid>
      <w:tr>
        <w:trPr>
          <w:tblHeader/>
        </w:trPr>
        <w:tc>
          <w:tcPr>
            <w:tcW w:type="dxa" w:w="19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53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Core governance dilemma</w:t>
            </w:r>
          </w:p>
        </w:tc>
        <w:tc>
          <w:tcPr>
            <w:tcW w:type="dxa" w:w="31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Anchor fact</w:t>
            </w:r>
          </w:p>
        </w:tc>
      </w:tr>
      <w:tr>
        <w:tc>
          <w:tcPr>
            <w:tcW w:type="dxa" w:w="1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AI / GPAI</w:t>
            </w:r>
          </w:p>
        </w:tc>
        <w:tc>
          <w:tcPr>
            <w:tcW w:type="dxa" w:w="5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Regulate a general-purpose tech whose risks are emergent and unpredictable — model-level vs use-level.</w:t>
            </w:r>
          </w:p>
        </w:tc>
        <w:tc>
          <w:tcPr>
            <w:tcW w:type="dxa" w:w="31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EU AI Act (risk tiers); GPAI + systemic-risk duties; GPAI Code of Practice 2025.</w:t>
            </w:r>
          </w:p>
        </w:tc>
      </w:tr>
      <w:tr>
        <w:tc>
          <w:tcPr>
            <w:tcW w:type="dxa" w:w="1900"/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Quantum</w:t>
            </w:r>
          </w:p>
        </w:tc>
        <w:tc>
          <w:tcPr>
            <w:tcW w:type="dxa" w:w="5300"/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Govern a future, cryptographic risk now; dual-use, geopolitical supply chain.</w:t>
            </w:r>
          </w:p>
        </w:tc>
        <w:tc>
          <w:tcPr>
            <w:tcW w:type="dxa" w:w="3160"/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‘Harvest now, decrypt later’; NIST PQC standards 2024 (ML-KEM/ML-DSA/SLH-DSA).</w:t>
            </w:r>
          </w:p>
        </w:tc>
      </w:tr>
      <w:tr>
        <w:tc>
          <w:tcPr>
            <w:tcW w:type="dxa" w:w="1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Biotech / synbio</w:t>
            </w:r>
          </w:p>
        </w:tc>
        <w:tc>
          <w:tcPr>
            <w:tcW w:type="dxa" w:w="5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Capture benefits while preventing catastrophic dual-use misuse; capability outside reach.</w:t>
            </w:r>
          </w:p>
        </w:tc>
        <w:tc>
          <w:tcPr>
            <w:tcW w:type="dxa" w:w="31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AI-bio convergence outpaces DNA-synthesis screening; BWC has no verification.</w:t>
            </w:r>
          </w:p>
        </w:tc>
      </w:tr>
      <w:tr>
        <w:tc>
          <w:tcPr>
            <w:tcW w:type="dxa" w:w="1900"/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Robotics / AV</w:t>
            </w:r>
          </w:p>
        </w:tc>
        <w:tc>
          <w:tcPr>
            <w:tcW w:type="dxa" w:w="5300"/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Who’s liable when an autonomous, learning system harms — and how to certify it.</w:t>
            </w:r>
          </w:p>
        </w:tc>
        <w:tc>
          <w:tcPr>
            <w:tcW w:type="dxa" w:w="3160"/>
            <w:shd w:fill="F4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UNECE ADS reg 2026 (safety case); EU Machinery + Product Liability; SAE 0–5.</w:t>
            </w:r>
          </w:p>
        </w:tc>
      </w:tr>
      <w:tr>
        <w:tc>
          <w:tcPr>
            <w:tcW w:type="dxa" w:w="1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Planetary systems</w:t>
            </w:r>
          </w:p>
        </w:tc>
        <w:tc>
          <w:tcPr>
            <w:tcW w:type="dxa" w:w="5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Govern global commons (space; climate SRM) where national rules don’t reach.</w:t>
            </w:r>
          </w:p>
        </w:tc>
        <w:tc>
          <w:tcPr>
            <w:tcW w:type="dxa" w:w="31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Outer Space Treaty 1967; SRM Non-Use Agreement / CBD moratorium.</w:t>
            </w:r>
          </w:p>
        </w:tc>
      </w:tr>
    </w:tbl>
    <w:p>
      <w:pPr>
        <w:spacing w:after="80"/>
      </w:pP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Three rulebooks + the Brussels effect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EU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= rights + risk, precautionary, comprehensive (AI Act, GDPR).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US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= market-led, sectoral, light-touch (EOs, NIST).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China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= state-directed, vertical (algorithm/GenAI rules, CAC).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UK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= principles-based, pro-innovation, sector regulators.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Brussels effect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(Bradford): EU rules go global via market access — </w:t>
      </w:r>
      <w:r>
        <w:rPr>
          <w:rFonts w:ascii="Georgia" w:cs="Georgia" w:eastAsia="Georgia" w:hAnsi="Georgia"/>
          <w:i/>
          <w:iCs/>
          <w:color w:val="1A1A1A"/>
          <w:sz w:val="21"/>
          <w:szCs w:val="21"/>
        </w:rPr>
        <w:t xml:space="preserve">real but weakening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as US/China pursue rival models. The prize isn’t harmonised law but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interoperability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(compatible in effect).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Fragmentation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raises cost, entrenches incumbents, enables forum-shopping.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Small yard, high fence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= targeted export controls.</w:t>
      </w:r>
    </w:p>
    <w:p>
      <w:r>
        <w:br w:type="page"/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Reusable case frameworks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Sandbox design — O-SEE-C: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Objective &amp; success measures · Scope/eligibility · Exemptions · safEguards · Codification plan.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Divergence — interoperability ladder: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shared terminology → standards/metrics → mutual recognition → minimum baselines → (rarely) harmonised law. Aim as high as politics allows.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Crisis — C-TAP: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Convene fast · Target the true failure point · Absorb the responsible majority into the fix · Persist into durable rules. (Neither paralysis nor overreaction.)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Build from zero — 100 days: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Listen &amp; map (1–30) → Focus &amp; frame on 2–3 beachheads (31–60) → Prove with one convening + one product (61–100). Evidence before scale.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Prioritise domains: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gap severity · right to convene · partner readiness · replicability.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The consultant panel (they're ex-McKinsey)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Score = structure &gt; recall.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They grade how you break down a messy question, prioritise (80/20), hypothesise, quantify, and communicate.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Communicate top-down: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answer first (Pyramid Principle), signpost (“three things…”), synthesise not summarise, quantify directionally.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Case drill (6 steps):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take a moment → structure (MECE, bespoke) → hypothesise → prioritise → work the branches → synthesise (recommendation + risk + next step).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Never framework-dump.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PEI (≈50% of interview), 4 dimensions (2025):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Leadership (direction, mobilise), Connection (persuade/influence), Drive (initiative, build from scratch), Growth (resistance, learn from failure). 8 stories, 2 per dimension, SPAR, first-person “I”, granular detail (expect 10–25 probes).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Measuring impact (avoid vanity metrics)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Adoption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(did regulators take it up?) →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Outcome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(did a real decision change?) → </w:t>
      </w: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System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(did readiness/interoperability improve?). Define at design time; report honestly.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Power phrases — drop these verbatim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“When capability outruns evaluation science, you regulate the trajectory, not a snapshot.”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“A sandbox without a codification plan is a press release — the point is the learning loop.”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“Soft law isn’t the absence of regulation; it’s the on-ramp to it, and often the only thing fast enough.”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“We don’t make the rules — we build the conditions in which better rules get made and adopted.”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“In a matrix you don’t win by owning turf; you win by making everyone else’s work more usable.”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“You don’t export rules — you export methods; the regulatory patterns rhyme even when the science doesn’t.”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“Some frontiers aren’t a speed problem — they’re a legitimacy problem, and you don’t innovate around legitimacy.”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“Inclusion is a design constraint, not a courtesy — rules built by the few fail on legitimacy and substance.”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“I don’t bet on being right — I build instruments that let us be wrong safely and correct fast.”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Handling the two hardest challenges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“Multistakeholderism = corporations writing their own rules.”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→ Acknowledge it; it’s a </w:t>
      </w:r>
      <w:r>
        <w:rPr>
          <w:rFonts w:ascii="Georgia" w:cs="Georgia" w:eastAsia="Georgia" w:hAnsi="Georgia"/>
          <w:i/>
          <w:iCs/>
          <w:color w:val="1A1A1A"/>
          <w:sz w:val="21"/>
          <w:szCs w:val="21"/>
        </w:rPr>
        <w:t xml:space="preserve">complement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to democracy/multilateralism, not a replacement; legitimacy earned via inclusion (Global South, civil society), transparency, and government adoption through accountable processes.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“The Forum can’t legislate, so what’s the point?”</w:t>
      </w:r>
      <w:r>
        <w:rPr>
          <w:rFonts w:ascii="Georgia" w:cs="Georgia" w:eastAsia="Georgia" w:hAnsi="Georgia"/>
          <w:color w:val="1A1A1A"/>
          <w:sz w:val="21"/>
          <w:szCs w:val="21"/>
        </w:rPr>
        <w:t xml:space="preserve"> → Convening is the comparative advantage precisely where formal authority is fragmented; the missing ingredient isn’t law, it’s trusted alignment before positions harden + adoptable instruments.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Reports to name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Agile Governance: Reimagining Policy-making in the 4IR · Agile Regulation for the 4IR — Toolkit for Regulators (2020) · Global Technology Governance Report (2021) · The Regulatory Frontier / GRIP (2025) · Global Risks Report · Future of Jobs Report.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Last-minute confidence check</w:t>
      </w:r>
    </w:p>
    <w:tbl>
      <w:tblPr>
        <w:tblW w:type="pct" w:w="100%"/>
        <w:tblBorders>
          <w:top w:val="single" w:color="2F5D8A" w:sz="4"/>
          <w:left w:val="single" w:color="2F5D8A" w:sz="24"/>
          <w:bottom w:val="single" w:color="2F5D8A" w:sz="4"/>
          <w:right w:val="single" w:color="2F5D8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color w:val="1F2A44"/>
                <w:sz w:val="20"/>
                <w:szCs w:val="20"/>
              </w:rPr>
              <w:t xml:space="preserve">Can I (1) state the thesis; (2) name GRIP’s three deliverables; (3) give each domain’s dilemma in a sentence; (4) define a sandbox and its limits; (5) name the five agile principles; (6) run O-SEE-C, the interoperability ladder and my 100-day plan; (7) handle the multistakeholder-legitimacy challenge without getting defensive? If yes to all seven, I’m ready.</w:t>
            </w:r>
          </w:p>
        </w:tc>
      </w:tr>
    </w:tbl>
    <w:p>
      <w:pPr>
        <w:spacing w:after="80"/>
      </w:pPr>
    </w:p>
    <w:sectPr>
      <w:footerReference w:type="default" r:id="rId7"/>
      <w:pgSz w:w="12240" w:h="15840" w:orient="portrait"/>
      <w:pgMar w:top="760" w:right="900" w:bottom="6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4" w:space="6"/>
      </w:pBdr>
      <w:tabs>
        <w:tab w:val="right" w:pos="9360"/>
      </w:tabs>
    </w:pPr>
    <w:r>
      <w:rPr>
        <w:rFonts w:ascii="Calibri" w:cs="Calibri" w:eastAsia="Calibri" w:hAnsi="Calibri"/>
        <w:color w:val="55606E"/>
        <w:sz w:val="15"/>
        <w:szCs w:val="15"/>
      </w:rPr>
      <w:t xml:space="preserve">Cheat Sheet — Frontier Tech &amp; Regulatory Innovation</w:t>
    </w:r>
    <w:r>
      <w:rPr>
        <w:sz w:val="15"/>
        <w:szCs w:val="15"/>
      </w:rPr>
      <w:t xml:space="preserve">	</w:t>
    </w:r>
    <w:r>
      <w:rPr>
        <w:rFonts w:ascii="Calibri" w:cs="Calibri" w:eastAsia="Calibri" w:hAnsi="Calibri"/>
        <w:color w:val="55606E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GRIP Interview — Cheat Sheet</dc:title>
  <dc:creator>Interview Preparation</dc:creator>
  <cp:lastModifiedBy>Un-named</cp:lastModifiedBy>
  <cp:revision>1</cp:revision>
  <dcterms:created xsi:type="dcterms:W3CDTF">2026-09-19T10:35:50.322Z</dcterms:created>
  <dcterms:modified xsi:type="dcterms:W3CDTF">2026-09-19T10:35:50.322Z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