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2F5D8A"/>
          <w:spacing w:val="50"/>
          <w:sz w:val="24"/>
          <w:szCs w:val="24"/>
        </w:rPr>
        <w:t xml:space="preserve">INTERVIEW PREPARATION · PART B</w:t>
      </w:r>
    </w:p>
    <w:p>
      <w:pPr>
        <w:pBdr>
          <w:bottom w:val="single" w:color="2F5D8A" w:sz="14" w:space="10"/>
        </w:pBdr>
        <w:spacing w:after="0" w:before="40"/>
      </w:pPr>
    </w:p>
    <w:p>
      <w:pPr>
        <w:spacing w:after="0" w:before="300"/>
      </w:pPr>
      <w:r>
        <w:rPr>
          <w:rFonts w:ascii="Calibri" w:cs="Calibri" w:eastAsia="Calibri" w:hAnsi="Calibri"/>
          <w:b/>
          <w:bCs/>
          <w:color w:val="1F2A44"/>
          <w:sz w:val="56"/>
          <w:szCs w:val="56"/>
        </w:rPr>
        <w:t xml:space="preserve">Interview &amp; Case Prep</w:t>
      </w:r>
    </w:p>
    <w:p>
      <w:pPr>
        <w:spacing w:after="240" w:before="40"/>
      </w:pPr>
      <w:r>
        <w:rPr>
          <w:rFonts w:ascii="Calibri" w:cs="Calibri" w:eastAsia="Calibri" w:hAnsi="Calibri"/>
          <w:i/>
          <w:iCs/>
          <w:color w:val="2F5D8A"/>
          <w:sz w:val="30"/>
          <w:szCs w:val="30"/>
        </w:rPr>
        <w:t xml:space="preserve">For a management-consulting partner panel</w:t>
      </w:r>
    </w:p>
    <w:p>
      <w:pPr>
        <w:spacing w:after="40"/>
      </w:pPr>
      <w:r>
        <w:rPr>
          <w:rFonts w:ascii="Calibri" w:cs="Calibri" w:eastAsia="Calibri" w:hAnsi="Calibri"/>
          <w:b/>
          <w:bCs/>
          <w:color w:val="1F2A44"/>
          <w:sz w:val="26"/>
          <w:szCs w:val="26"/>
        </w:rPr>
        <w:t xml:space="preserve">Policy Lead, Global Regulatory Innovation Platform (GRIP)</w:t>
      </w:r>
    </w:p>
    <w:p>
      <w:pPr>
        <w:spacing w:after="480"/>
      </w:pPr>
      <w:r>
        <w:rPr>
          <w:rFonts w:ascii="Georgia" w:cs="Georgia" w:eastAsia="Georgia" w:hAnsi="Georgia"/>
          <w:color w:val="55606E"/>
          <w:sz w:val="21"/>
          <w:szCs w:val="21"/>
        </w:rPr>
        <w:t xml:space="preserve">Centre for Frontier Technologies and Innovation · World Economic Forum · Geneva</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Part B of a two-part dossier. This volume is the rehearsal layer: how an ex-consultant panel interviews and scores; a frameworks primer; ten structured problem-solving cases with issue trees and model answers; the expert Q&amp;A bank; and the Personal Experience Interview drills built from your own background. Pair it with Part A (the Knowledge Base).</w:t>
            </w:r>
          </w:p>
        </w:tc>
      </w:tr>
    </w:tbl>
    <w:p>
      <w:pPr>
        <w:spacing w:before="640"/>
      </w:pPr>
      <w:r>
        <w:rPr>
          <w:rFonts w:ascii="Calibri" w:cs="Calibri" w:eastAsia="Calibri" w:hAnsi="Calibri"/>
          <w:color w:val="55606E"/>
          <w:sz w:val="18"/>
          <w:szCs w:val="18"/>
        </w:rPr>
        <w:t xml:space="preserve">Confidential study document</w:t>
      </w:r>
    </w:p>
    <w:p>
      <w:r>
        <w:br w:type="page"/>
      </w:r>
    </w:p>
    <w:p>
      <w:pPr>
        <w:spacing w:after="160"/>
      </w:pPr>
      <w:r>
        <w:rPr>
          <w:rFonts w:ascii="Calibri" w:cs="Calibri" w:eastAsia="Calibri" w:hAnsi="Calibri"/>
          <w:b/>
          <w:bCs/>
          <w:color w:val="1F2A4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Georgia" w:cs="Georgia" w:eastAsia="Georgia" w:hAnsi="Georgia"/>
          <w:i/>
          <w:iCs/>
          <w:color w:val="55606E"/>
          <w:sz w:val="16"/>
          <w:szCs w:val="16"/>
        </w:rPr>
        <w:t xml:space="preserve">In Word, right-click the contents and choose “Update Field” to populate page numbers.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B0 · How a Management-Consulting Panel Interviews</w:t>
      </w:r>
    </w:p>
    <w:p>
      <w:pPr>
        <w:spacing w:after="200" w:line="288"/>
      </w:pPr>
      <w:r>
        <w:rPr>
          <w:rFonts w:ascii="Georgia" w:cs="Georgia" w:eastAsia="Georgia" w:hAnsi="Georgia"/>
          <w:i/>
          <w:iCs/>
          <w:color w:val="55606E"/>
          <w:sz w:val="22"/>
          <w:szCs w:val="22"/>
        </w:rPr>
        <w:t xml:space="preserve">Your panel are former senior consultants. They will run this less like a policy interview and more like a partner-round assessment: roughly half behavioural (the Personal Experience Interview), half structured problem-solving and fit. Winning is about how you think and communicate, not how much you know.</w:t>
      </w:r>
    </w:p>
    <w:p>
      <w:pPr>
        <w:pStyle w:val="Heading2"/>
        <w:spacing w:after="100" w:before="220"/>
      </w:pPr>
      <w:r>
        <w:rPr>
          <w:rFonts w:ascii="Calibri" w:cs="Calibri" w:eastAsia="Calibri" w:hAnsi="Calibri"/>
          <w:b/>
          <w:bCs/>
          <w:color w:val="2F5D8A"/>
          <w:sz w:val="25"/>
          <w:szCs w:val="25"/>
        </w:rPr>
        <w:t xml:space="preserve">What they are actually scoring</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3900"/>
        <w:gridCol w:w="32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Dimension</w:t>
            </w:r>
          </w:p>
        </w:tc>
        <w:tc>
          <w:tcPr>
            <w:tcW w:type="dxa" w:w="3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means</w:t>
            </w:r>
          </w:p>
        </w:tc>
        <w:tc>
          <w:tcPr>
            <w:tcW w:type="dxa" w:w="32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How to show it</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Structure</w:t>
            </w:r>
          </w:p>
        </w:tc>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Breaking an ambiguous problem into clean, non-overlapping parts.</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Lay out a MECE structure before diving in.</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Prioritisation (80/20)</w:t>
            </w:r>
          </w:p>
        </w:tc>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Finding the two things that matter most out of ten.</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Say what you’d tackle first and why.</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Hypothesis-driven</w:t>
            </w:r>
          </w:p>
        </w:tc>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Reasoning from a leading answer you then test.</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State your hypothesis early; look for what would disprove it.</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Quantification / logic</w:t>
            </w:r>
          </w:p>
        </w:tc>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Comfort with numbers and sound inference.</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Put a rough number on things; show the arithmetic.</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Judgement</w:t>
            </w:r>
          </w:p>
        </w:tc>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Sensible, real-world trade-off calls.</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Name the trade-off and make a decision.</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Communication / presence</w:t>
            </w:r>
          </w:p>
        </w:tc>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Top-down, crisp, calm under probing.</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Answer first, then support; signpost; synthesise.</w:t>
            </w:r>
          </w:p>
        </w:tc>
      </w:tr>
    </w:tbl>
    <w:p>
      <w:pPr>
        <w:spacing w:after="80"/>
      </w:pPr>
    </w:p>
    <w:p>
      <w:pPr>
        <w:pStyle w:val="Heading2"/>
        <w:spacing w:after="100" w:before="220"/>
      </w:pPr>
      <w:r>
        <w:rPr>
          <w:rFonts w:ascii="Calibri" w:cs="Calibri" w:eastAsia="Calibri" w:hAnsi="Calibri"/>
          <w:b/>
          <w:bCs/>
          <w:color w:val="2F5D8A"/>
          <w:sz w:val="25"/>
          <w:szCs w:val="25"/>
        </w:rPr>
        <w:t xml:space="preserve">The four communication habits that mark you as ‘one of us’</w:t>
      </w:r>
    </w:p>
    <w:p>
      <w:pPr>
        <w:pStyle w:val="ListParagraph"/>
        <w:numPr>
          <w:ilvl w:val="0"/>
          <w:numId w:val="2"/>
        </w:numPr>
        <w:spacing w:after="70" w:line="268"/>
      </w:pPr>
      <w:r>
        <w:rPr>
          <w:rFonts w:ascii="Georgia" w:cs="Georgia" w:eastAsia="Georgia" w:hAnsi="Georgia"/>
          <w:b/>
          <w:bCs/>
          <w:color w:val="1A1A1A"/>
          <w:sz w:val="21"/>
          <w:szCs w:val="21"/>
        </w:rPr>
        <w:t xml:space="preserve">Answer first (the Pyramid Principle).</w:t>
      </w:r>
      <w:r>
        <w:rPr>
          <w:rFonts w:ascii="Georgia" w:cs="Georgia" w:eastAsia="Georgia" w:hAnsi="Georgia"/>
          <w:color w:val="1A1A1A"/>
          <w:sz w:val="21"/>
          <w:szCs w:val="21"/>
        </w:rPr>
        <w:t xml:space="preserve"> Lead with your conclusion, then give the supporting reasons, then the detail. Never build up to the answer — deliver it, then justify it.</w:t>
      </w:r>
    </w:p>
    <w:p>
      <w:pPr>
        <w:pStyle w:val="ListParagraph"/>
        <w:numPr>
          <w:ilvl w:val="0"/>
          <w:numId w:val="2"/>
        </w:numPr>
        <w:spacing w:after="70" w:line="268"/>
      </w:pPr>
      <w:r>
        <w:rPr>
          <w:rFonts w:ascii="Georgia" w:cs="Georgia" w:eastAsia="Georgia" w:hAnsi="Georgia"/>
          <w:b/>
          <w:bCs/>
          <w:color w:val="1A1A1A"/>
          <w:sz w:val="21"/>
          <w:szCs w:val="21"/>
        </w:rPr>
        <w:t xml:space="preserve">Signpost.</w:t>
      </w:r>
      <w:r>
        <w:rPr>
          <w:rFonts w:ascii="Georgia" w:cs="Georgia" w:eastAsia="Georgia" w:hAnsi="Georgia"/>
          <w:color w:val="1A1A1A"/>
          <w:sz w:val="21"/>
          <w:szCs w:val="21"/>
        </w:rPr>
        <w:t xml:space="preserve"> “There are three things I’d look at — let me take them in turn.” It makes you easy to follow and signals structure.</w:t>
      </w:r>
    </w:p>
    <w:p>
      <w:pPr>
        <w:pStyle w:val="ListParagraph"/>
        <w:numPr>
          <w:ilvl w:val="0"/>
          <w:numId w:val="2"/>
        </w:numPr>
        <w:spacing w:after="70" w:line="268"/>
      </w:pPr>
      <w:r>
        <w:rPr>
          <w:rFonts w:ascii="Georgia" w:cs="Georgia" w:eastAsia="Georgia" w:hAnsi="Georgia"/>
          <w:b/>
          <w:bCs/>
          <w:color w:val="1A1A1A"/>
          <w:sz w:val="21"/>
          <w:szCs w:val="21"/>
        </w:rPr>
        <w:t xml:space="preserve">Synthesise, don’t summarise.</w:t>
      </w:r>
      <w:r>
        <w:rPr>
          <w:rFonts w:ascii="Georgia" w:cs="Georgia" w:eastAsia="Georgia" w:hAnsi="Georgia"/>
          <w:color w:val="1A1A1A"/>
          <w:sz w:val="21"/>
          <w:szCs w:val="21"/>
        </w:rPr>
        <w:t xml:space="preserve"> At the end, say what it </w:t>
      </w:r>
      <w:r>
        <w:rPr>
          <w:rFonts w:ascii="Georgia" w:cs="Georgia" w:eastAsia="Georgia" w:hAnsi="Georgia"/>
          <w:i/>
          <w:iCs/>
          <w:color w:val="1A1A1A"/>
          <w:sz w:val="21"/>
          <w:szCs w:val="21"/>
        </w:rPr>
        <w:t xml:space="preserve">means</w:t>
      </w:r>
      <w:r>
        <w:rPr>
          <w:rFonts w:ascii="Georgia" w:cs="Georgia" w:eastAsia="Georgia" w:hAnsi="Georgia"/>
          <w:color w:val="1A1A1A"/>
          <w:sz w:val="21"/>
          <w:szCs w:val="21"/>
        </w:rPr>
        <w:t xml:space="preserve"> and what you’d </w:t>
      </w:r>
      <w:r>
        <w:rPr>
          <w:rFonts w:ascii="Georgia" w:cs="Georgia" w:eastAsia="Georgia" w:hAnsi="Georgia"/>
          <w:i/>
          <w:iCs/>
          <w:color w:val="1A1A1A"/>
          <w:sz w:val="21"/>
          <w:szCs w:val="21"/>
        </w:rPr>
        <w:t xml:space="preserve">do</w:t>
      </w:r>
      <w:r>
        <w:rPr>
          <w:rFonts w:ascii="Georgia" w:cs="Georgia" w:eastAsia="Georgia" w:hAnsi="Georgia"/>
          <w:color w:val="1A1A1A"/>
          <w:sz w:val="21"/>
          <w:szCs w:val="21"/>
        </w:rPr>
        <w:t xml:space="preserve">, not what you just said.</w:t>
      </w:r>
    </w:p>
    <w:p>
      <w:pPr>
        <w:pStyle w:val="ListParagraph"/>
        <w:numPr>
          <w:ilvl w:val="0"/>
          <w:numId w:val="2"/>
        </w:numPr>
        <w:spacing w:after="70" w:line="268"/>
      </w:pPr>
      <w:r>
        <w:rPr>
          <w:rFonts w:ascii="Georgia" w:cs="Georgia" w:eastAsia="Georgia" w:hAnsi="Georgia"/>
          <w:b/>
          <w:bCs/>
          <w:color w:val="1A1A1A"/>
          <w:sz w:val="21"/>
          <w:szCs w:val="21"/>
        </w:rPr>
        <w:t xml:space="preserve">Quantify directionally.</w:t>
      </w:r>
      <w:r>
        <w:rPr>
          <w:rFonts w:ascii="Georgia" w:cs="Georgia" w:eastAsia="Georgia" w:hAnsi="Georgia"/>
          <w:color w:val="1A1A1A"/>
          <w:sz w:val="21"/>
          <w:szCs w:val="21"/>
        </w:rPr>
        <w:t xml:space="preserve"> A rough, well-reasoned number beats vague qualifiers. Order of magnitude and logic matter more than precision.</w:t>
      </w:r>
    </w:p>
    <w:p>
      <w:pPr>
        <w:pStyle w:val="Heading2"/>
        <w:spacing w:after="100" w:before="220"/>
      </w:pPr>
      <w:r>
        <w:rPr>
          <w:rFonts w:ascii="Calibri" w:cs="Calibri" w:eastAsia="Calibri" w:hAnsi="Calibri"/>
          <w:b/>
          <w:bCs/>
          <w:color w:val="2F5D8A"/>
          <w:sz w:val="25"/>
          <w:szCs w:val="25"/>
        </w:rPr>
        <w:t xml:space="preserve">How to run a case live — the six-step drill</w:t>
      </w:r>
    </w:p>
    <w:p>
      <w:pPr>
        <w:pStyle w:val="ListParagraph"/>
        <w:numPr>
          <w:ilvl w:val="0"/>
          <w:numId w:val="2"/>
        </w:numPr>
        <w:spacing w:after="70" w:line="268"/>
      </w:pPr>
      <w:r>
        <w:rPr>
          <w:rFonts w:ascii="Georgia" w:cs="Georgia" w:eastAsia="Georgia" w:hAnsi="Georgia"/>
          <w:b/>
          <w:bCs/>
          <w:color w:val="1A1A1A"/>
          <w:sz w:val="21"/>
          <w:szCs w:val="21"/>
        </w:rPr>
        <w:t xml:space="preserve">Take a moment.</w:t>
      </w:r>
      <w:r>
        <w:rPr>
          <w:rFonts w:ascii="Georgia" w:cs="Georgia" w:eastAsia="Georgia" w:hAnsi="Georgia"/>
          <w:color w:val="1A1A1A"/>
          <w:sz w:val="21"/>
          <w:szCs w:val="21"/>
        </w:rPr>
        <w:t xml:space="preserve"> It is expected. “Let me take thirty seconds to structure this.”</w:t>
      </w:r>
    </w:p>
    <w:p>
      <w:pPr>
        <w:pStyle w:val="ListParagraph"/>
        <w:numPr>
          <w:ilvl w:val="0"/>
          <w:numId w:val="2"/>
        </w:numPr>
        <w:spacing w:after="70" w:line="268"/>
      </w:pPr>
      <w:r>
        <w:rPr>
          <w:rFonts w:ascii="Georgia" w:cs="Georgia" w:eastAsia="Georgia" w:hAnsi="Georgia"/>
          <w:b/>
          <w:bCs/>
          <w:color w:val="1A1A1A"/>
          <w:sz w:val="21"/>
          <w:szCs w:val="21"/>
        </w:rPr>
        <w:t xml:space="preserve">Structure.</w:t>
      </w:r>
      <w:r>
        <w:rPr>
          <w:rFonts w:ascii="Georgia" w:cs="Georgia" w:eastAsia="Georgia" w:hAnsi="Georgia"/>
          <w:color w:val="1A1A1A"/>
          <w:sz w:val="21"/>
          <w:szCs w:val="21"/>
        </w:rPr>
        <w:t xml:space="preserve"> Lay out a MECE breakdown of the problem — bespoke to the question, not a canned framework.</w:t>
      </w:r>
    </w:p>
    <w:p>
      <w:pPr>
        <w:pStyle w:val="ListParagraph"/>
        <w:numPr>
          <w:ilvl w:val="0"/>
          <w:numId w:val="2"/>
        </w:numPr>
        <w:spacing w:after="70" w:line="268"/>
      </w:pPr>
      <w:r>
        <w:rPr>
          <w:rFonts w:ascii="Georgia" w:cs="Georgia" w:eastAsia="Georgia" w:hAnsi="Georgia"/>
          <w:b/>
          <w:bCs/>
          <w:color w:val="1A1A1A"/>
          <w:sz w:val="21"/>
          <w:szCs w:val="21"/>
        </w:rPr>
        <w:t xml:space="preserve">Hypothesise.</w:t>
      </w:r>
      <w:r>
        <w:rPr>
          <w:rFonts w:ascii="Georgia" w:cs="Georgia" w:eastAsia="Georgia" w:hAnsi="Georgia"/>
          <w:color w:val="1A1A1A"/>
          <w:sz w:val="21"/>
          <w:szCs w:val="21"/>
        </w:rPr>
        <w:t xml:space="preserve"> State your leading answer and what you’d test to confirm it.</w:t>
      </w:r>
    </w:p>
    <w:p>
      <w:pPr>
        <w:pStyle w:val="ListParagraph"/>
        <w:numPr>
          <w:ilvl w:val="0"/>
          <w:numId w:val="2"/>
        </w:numPr>
        <w:spacing w:after="70" w:line="268"/>
      </w:pPr>
      <w:r>
        <w:rPr>
          <w:rFonts w:ascii="Georgia" w:cs="Georgia" w:eastAsia="Georgia" w:hAnsi="Georgia"/>
          <w:b/>
          <w:bCs/>
          <w:color w:val="1A1A1A"/>
          <w:sz w:val="21"/>
          <w:szCs w:val="21"/>
        </w:rPr>
        <w:t xml:space="preserve">Prioritise.</w:t>
      </w:r>
      <w:r>
        <w:rPr>
          <w:rFonts w:ascii="Georgia" w:cs="Georgia" w:eastAsia="Georgia" w:hAnsi="Georgia"/>
          <w:color w:val="1A1A1A"/>
          <w:sz w:val="21"/>
          <w:szCs w:val="21"/>
        </w:rPr>
        <w:t xml:space="preserve"> Say which branch you’d dig into first and why (impact × feasibility).</w:t>
      </w:r>
    </w:p>
    <w:p>
      <w:pPr>
        <w:pStyle w:val="ListParagraph"/>
        <w:numPr>
          <w:ilvl w:val="0"/>
          <w:numId w:val="2"/>
        </w:numPr>
        <w:spacing w:after="70" w:line="268"/>
      </w:pPr>
      <w:r>
        <w:rPr>
          <w:rFonts w:ascii="Georgia" w:cs="Georgia" w:eastAsia="Georgia" w:hAnsi="Georgia"/>
          <w:b/>
          <w:bCs/>
          <w:color w:val="1A1A1A"/>
          <w:sz w:val="21"/>
          <w:szCs w:val="21"/>
        </w:rPr>
        <w:t xml:space="preserve">Work the branches.</w:t>
      </w:r>
      <w:r>
        <w:rPr>
          <w:rFonts w:ascii="Georgia" w:cs="Georgia" w:eastAsia="Georgia" w:hAnsi="Georgia"/>
          <w:color w:val="1A1A1A"/>
          <w:sz w:val="21"/>
          <w:szCs w:val="21"/>
        </w:rPr>
        <w:t xml:space="preserve"> Reason through, quantify where useful, surface trade-offs and risks.</w:t>
      </w:r>
    </w:p>
    <w:p>
      <w:pPr>
        <w:pStyle w:val="ListParagraph"/>
        <w:numPr>
          <w:ilvl w:val="0"/>
          <w:numId w:val="2"/>
        </w:numPr>
        <w:spacing w:after="70" w:line="268"/>
      </w:pPr>
      <w:r>
        <w:rPr>
          <w:rFonts w:ascii="Georgia" w:cs="Georgia" w:eastAsia="Georgia" w:hAnsi="Georgia"/>
          <w:b/>
          <w:bCs/>
          <w:color w:val="1A1A1A"/>
          <w:sz w:val="21"/>
          <w:szCs w:val="21"/>
        </w:rPr>
        <w:t xml:space="preserve">Synthesise.</w:t>
      </w:r>
      <w:r>
        <w:rPr>
          <w:rFonts w:ascii="Georgia" w:cs="Georgia" w:eastAsia="Georgia" w:hAnsi="Georgia"/>
          <w:color w:val="1A1A1A"/>
          <w:sz w:val="21"/>
          <w:szCs w:val="21"/>
        </w:rPr>
        <w:t xml:space="preserve"> A clear recommendation, the top risk, and the immediate next step.</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cardinal sin is framework-dumping.</w:t>
            </w:r>
            <w:r>
              <w:rPr>
                <w:rFonts w:ascii="Georgia" w:cs="Georgia" w:eastAsia="Georgia" w:hAnsi="Georgia"/>
                <w:color w:val="1F2A44"/>
                <w:sz w:val="20"/>
                <w:szCs w:val="20"/>
              </w:rPr>
              <w:t xml:space="preserve"> Partners penalise a candidate who forces a memorised framework onto a problem. Build a </w:t>
            </w:r>
            <w:r>
              <w:rPr>
                <w:rFonts w:ascii="Georgia" w:cs="Georgia" w:eastAsia="Georgia" w:hAnsi="Georgia"/>
                <w:i/>
                <w:iCs/>
                <w:color w:val="1F2A44"/>
                <w:sz w:val="20"/>
                <w:szCs w:val="20"/>
              </w:rPr>
              <w:t xml:space="preserve">bespoke</w:t>
            </w:r>
            <w:r>
              <w:rPr>
                <w:rFonts w:ascii="Georgia" w:cs="Georgia" w:eastAsia="Georgia" w:hAnsi="Georgia"/>
                <w:color w:val="1F2A44"/>
                <w:sz w:val="20"/>
                <w:szCs w:val="20"/>
              </w:rPr>
              <w:t xml:space="preserve"> structure that fits the question — the frameworks in B1 are raw material for that, not scripts to recite. Being visibly </w:t>
            </w:r>
            <w:r>
              <w:rPr>
                <w:rFonts w:ascii="Georgia" w:cs="Georgia" w:eastAsia="Georgia" w:hAnsi="Georgia"/>
                <w:i/>
                <w:iCs/>
                <w:color w:val="1F2A44"/>
                <w:sz w:val="20"/>
                <w:szCs w:val="20"/>
              </w:rPr>
              <w:t xml:space="preserve">coachable</w:t>
            </w:r>
            <w:r>
              <w:rPr>
                <w:rFonts w:ascii="Georgia" w:cs="Georgia" w:eastAsia="Georgia" w:hAnsi="Georgia"/>
                <w:color w:val="1F2A44"/>
                <w:sz w:val="20"/>
                <w:szCs w:val="20"/>
              </w:rPr>
              <w:t xml:space="preserve"> — taking a steer mid-case and adjusting — scores as highly as being right.</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B1 · Frameworks Primer</w:t>
      </w:r>
    </w:p>
    <w:p>
      <w:pPr>
        <w:spacing w:after="200" w:line="288"/>
      </w:pPr>
      <w:r>
        <w:rPr>
          <w:rFonts w:ascii="Georgia" w:cs="Georgia" w:eastAsia="Georgia" w:hAnsi="Georgia"/>
          <w:i/>
          <w:iCs/>
          <w:color w:val="55606E"/>
          <w:sz w:val="22"/>
          <w:szCs w:val="22"/>
        </w:rPr>
        <w:t xml:space="preserve">The consultant’s operating system, plus the domain-specific structures from Part A that you can deploy on a governance case. Learn these as building blocks; assemble them bespoke, live.</w:t>
      </w:r>
    </w:p>
    <w:p>
      <w:pPr>
        <w:pStyle w:val="Heading2"/>
        <w:spacing w:after="100" w:before="220"/>
      </w:pPr>
      <w:r>
        <w:rPr>
          <w:rFonts w:ascii="Calibri" w:cs="Calibri" w:eastAsia="Calibri" w:hAnsi="Calibri"/>
          <w:b/>
          <w:bCs/>
          <w:color w:val="2F5D8A"/>
          <w:sz w:val="25"/>
          <w:szCs w:val="25"/>
        </w:rPr>
        <w:t xml:space="preserve">B1.1 The universal thinking tools</w:t>
      </w:r>
    </w:p>
    <w:p>
      <w:pPr>
        <w:pStyle w:val="ListParagraph"/>
        <w:numPr>
          <w:ilvl w:val="0"/>
          <w:numId w:val="1"/>
        </w:numPr>
        <w:spacing w:after="70" w:line="268"/>
      </w:pPr>
      <w:r>
        <w:rPr>
          <w:rFonts w:ascii="Georgia" w:cs="Georgia" w:eastAsia="Georgia" w:hAnsi="Georgia"/>
          <w:b/>
          <w:bCs/>
          <w:color w:val="1A1A1A"/>
          <w:sz w:val="21"/>
          <w:szCs w:val="21"/>
        </w:rPr>
        <w:t xml:space="preserve">MECE</w:t>
      </w:r>
      <w:r>
        <w:rPr>
          <w:rFonts w:ascii="Georgia" w:cs="Georgia" w:eastAsia="Georgia" w:hAnsi="Georgia"/>
          <w:color w:val="1A1A1A"/>
          <w:sz w:val="21"/>
          <w:szCs w:val="21"/>
        </w:rPr>
        <w:t xml:space="preserve"> (Mutually Exclusive, Collectively Exhaustive) — the test every structure must pass: no overlaps, no gaps.</w:t>
      </w:r>
    </w:p>
    <w:p>
      <w:pPr>
        <w:pStyle w:val="ListParagraph"/>
        <w:numPr>
          <w:ilvl w:val="0"/>
          <w:numId w:val="1"/>
        </w:numPr>
        <w:spacing w:after="70" w:line="268"/>
      </w:pPr>
      <w:r>
        <w:rPr>
          <w:rFonts w:ascii="Georgia" w:cs="Georgia" w:eastAsia="Georgia" w:hAnsi="Georgia"/>
          <w:b/>
          <w:bCs/>
          <w:color w:val="1A1A1A"/>
          <w:sz w:val="21"/>
          <w:szCs w:val="21"/>
        </w:rPr>
        <w:t xml:space="preserve">Issue tree</w:t>
      </w:r>
      <w:r>
        <w:rPr>
          <w:rFonts w:ascii="Georgia" w:cs="Georgia" w:eastAsia="Georgia" w:hAnsi="Georgia"/>
          <w:color w:val="1A1A1A"/>
          <w:sz w:val="21"/>
          <w:szCs w:val="21"/>
        </w:rPr>
        <w:t xml:space="preserve"> — decompose a question into branches and sub-branches; the visual backbone of any case answer.</w:t>
      </w:r>
    </w:p>
    <w:p>
      <w:pPr>
        <w:pStyle w:val="ListParagraph"/>
        <w:numPr>
          <w:ilvl w:val="0"/>
          <w:numId w:val="1"/>
        </w:numPr>
        <w:spacing w:after="70" w:line="268"/>
      </w:pPr>
      <w:r>
        <w:rPr>
          <w:rFonts w:ascii="Georgia" w:cs="Georgia" w:eastAsia="Georgia" w:hAnsi="Georgia"/>
          <w:b/>
          <w:bCs/>
          <w:color w:val="1A1A1A"/>
          <w:sz w:val="21"/>
          <w:szCs w:val="21"/>
        </w:rPr>
        <w:t xml:space="preserve">Hypothesis-driven</w:t>
      </w:r>
      <w:r>
        <w:rPr>
          <w:rFonts w:ascii="Georgia" w:cs="Georgia" w:eastAsia="Georgia" w:hAnsi="Georgia"/>
          <w:color w:val="1A1A1A"/>
          <w:sz w:val="21"/>
          <w:szCs w:val="21"/>
        </w:rPr>
        <w:t xml:space="preserve"> — start from a probable answer and test it, rather than analysing everything; it is how consultants avoid boiling the ocean.</w:t>
      </w:r>
    </w:p>
    <w:p>
      <w:pPr>
        <w:pStyle w:val="ListParagraph"/>
        <w:numPr>
          <w:ilvl w:val="0"/>
          <w:numId w:val="1"/>
        </w:numPr>
        <w:spacing w:after="70" w:line="268"/>
      </w:pPr>
      <w:r>
        <w:rPr>
          <w:rFonts w:ascii="Georgia" w:cs="Georgia" w:eastAsia="Georgia" w:hAnsi="Georgia"/>
          <w:b/>
          <w:bCs/>
          <w:color w:val="1A1A1A"/>
          <w:sz w:val="21"/>
          <w:szCs w:val="21"/>
        </w:rPr>
        <w:t xml:space="preserve">The Pyramid Principle</w:t>
      </w:r>
      <w:r>
        <w:rPr>
          <w:rFonts w:ascii="Georgia" w:cs="Georgia" w:eastAsia="Georgia" w:hAnsi="Georgia"/>
          <w:color w:val="1A1A1A"/>
          <w:sz w:val="21"/>
          <w:szCs w:val="21"/>
        </w:rPr>
        <w:t xml:space="preserve"> — communicate top-down: governing thought → key arguments → supporting facts.</w:t>
      </w:r>
    </w:p>
    <w:p>
      <w:pPr>
        <w:pStyle w:val="ListParagraph"/>
        <w:numPr>
          <w:ilvl w:val="0"/>
          <w:numId w:val="1"/>
        </w:numPr>
        <w:spacing w:after="70" w:line="268"/>
      </w:pPr>
      <w:r>
        <w:rPr>
          <w:rFonts w:ascii="Georgia" w:cs="Georgia" w:eastAsia="Georgia" w:hAnsi="Georgia"/>
          <w:b/>
          <w:bCs/>
          <w:color w:val="1A1A1A"/>
          <w:sz w:val="21"/>
          <w:szCs w:val="21"/>
        </w:rPr>
        <w:t xml:space="preserve">80/20 (Pareto)</w:t>
      </w:r>
      <w:r>
        <w:rPr>
          <w:rFonts w:ascii="Georgia" w:cs="Georgia" w:eastAsia="Georgia" w:hAnsi="Georgia"/>
          <w:color w:val="1A1A1A"/>
          <w:sz w:val="21"/>
          <w:szCs w:val="21"/>
        </w:rPr>
        <w:t xml:space="preserve"> — find the few drivers that explain most of the outcome and focus there.</w:t>
      </w:r>
    </w:p>
    <w:p>
      <w:pPr>
        <w:pStyle w:val="ListParagraph"/>
        <w:numPr>
          <w:ilvl w:val="0"/>
          <w:numId w:val="1"/>
        </w:numPr>
        <w:spacing w:after="70" w:line="268"/>
      </w:pPr>
      <w:r>
        <w:rPr>
          <w:rFonts w:ascii="Georgia" w:cs="Georgia" w:eastAsia="Georgia" w:hAnsi="Georgia"/>
          <w:b/>
          <w:bCs/>
          <w:color w:val="1A1A1A"/>
          <w:sz w:val="21"/>
          <w:szCs w:val="21"/>
        </w:rPr>
        <w:t xml:space="preserve">Driver tree</w:t>
      </w:r>
      <w:r>
        <w:rPr>
          <w:rFonts w:ascii="Georgia" w:cs="Georgia" w:eastAsia="Georgia" w:hAnsi="Georgia"/>
          <w:color w:val="1A1A1A"/>
          <w:sz w:val="21"/>
          <w:szCs w:val="21"/>
        </w:rPr>
        <w:t xml:space="preserve"> — break an outcome into the multiplicative levers that move it (useful for any quantification).</w:t>
      </w:r>
    </w:p>
    <w:p>
      <w:pPr>
        <w:pStyle w:val="Heading2"/>
        <w:spacing w:after="100" w:before="220"/>
      </w:pPr>
      <w:r>
        <w:rPr>
          <w:rFonts w:ascii="Calibri" w:cs="Calibri" w:eastAsia="Calibri" w:hAnsi="Calibri"/>
          <w:b/>
          <w:bCs/>
          <w:color w:val="2F5D8A"/>
          <w:sz w:val="25"/>
          <w:szCs w:val="25"/>
        </w:rPr>
        <w:t xml:space="preserve">B1.2 A reusable issue tree for a governance case</w:t>
      </w:r>
    </w:p>
    <w:p>
      <w:pPr>
        <w:spacing w:after="140" w:line="276"/>
        <w:jc w:val="both"/>
      </w:pPr>
      <w:r>
        <w:rPr>
          <w:rFonts w:ascii="Georgia" w:cs="Georgia" w:eastAsia="Georgia" w:hAnsi="Georgia"/>
          <w:color w:val="1A1A1A"/>
          <w:sz w:val="21"/>
          <w:szCs w:val="21"/>
        </w:rPr>
        <w:t xml:space="preserve">When asked “should / how should X be governed?”, a clean, MECE default structure is:</w:t>
      </w:r>
    </w:p>
    <w:p>
      <w:pPr>
        <w:pStyle w:val="ListParagraph"/>
        <w:numPr>
          <w:ilvl w:val="0"/>
          <w:numId w:val="2"/>
        </w:numPr>
        <w:spacing w:after="70" w:line="268"/>
      </w:pPr>
      <w:r>
        <w:rPr>
          <w:rFonts w:ascii="Georgia" w:cs="Georgia" w:eastAsia="Georgia" w:hAnsi="Georgia"/>
          <w:b/>
          <w:bCs/>
          <w:color w:val="1A1A1A"/>
          <w:sz w:val="21"/>
          <w:szCs w:val="21"/>
        </w:rPr>
        <w:t xml:space="preserve">Problem</w:t>
      </w:r>
      <w:r>
        <w:rPr>
          <w:rFonts w:ascii="Georgia" w:cs="Georgia" w:eastAsia="Georgia" w:hAnsi="Georgia"/>
          <w:color w:val="1A1A1A"/>
          <w:sz w:val="21"/>
          <w:szCs w:val="21"/>
        </w:rPr>
        <w:t xml:space="preserve"> — what harm or opportunity are we actually governing? Size and urgency.</w:t>
      </w:r>
    </w:p>
    <w:p>
      <w:pPr>
        <w:pStyle w:val="ListParagraph"/>
        <w:numPr>
          <w:ilvl w:val="0"/>
          <w:numId w:val="2"/>
        </w:numPr>
        <w:spacing w:after="70" w:line="268"/>
      </w:pPr>
      <w:r>
        <w:rPr>
          <w:rFonts w:ascii="Georgia" w:cs="Georgia" w:eastAsia="Georgia" w:hAnsi="Georgia"/>
          <w:b/>
          <w:bCs/>
          <w:color w:val="1A1A1A"/>
          <w:sz w:val="21"/>
          <w:szCs w:val="21"/>
        </w:rPr>
        <w:t xml:space="preserve">Objectives &amp; trade-offs</w:t>
      </w:r>
      <w:r>
        <w:rPr>
          <w:rFonts w:ascii="Georgia" w:cs="Georgia" w:eastAsia="Georgia" w:hAnsi="Georgia"/>
          <w:color w:val="1A1A1A"/>
          <w:sz w:val="21"/>
          <w:szCs w:val="21"/>
        </w:rPr>
        <w:t xml:space="preserve"> — what are we optimising (innovation, safety, rights, competitiveness) and what tensions does that create?</w:t>
      </w:r>
    </w:p>
    <w:p>
      <w:pPr>
        <w:pStyle w:val="ListParagraph"/>
        <w:numPr>
          <w:ilvl w:val="0"/>
          <w:numId w:val="2"/>
        </w:numPr>
        <w:spacing w:after="70" w:line="268"/>
      </w:pPr>
      <w:r>
        <w:rPr>
          <w:rFonts w:ascii="Georgia" w:cs="Georgia" w:eastAsia="Georgia" w:hAnsi="Georgia"/>
          <w:b/>
          <w:bCs/>
          <w:color w:val="1A1A1A"/>
          <w:sz w:val="21"/>
          <w:szCs w:val="21"/>
        </w:rPr>
        <w:t xml:space="preserve">Options</w:t>
      </w:r>
      <w:r>
        <w:rPr>
          <w:rFonts w:ascii="Georgia" w:cs="Georgia" w:eastAsia="Georgia" w:hAnsi="Georgia"/>
          <w:color w:val="1A1A1A"/>
          <w:sz w:val="21"/>
          <w:szCs w:val="21"/>
        </w:rPr>
        <w:t xml:space="preserve"> — the instrument set (from ban → hard rules → risk-tiering → sandbox → standards → soft law → do nothing), matched to the risk profile.</w:t>
      </w:r>
    </w:p>
    <w:p>
      <w:pPr>
        <w:pStyle w:val="ListParagraph"/>
        <w:numPr>
          <w:ilvl w:val="0"/>
          <w:numId w:val="2"/>
        </w:numPr>
        <w:spacing w:after="70" w:line="268"/>
      </w:pPr>
      <w:r>
        <w:rPr>
          <w:rFonts w:ascii="Georgia" w:cs="Georgia" w:eastAsia="Georgia" w:hAnsi="Georgia"/>
          <w:b/>
          <w:bCs/>
          <w:color w:val="1A1A1A"/>
          <w:sz w:val="21"/>
          <w:szCs w:val="21"/>
        </w:rPr>
        <w:t xml:space="preserve">Actors &amp; feasibility</w:t>
      </w:r>
      <w:r>
        <w:rPr>
          <w:rFonts w:ascii="Georgia" w:cs="Georgia" w:eastAsia="Georgia" w:hAnsi="Georgia"/>
          <w:color w:val="1A1A1A"/>
          <w:sz w:val="21"/>
          <w:szCs w:val="21"/>
        </w:rPr>
        <w:t xml:space="preserve"> — who must move (the ecosystem), what they need, and what’s realistic given capability and politics.</w:t>
      </w:r>
    </w:p>
    <w:p>
      <w:pPr>
        <w:pStyle w:val="ListParagraph"/>
        <w:numPr>
          <w:ilvl w:val="0"/>
          <w:numId w:val="2"/>
        </w:numPr>
        <w:spacing w:after="70" w:line="268"/>
      </w:pPr>
      <w:r>
        <w:rPr>
          <w:rFonts w:ascii="Georgia" w:cs="Georgia" w:eastAsia="Georgia" w:hAnsi="Georgia"/>
          <w:b/>
          <w:bCs/>
          <w:color w:val="1A1A1A"/>
          <w:sz w:val="21"/>
          <w:szCs w:val="21"/>
        </w:rPr>
        <w:t xml:space="preserve">Recommendation &amp; sequencing</w:t>
      </w:r>
      <w:r>
        <w:rPr>
          <w:rFonts w:ascii="Georgia" w:cs="Georgia" w:eastAsia="Georgia" w:hAnsi="Georgia"/>
          <w:color w:val="1A1A1A"/>
          <w:sz w:val="21"/>
          <w:szCs w:val="21"/>
        </w:rPr>
        <w:t xml:space="preserve"> — the call, the first move, the risks, and how it scales/replicates.</w:t>
      </w:r>
    </w:p>
    <w:p>
      <w:pPr>
        <w:spacing w:after="140" w:line="276"/>
        <w:jc w:val="both"/>
      </w:pPr>
      <w:r>
        <w:rPr>
          <w:rFonts w:ascii="Georgia" w:cs="Georgia" w:eastAsia="Georgia" w:hAnsi="Georgia"/>
          <w:color w:val="1A1A1A"/>
          <w:sz w:val="21"/>
          <w:szCs w:val="21"/>
        </w:rPr>
        <w:t xml:space="preserve">This maps one-to-one onto the transformation-design sequence (diagnose → ambition → levers → rollout) — use whichever framing the question invites.</w:t>
      </w:r>
    </w:p>
    <w:p>
      <w:pPr>
        <w:pStyle w:val="Heading2"/>
        <w:spacing w:after="100" w:before="220"/>
      </w:pPr>
      <w:r>
        <w:rPr>
          <w:rFonts w:ascii="Calibri" w:cs="Calibri" w:eastAsia="Calibri" w:hAnsi="Calibri"/>
          <w:b/>
          <w:bCs/>
          <w:color w:val="2F5D8A"/>
          <w:sz w:val="25"/>
          <w:szCs w:val="25"/>
        </w:rPr>
        <w:t xml:space="preserve">B1.3 The role-specific frameworks (from Part A) — your named tools</w:t>
      </w:r>
    </w:p>
    <w:tbl>
      <w:tblPr>
        <w:tblW w:type="dxa" w:w="9360"/>
        <w:tblBorders>
          <w:top w:val="single" w:color="C9D3E0" w:sz="2"/>
          <w:left w:val="none"/>
          <w:bottom w:val="single" w:color="C9D3E0" w:sz="2"/>
          <w:right w:val="none"/>
          <w:insideH w:val="single" w:color="C9D3E0" w:sz="2"/>
          <w:insideV w:val="single" w:color="C9D3E0" w:sz="2"/>
        </w:tblBorders>
      </w:tblPr>
      <w:tblGrid>
        <w:gridCol w:w="2450"/>
        <w:gridCol w:w="3550"/>
        <w:gridCol w:w="3360"/>
      </w:tblGrid>
      <w:tr>
        <w:trPr>
          <w:tblHeader/>
        </w:trPr>
        <w:tc>
          <w:tcPr>
            <w:tcW w:type="dxa" w:w="24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Framework</w:t>
            </w:r>
          </w:p>
        </w:tc>
        <w:tc>
          <w:tcPr>
            <w:tcW w:type="dxa" w:w="35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Use it when the case is about…</w:t>
            </w:r>
          </w:p>
        </w:tc>
        <w:tc>
          <w:tcPr>
            <w:tcW w:type="dxa" w:w="33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One-line shape</w:t>
            </w:r>
          </w:p>
        </w:tc>
      </w:tr>
      <w:tr>
        <w:tc>
          <w:tcPr>
            <w:tcW w:type="dxa" w:w="2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maturity curve</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Assessing or moving a jurisdiction’s governance capacity.</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Absent → reactive → structured → anticipatory → adaptive.</w:t>
            </w:r>
          </w:p>
        </w:tc>
      </w:tr>
      <w:tr>
        <w:tc>
          <w:tcPr>
            <w:tcW w:type="dxa" w:w="2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Capability gap, not tech gap</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Why a jurisdiction fails to govern; what to build.</w:t>
            </w:r>
          </w:p>
        </w:tc>
        <w:tc>
          <w:tcPr>
            <w:tcW w:type="dxa" w:w="3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Fix capability (technical/org/workforce), not just the rule.</w:t>
            </w:r>
          </w:p>
        </w:tc>
      </w:tr>
      <w:tr>
        <w:tc>
          <w:tcPr>
            <w:tcW w:type="dxa" w:w="2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Scaling slump / pilot purgatory</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Why a sandbox or pilot won’t scale.</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Cross-functional governance + codification + shared metrics.</w:t>
            </w:r>
          </w:p>
        </w:tc>
      </w:tr>
      <w:tr>
        <w:tc>
          <w:tcPr>
            <w:tcW w:type="dxa" w:w="2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Ecosystem orchestration + sequencing</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Building a multistakeholder coalition.</w:t>
            </w:r>
          </w:p>
        </w:tc>
        <w:tc>
          <w:tcPr>
            <w:tcW w:type="dxa" w:w="3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Minimum first-mover set; taper the state’s role as capability grows.</w:t>
            </w:r>
          </w:p>
        </w:tc>
      </w:tr>
      <w:tr>
        <w:tc>
          <w:tcPr>
            <w:tcW w:type="dxa" w:w="2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Reference-case / replication logic</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Making a model transferable across jurisdictions.</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What/conditions/transferable + ‘if X do Y, if W adapt by Z’.</w:t>
            </w:r>
          </w:p>
        </w:tc>
      </w:tr>
      <w:tr>
        <w:tc>
          <w:tcPr>
            <w:tcW w:type="dxa" w:w="2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Interoperability ladder</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Cross-jurisdiction divergence.</w:t>
            </w:r>
          </w:p>
        </w:tc>
        <w:tc>
          <w:tcPr>
            <w:tcW w:type="dxa" w:w="3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Terminology → standards → mutual recognition → baselines → law.</w:t>
            </w:r>
          </w:p>
        </w:tc>
      </w:tr>
      <w:tr>
        <w:tc>
          <w:tcPr>
            <w:tcW w:type="dxa" w:w="2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O-SEE-C (sandbox design)</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Designing a sandbox.</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Objective · Scope · Exemptions · safEguards · Codification.</w:t>
            </w:r>
          </w:p>
        </w:tc>
      </w:tr>
      <w:tr>
        <w:tc>
          <w:tcPr>
            <w:tcW w:type="dxa" w:w="2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C-TAP (crisis response)</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frontier-tech incident.</w:t>
            </w:r>
          </w:p>
        </w:tc>
        <w:tc>
          <w:tcPr>
            <w:tcW w:type="dxa" w:w="3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Convene fast · Target failure point · Absorb responsible majority · Persist into rules.</w:t>
            </w:r>
          </w:p>
        </w:tc>
      </w:tr>
      <w:tr>
        <w:tc>
          <w:tcPr>
            <w:tcW w:type="dxa" w:w="2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Instrument-selection grid</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Choosing how to regulate.</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Match instrument to risk profile and uncertainty (Part A §2.10).</w:t>
            </w:r>
          </w:p>
        </w:tc>
      </w:tr>
    </w:tbl>
    <w:p>
      <w:pPr>
        <w:spacing w:after="80"/>
      </w:pPr>
    </w:p>
    <w:p>
      <w:pPr>
        <w:pStyle w:val="Heading2"/>
        <w:spacing w:after="100" w:before="220"/>
      </w:pPr>
      <w:r>
        <w:rPr>
          <w:rFonts w:ascii="Calibri" w:cs="Calibri" w:eastAsia="Calibri" w:hAnsi="Calibri"/>
          <w:b/>
          <w:bCs/>
          <w:color w:val="2F5D8A"/>
          <w:sz w:val="25"/>
          <w:szCs w:val="25"/>
        </w:rPr>
        <w:t xml:space="preserve">B1.4 Quantifying in a policy case</w:t>
      </w:r>
    </w:p>
    <w:p>
      <w:pPr>
        <w:spacing w:after="140" w:line="276"/>
        <w:jc w:val="both"/>
      </w:pPr>
      <w:r>
        <w:rPr>
          <w:rFonts w:ascii="Georgia" w:cs="Georgia" w:eastAsia="Georgia" w:hAnsi="Georgia"/>
          <w:color w:val="1A1A1A"/>
          <w:sz w:val="21"/>
          <w:szCs w:val="21"/>
        </w:rPr>
        <w:t xml:space="preserve">Consultant panels love a candidate who can put a number on a governance problem. The move is a </w:t>
      </w:r>
      <w:r>
        <w:rPr>
          <w:rFonts w:ascii="Georgia" w:cs="Georgia" w:eastAsia="Georgia" w:hAnsi="Georgia"/>
          <w:b/>
          <w:bCs/>
          <w:color w:val="1A1A1A"/>
          <w:sz w:val="21"/>
          <w:szCs w:val="21"/>
        </w:rPr>
        <w:t xml:space="preserve">driver tree</w:t>
      </w:r>
      <w:r>
        <w:rPr>
          <w:rFonts w:ascii="Georgia" w:cs="Georgia" w:eastAsia="Georgia" w:hAnsi="Georgia"/>
          <w:color w:val="1A1A1A"/>
          <w:sz w:val="21"/>
          <w:szCs w:val="21"/>
        </w:rPr>
        <w:t xml:space="preserve"> built from public anchors you carry in your head. Example — </w:t>
      </w:r>
      <w:r>
        <w:rPr>
          <w:rFonts w:ascii="Georgia" w:cs="Georgia" w:eastAsia="Georgia" w:hAnsi="Georgia"/>
          <w:i/>
          <w:iCs/>
          <w:color w:val="1A1A1A"/>
          <w:sz w:val="21"/>
          <w:szCs w:val="21"/>
        </w:rPr>
        <w:t xml:space="preserve">sizing the cost of AI regulatory fragmentation to a mid-size firm</w:t>
      </w:r>
      <w:r>
        <w:rPr>
          <w:rFonts w:ascii="Georgia" w:cs="Georgia" w:eastAsia="Georgia" w:hAnsi="Georgia"/>
          <w:color w:val="1A1A1A"/>
          <w:sz w:val="21"/>
          <w:szCs w:val="21"/>
        </w:rPr>
        <w:t xml:space="preserve">: (annual compliance cost per jurisdiction) × (number of divergent regimes it must meet) × (share of that cost that is duplicative rather than substantive), plus the opportunity cost of delayed market entry (months delayed × monthly revenue at stake). You will not have exact figures; the panel wants a </w:t>
      </w:r>
      <w:r>
        <w:rPr>
          <w:rFonts w:ascii="Georgia" w:cs="Georgia" w:eastAsia="Georgia" w:hAnsi="Georgia"/>
          <w:b/>
          <w:bCs/>
          <w:color w:val="1A1A1A"/>
          <w:sz w:val="21"/>
          <w:szCs w:val="21"/>
        </w:rPr>
        <w:t xml:space="preserve">sensible structure, explicit assumptions, and an order-of-magnitude answer</w:t>
      </w:r>
      <w:r>
        <w:rPr>
          <w:rFonts w:ascii="Georgia" w:cs="Georgia" w:eastAsia="Georgia" w:hAnsi="Georgia"/>
          <w:color w:val="1A1A1A"/>
          <w:sz w:val="21"/>
          <w:szCs w:val="21"/>
        </w:rPr>
        <w:t xml:space="preserve">, delivered confidently and then sanity-checked. Always end a number with “does that pass the smell test?” and adjust.</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Rule of thumb for estimation:</w:t>
            </w:r>
            <w:r>
              <w:rPr>
                <w:rFonts w:ascii="Georgia" w:cs="Georgia" w:eastAsia="Georgia" w:hAnsi="Georgia"/>
                <w:color w:val="1F2A44"/>
                <w:sz w:val="20"/>
                <w:szCs w:val="20"/>
              </w:rPr>
              <w:t xml:space="preserve"> state the equation first, then populate it, then sanity-check the result against something you know. The structure is graded; the digits are not.</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B2 · Structured Problem-Solving Cases</w:t>
      </w:r>
    </w:p>
    <w:p>
      <w:pPr>
        <w:spacing w:after="200" w:line="288"/>
      </w:pPr>
      <w:r>
        <w:rPr>
          <w:rFonts w:ascii="Georgia" w:cs="Georgia" w:eastAsia="Georgia" w:hAnsi="Georgia"/>
          <w:i/>
          <w:iCs/>
          <w:color w:val="55606E"/>
          <w:sz w:val="22"/>
          <w:szCs w:val="22"/>
        </w:rPr>
        <w:t xml:space="preserve">Ten cases a consultant panel is likely to pose for this role, each with a bespoke structure (issue tree), a model walk-through, and a crisp recommendation. Rehearse them aloud, answer-first. The framework named in each is a tool, not a script — adapt it to the exact prompt.</w:t>
      </w:r>
    </w:p>
    <w:p>
      <w:pPr>
        <w:pStyle w:val="Heading2"/>
        <w:spacing w:after="100" w:before="220"/>
      </w:pPr>
      <w:r>
        <w:rPr>
          <w:rFonts w:ascii="Calibri" w:cs="Calibri" w:eastAsia="Calibri" w:hAnsi="Calibri"/>
          <w:b/>
          <w:bCs/>
          <w:color w:val="2F5D8A"/>
          <w:sz w:val="25"/>
          <w:szCs w:val="25"/>
        </w:rPr>
        <w:t xml:space="preserve">Case 1 — Design a sandbox for autonomous delivery</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“A member government wants to allow autonomous sidewalk-delivery robots but its laws don’t contemplate them. It asks the Forum to help design a regulatory sandbox. How would you approach it?”</w:t>
      </w:r>
    </w:p>
    <w:p>
      <w:pPr>
        <w:pStyle w:val="Heading3"/>
        <w:spacing w:after="70" w:before="160"/>
      </w:pPr>
      <w:r>
        <w:rPr>
          <w:rFonts w:ascii="Calibri" w:cs="Calibri" w:eastAsia="Calibri" w:hAnsi="Calibri"/>
          <w:b/>
          <w:bCs/>
          <w:color w:val="1F2A44"/>
          <w:sz w:val="22"/>
          <w:szCs w:val="22"/>
        </w:rPr>
        <w:t xml:space="preserve">Structure (say this first)</w:t>
      </w:r>
    </w:p>
    <w:p>
      <w:pPr>
        <w:pStyle w:val="ListParagraph"/>
        <w:numPr>
          <w:ilvl w:val="0"/>
          <w:numId w:val="2"/>
        </w:numPr>
        <w:spacing w:after="70" w:line="268"/>
      </w:pPr>
      <w:r>
        <w:rPr>
          <w:rFonts w:ascii="Georgia" w:cs="Georgia" w:eastAsia="Georgia" w:hAnsi="Georgia"/>
          <w:b/>
          <w:bCs/>
          <w:color w:val="1A1A1A"/>
          <w:sz w:val="21"/>
          <w:szCs w:val="21"/>
        </w:rPr>
        <w:t xml:space="preserve">Objective</w:t>
      </w:r>
      <w:r>
        <w:rPr>
          <w:rFonts w:ascii="Georgia" w:cs="Georgia" w:eastAsia="Georgia" w:hAnsi="Georgia"/>
          <w:color w:val="1A1A1A"/>
          <w:sz w:val="21"/>
          <w:szCs w:val="21"/>
        </w:rPr>
        <w:t xml:space="preserve"> — what does the government actually need: evidence for permanent rules, investment, or speed? (Usually evidence.)</w:t>
      </w:r>
    </w:p>
    <w:p>
      <w:pPr>
        <w:pStyle w:val="ListParagraph"/>
        <w:numPr>
          <w:ilvl w:val="0"/>
          <w:numId w:val="2"/>
        </w:numPr>
        <w:spacing w:after="70" w:line="268"/>
      </w:pPr>
      <w:r>
        <w:rPr>
          <w:rFonts w:ascii="Georgia" w:cs="Georgia" w:eastAsia="Georgia" w:hAnsi="Georgia"/>
          <w:b/>
          <w:bCs/>
          <w:color w:val="1A1A1A"/>
          <w:sz w:val="21"/>
          <w:szCs w:val="21"/>
        </w:rPr>
        <w:t xml:space="preserve">Scope &amp; eligibility</w:t>
      </w:r>
      <w:r>
        <w:rPr>
          <w:rFonts w:ascii="Georgia" w:cs="Georgia" w:eastAsia="Georgia" w:hAnsi="Georgia"/>
          <w:color w:val="1A1A1A"/>
          <w:sz w:val="21"/>
          <w:szCs w:val="21"/>
        </w:rPr>
        <w:t xml:space="preserve"> — which robots, which areas, how many operators.</w:t>
      </w:r>
    </w:p>
    <w:p>
      <w:pPr>
        <w:pStyle w:val="ListParagraph"/>
        <w:numPr>
          <w:ilvl w:val="0"/>
          <w:numId w:val="2"/>
        </w:numPr>
        <w:spacing w:after="70" w:line="268"/>
      </w:pPr>
      <w:r>
        <w:rPr>
          <w:rFonts w:ascii="Georgia" w:cs="Georgia" w:eastAsia="Georgia" w:hAnsi="Georgia"/>
          <w:b/>
          <w:bCs/>
          <w:color w:val="1A1A1A"/>
          <w:sz w:val="21"/>
          <w:szCs w:val="21"/>
        </w:rPr>
        <w:t xml:space="preserve">Exemptions</w:t>
      </w:r>
      <w:r>
        <w:rPr>
          <w:rFonts w:ascii="Georgia" w:cs="Georgia" w:eastAsia="Georgia" w:hAnsi="Georgia"/>
          <w:color w:val="1A1A1A"/>
          <w:sz w:val="21"/>
          <w:szCs w:val="21"/>
        </w:rPr>
        <w:t xml:space="preserve"> — which rules relaxed, which never.</w:t>
      </w:r>
    </w:p>
    <w:p>
      <w:pPr>
        <w:pStyle w:val="ListParagraph"/>
        <w:numPr>
          <w:ilvl w:val="0"/>
          <w:numId w:val="2"/>
        </w:numPr>
        <w:spacing w:after="70" w:line="268"/>
      </w:pPr>
      <w:r>
        <w:rPr>
          <w:rFonts w:ascii="Georgia" w:cs="Georgia" w:eastAsia="Georgia" w:hAnsi="Georgia"/>
          <w:b/>
          <w:bCs/>
          <w:color w:val="1A1A1A"/>
          <w:sz w:val="21"/>
          <w:szCs w:val="21"/>
        </w:rPr>
        <w:t xml:space="preserve">Safeguards</w:t>
      </w:r>
      <w:r>
        <w:rPr>
          <w:rFonts w:ascii="Georgia" w:cs="Georgia" w:eastAsia="Georgia" w:hAnsi="Georgia"/>
          <w:color w:val="1A1A1A"/>
          <w:sz w:val="21"/>
          <w:szCs w:val="21"/>
        </w:rPr>
        <w:t xml:space="preserve"> — insurance, incident reporting, caps, data-sharing, human oversight.</w:t>
      </w:r>
    </w:p>
    <w:p>
      <w:pPr>
        <w:pStyle w:val="ListParagraph"/>
        <w:numPr>
          <w:ilvl w:val="0"/>
          <w:numId w:val="2"/>
        </w:numPr>
        <w:spacing w:after="70" w:line="268"/>
      </w:pPr>
      <w:r>
        <w:rPr>
          <w:rFonts w:ascii="Georgia" w:cs="Georgia" w:eastAsia="Georgia" w:hAnsi="Georgia"/>
          <w:b/>
          <w:bCs/>
          <w:color w:val="1A1A1A"/>
          <w:sz w:val="21"/>
          <w:szCs w:val="21"/>
        </w:rPr>
        <w:t xml:space="preserve">Codification</w:t>
      </w:r>
      <w:r>
        <w:rPr>
          <w:rFonts w:ascii="Georgia" w:cs="Georgia" w:eastAsia="Georgia" w:hAnsi="Georgia"/>
          <w:color w:val="1A1A1A"/>
          <w:sz w:val="21"/>
          <w:szCs w:val="21"/>
        </w:rPr>
        <w:t xml:space="preserve"> — how sandbox learning becomes permanent rules (the step most miss).</w:t>
      </w:r>
    </w:p>
    <w:p>
      <w:pPr>
        <w:pStyle w:val="Heading3"/>
        <w:spacing w:after="70" w:before="160"/>
      </w:pPr>
      <w:r>
        <w:rPr>
          <w:rFonts w:ascii="Calibri" w:cs="Calibri" w:eastAsia="Calibri" w:hAnsi="Calibri"/>
          <w:b/>
          <w:bCs/>
          <w:color w:val="1F2A44"/>
          <w:sz w:val="22"/>
          <w:szCs w:val="22"/>
        </w:rPr>
        <w:t xml:space="preserve">Model walk-through</w:t>
      </w:r>
    </w:p>
    <w:p>
      <w:pPr>
        <w:spacing w:after="140" w:line="276"/>
        <w:jc w:val="both"/>
      </w:pPr>
      <w:r>
        <w:rPr>
          <w:rFonts w:ascii="Georgia" w:cs="Georgia" w:eastAsia="Georgia" w:hAnsi="Georgia"/>
          <w:color w:val="1A1A1A"/>
          <w:sz w:val="21"/>
          <w:szCs w:val="21"/>
        </w:rPr>
        <w:t xml:space="preserve">I’d design the sandbox as an evidence-generation engine, not a PR exercise. Eligibility: a defined class of low-speed, weight-limited robots, a handful of operators, geofenced to specific districts. In exchange for relaxing ill-fitting vehicle/pavement rules, I’d require insurance, real-time incident reporting, a data-sharing agreement, and human oversight. A named supervisor, a 12-month term, evaluation gates at 3/6/12 months, and — critically — a codification plan up front so the sandbox outputs a safety-case template and draft permanent rules. I’d bring the city, insurers and disability-access advocates into the design, because pavements are shared space and legitimacy depends on it. </w:t>
      </w:r>
      <w:r>
        <w:rPr>
          <w:rFonts w:ascii="Georgia" w:cs="Georgia" w:eastAsia="Georgia" w:hAnsi="Georgia"/>
          <w:b/>
          <w:bCs/>
          <w:color w:val="1A1A1A"/>
          <w:sz w:val="21"/>
          <w:szCs w:val="21"/>
        </w:rPr>
        <w:t xml:space="preserve">Recommendation:</w:t>
      </w:r>
      <w:r>
        <w:rPr>
          <w:rFonts w:ascii="Georgia" w:cs="Georgia" w:eastAsia="Georgia" w:hAnsi="Georgia"/>
          <w:color w:val="1A1A1A"/>
          <w:sz w:val="21"/>
          <w:szCs w:val="21"/>
        </w:rPr>
        <w:t xml:space="preserve"> a geofenced, time-boxed sandbox with a built-in codification path; </w:t>
      </w:r>
      <w:r>
        <w:rPr>
          <w:rFonts w:ascii="Georgia" w:cs="Georgia" w:eastAsia="Georgia" w:hAnsi="Georgia"/>
          <w:b/>
          <w:bCs/>
          <w:color w:val="1A1A1A"/>
          <w:sz w:val="21"/>
          <w:szCs w:val="21"/>
        </w:rPr>
        <w:t xml:space="preserve">top risk:</w:t>
      </w:r>
      <w:r>
        <w:rPr>
          <w:rFonts w:ascii="Georgia" w:cs="Georgia" w:eastAsia="Georgia" w:hAnsi="Georgia"/>
          <w:color w:val="1A1A1A"/>
          <w:sz w:val="21"/>
          <w:szCs w:val="21"/>
        </w:rPr>
        <w:t xml:space="preserve"> an early incident killing public trust, mitigated by conservative caps and transparent reporting. </w:t>
      </w:r>
      <w:r>
        <w:rPr>
          <w:rFonts w:ascii="Georgia" w:cs="Georgia" w:eastAsia="Georgia" w:hAnsi="Georgia"/>
          <w:b/>
          <w:bCs/>
          <w:color w:val="1A1A1A"/>
          <w:sz w:val="21"/>
          <w:szCs w:val="21"/>
        </w:rPr>
        <w:t xml:space="preserve">Framework:</w:t>
      </w:r>
      <w:r>
        <w:rPr>
          <w:rFonts w:ascii="Georgia" w:cs="Georgia" w:eastAsia="Georgia" w:hAnsi="Georgia"/>
          <w:color w:val="1A1A1A"/>
          <w:sz w:val="21"/>
          <w:szCs w:val="21"/>
        </w:rPr>
        <w:t xml:space="preserve"> O-SEE-C.</w:t>
      </w:r>
    </w:p>
    <w:p>
      <w:pPr>
        <w:pStyle w:val="Heading2"/>
        <w:spacing w:after="100" w:before="220"/>
      </w:pPr>
      <w:r>
        <w:rPr>
          <w:rFonts w:ascii="Calibri" w:cs="Calibri" w:eastAsia="Calibri" w:hAnsi="Calibri"/>
          <w:b/>
          <w:bCs/>
          <w:color w:val="2F5D8A"/>
          <w:sz w:val="25"/>
          <w:szCs w:val="25"/>
        </w:rPr>
        <w:t xml:space="preserve">Case 2 — Three jurisdictions diverge on AI</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“The EU, US and China are heading toward incompatible AI rules and compliance is fragmenting. What can the Forum realistically do?”</w:t>
      </w:r>
    </w:p>
    <w:p>
      <w:pPr>
        <w:pStyle w:val="Heading3"/>
        <w:spacing w:after="70" w:before="160"/>
      </w:pPr>
      <w:r>
        <w:rPr>
          <w:rFonts w:ascii="Calibri" w:cs="Calibri" w:eastAsia="Calibri" w:hAnsi="Calibri"/>
          <w:b/>
          <w:bCs/>
          <w:color w:val="1F2A44"/>
          <w:sz w:val="22"/>
          <w:szCs w:val="22"/>
        </w:rPr>
        <w:t xml:space="preserve">Structure</w:t>
      </w:r>
    </w:p>
    <w:p>
      <w:pPr>
        <w:pStyle w:val="ListParagraph"/>
        <w:numPr>
          <w:ilvl w:val="0"/>
          <w:numId w:val="2"/>
        </w:numPr>
        <w:spacing w:after="70" w:line="268"/>
      </w:pPr>
      <w:r>
        <w:rPr>
          <w:rFonts w:ascii="Georgia" w:cs="Georgia" w:eastAsia="Georgia" w:hAnsi="Georgia"/>
          <w:b/>
          <w:bCs/>
          <w:color w:val="1A1A1A"/>
          <w:sz w:val="21"/>
          <w:szCs w:val="21"/>
        </w:rPr>
        <w:t xml:space="preserve">Diagnose</w:t>
      </w:r>
      <w:r>
        <w:rPr>
          <w:rFonts w:ascii="Georgia" w:cs="Georgia" w:eastAsia="Georgia" w:hAnsi="Georgia"/>
          <w:color w:val="1A1A1A"/>
          <w:sz w:val="21"/>
          <w:szCs w:val="21"/>
        </w:rPr>
        <w:t xml:space="preserve"> — the divergence reflects genuine value differences (rights, markets, control); full harmonisation is off the table.</w:t>
      </w:r>
    </w:p>
    <w:p>
      <w:pPr>
        <w:pStyle w:val="ListParagraph"/>
        <w:numPr>
          <w:ilvl w:val="0"/>
          <w:numId w:val="2"/>
        </w:numPr>
        <w:spacing w:after="70" w:line="268"/>
      </w:pPr>
      <w:r>
        <w:rPr>
          <w:rFonts w:ascii="Georgia" w:cs="Georgia" w:eastAsia="Georgia" w:hAnsi="Georgia"/>
          <w:b/>
          <w:bCs/>
          <w:color w:val="1A1A1A"/>
          <w:sz w:val="21"/>
          <w:szCs w:val="21"/>
        </w:rPr>
        <w:t xml:space="preserve">Reframe the goal</w:t>
      </w:r>
      <w:r>
        <w:rPr>
          <w:rFonts w:ascii="Georgia" w:cs="Georgia" w:eastAsia="Georgia" w:hAnsi="Georgia"/>
          <w:color w:val="1A1A1A"/>
          <w:sz w:val="21"/>
          <w:szCs w:val="21"/>
        </w:rPr>
        <w:t xml:space="preserve"> — aim for interoperability (compatible in effect), not identical rules.</w:t>
      </w:r>
    </w:p>
    <w:p>
      <w:pPr>
        <w:pStyle w:val="ListParagraph"/>
        <w:numPr>
          <w:ilvl w:val="0"/>
          <w:numId w:val="2"/>
        </w:numPr>
        <w:spacing w:after="70" w:line="268"/>
      </w:pPr>
      <w:r>
        <w:rPr>
          <w:rFonts w:ascii="Georgia" w:cs="Georgia" w:eastAsia="Georgia" w:hAnsi="Georgia"/>
          <w:b/>
          <w:bCs/>
          <w:color w:val="1A1A1A"/>
          <w:sz w:val="21"/>
          <w:szCs w:val="21"/>
        </w:rPr>
        <w:t xml:space="preserve">Find the achievable layer</w:t>
      </w:r>
      <w:r>
        <w:rPr>
          <w:rFonts w:ascii="Georgia" w:cs="Georgia" w:eastAsia="Georgia" w:hAnsi="Georgia"/>
          <w:color w:val="1A1A1A"/>
          <w:sz w:val="21"/>
          <w:szCs w:val="21"/>
        </w:rPr>
        <w:t xml:space="preserve"> — technical alignment (standards, evaluation methods, terminology) is more tractable than legal alignment.</w:t>
      </w:r>
    </w:p>
    <w:p>
      <w:pPr>
        <w:pStyle w:val="ListParagraph"/>
        <w:numPr>
          <w:ilvl w:val="0"/>
          <w:numId w:val="2"/>
        </w:numPr>
        <w:spacing w:after="70" w:line="268"/>
      </w:pPr>
      <w:r>
        <w:rPr>
          <w:rFonts w:ascii="Georgia" w:cs="Georgia" w:eastAsia="Georgia" w:hAnsi="Georgia"/>
          <w:b/>
          <w:bCs/>
          <w:color w:val="1A1A1A"/>
          <w:sz w:val="21"/>
          <w:szCs w:val="21"/>
        </w:rPr>
        <w:t xml:space="preserve">Convene the willing</w:t>
      </w:r>
      <w:r>
        <w:rPr>
          <w:rFonts w:ascii="Georgia" w:cs="Georgia" w:eastAsia="Georgia" w:hAnsi="Georgia"/>
          <w:color w:val="1A1A1A"/>
          <w:sz w:val="21"/>
          <w:szCs w:val="21"/>
        </w:rPr>
        <w:t xml:space="preserve"> — a plurilateral coalition where alignment is possible now.</w:t>
      </w:r>
    </w:p>
    <w:p>
      <w:pPr>
        <w:pStyle w:val="ListParagraph"/>
        <w:numPr>
          <w:ilvl w:val="0"/>
          <w:numId w:val="2"/>
        </w:numPr>
        <w:spacing w:after="70" w:line="268"/>
      </w:pPr>
      <w:r>
        <w:rPr>
          <w:rFonts w:ascii="Georgia" w:cs="Georgia" w:eastAsia="Georgia" w:hAnsi="Georgia"/>
          <w:b/>
          <w:bCs/>
          <w:color w:val="1A1A1A"/>
          <w:sz w:val="21"/>
          <w:szCs w:val="21"/>
        </w:rPr>
        <w:t xml:space="preserve">Be explicit about limits</w:t>
      </w:r>
      <w:r>
        <w:rPr>
          <w:rFonts w:ascii="Georgia" w:cs="Georgia" w:eastAsia="Georgia" w:hAnsi="Georgia"/>
          <w:color w:val="1A1A1A"/>
          <w:sz w:val="21"/>
          <w:szCs w:val="21"/>
        </w:rPr>
        <w:t xml:space="preserve"> — the Forum can lower friction, not make Beijing and Brussels agree on values.</w:t>
      </w:r>
    </w:p>
    <w:p>
      <w:pPr>
        <w:pStyle w:val="Heading3"/>
        <w:spacing w:after="70" w:before="160"/>
      </w:pPr>
      <w:r>
        <w:rPr>
          <w:rFonts w:ascii="Calibri" w:cs="Calibri" w:eastAsia="Calibri" w:hAnsi="Calibri"/>
          <w:b/>
          <w:bCs/>
          <w:color w:val="1F2A44"/>
          <w:sz w:val="22"/>
          <w:szCs w:val="22"/>
        </w:rPr>
        <w:t xml:space="preserve">Model walk-through</w:t>
      </w:r>
    </w:p>
    <w:p>
      <w:pPr>
        <w:spacing w:after="140" w:line="276"/>
        <w:jc w:val="both"/>
      </w:pPr>
      <w:r>
        <w:rPr>
          <w:rFonts w:ascii="Georgia" w:cs="Georgia" w:eastAsia="Georgia" w:hAnsi="Georgia"/>
          <w:color w:val="1A1A1A"/>
          <w:sz w:val="21"/>
          <w:szCs w:val="21"/>
        </w:rPr>
        <w:t xml:space="preserve">The honest answer is that you don’t harmonise three rulebooks built on different values — you reduce the </w:t>
      </w:r>
      <w:r>
        <w:rPr>
          <w:rFonts w:ascii="Georgia" w:cs="Georgia" w:eastAsia="Georgia" w:hAnsi="Georgia"/>
          <w:i/>
          <w:iCs/>
          <w:color w:val="1A1A1A"/>
          <w:sz w:val="21"/>
          <w:szCs w:val="21"/>
        </w:rPr>
        <w:t xml:space="preserve">cost</w:t>
      </w:r>
      <w:r>
        <w:rPr>
          <w:rFonts w:ascii="Georgia" w:cs="Georgia" w:eastAsia="Georgia" w:hAnsi="Georgia"/>
          <w:color w:val="1A1A1A"/>
          <w:sz w:val="21"/>
          <w:szCs w:val="21"/>
        </w:rPr>
        <w:t xml:space="preserve"> of their divergence. Three moves: target the technical layer where engineers agree more easily than legislators (shared standards, evaluation methods, a common taxonomy via ISO/IEC and the G7 process); build a </w:t>
      </w:r>
      <w:r>
        <w:rPr>
          <w:rFonts w:ascii="Georgia" w:cs="Georgia" w:eastAsia="Georgia" w:hAnsi="Georgia"/>
          <w:b/>
          <w:bCs/>
          <w:color w:val="1A1A1A"/>
          <w:sz w:val="21"/>
          <w:szCs w:val="21"/>
        </w:rPr>
        <w:t xml:space="preserve">crosswalk</w:t>
      </w:r>
      <w:r>
        <w:rPr>
          <w:rFonts w:ascii="Georgia" w:cs="Georgia" w:eastAsia="Georgia" w:hAnsi="Georgia"/>
          <w:color w:val="1A1A1A"/>
          <w:sz w:val="21"/>
          <w:szCs w:val="21"/>
        </w:rPr>
        <w:t xml:space="preserve"> so a firm compliant in one regime knows what it still needs elsewhere (a natural GRIP Playbook); and convene a coalition of like-minded regulators to align where they can. </w:t>
      </w:r>
      <w:r>
        <w:rPr>
          <w:rFonts w:ascii="Georgia" w:cs="Georgia" w:eastAsia="Georgia" w:hAnsi="Georgia"/>
          <w:b/>
          <w:bCs/>
          <w:color w:val="1A1A1A"/>
          <w:sz w:val="21"/>
          <w:szCs w:val="21"/>
        </w:rPr>
        <w:t xml:space="preserve">Recommendation:</w:t>
      </w:r>
      <w:r>
        <w:rPr>
          <w:rFonts w:ascii="Georgia" w:cs="Georgia" w:eastAsia="Georgia" w:hAnsi="Georgia"/>
          <w:color w:val="1A1A1A"/>
          <w:sz w:val="21"/>
          <w:szCs w:val="21"/>
        </w:rPr>
        <w:t xml:space="preserve"> climb the interoperability ladder as far as politics allows — terminology → standards → mutual recognition → minimum baselines — and stop short of pretending at harmonised law. </w:t>
      </w:r>
      <w:r>
        <w:rPr>
          <w:rFonts w:ascii="Georgia" w:cs="Georgia" w:eastAsia="Georgia" w:hAnsi="Georgia"/>
          <w:b/>
          <w:bCs/>
          <w:color w:val="1A1A1A"/>
          <w:sz w:val="21"/>
          <w:szCs w:val="21"/>
        </w:rPr>
        <w:t xml:space="preserve">Framework:</w:t>
      </w:r>
      <w:r>
        <w:rPr>
          <w:rFonts w:ascii="Georgia" w:cs="Georgia" w:eastAsia="Georgia" w:hAnsi="Georgia"/>
          <w:color w:val="1A1A1A"/>
          <w:sz w:val="21"/>
          <w:szCs w:val="21"/>
        </w:rPr>
        <w:t xml:space="preserve"> interoperability ladder.</w:t>
      </w:r>
    </w:p>
    <w:p>
      <w:pPr>
        <w:pStyle w:val="Heading2"/>
        <w:spacing w:after="100" w:before="220"/>
      </w:pPr>
      <w:r>
        <w:rPr>
          <w:rFonts w:ascii="Calibri" w:cs="Calibri" w:eastAsia="Calibri" w:hAnsi="Calibri"/>
          <w:b/>
          <w:bCs/>
          <w:color w:val="2F5D8A"/>
          <w:sz w:val="25"/>
          <w:szCs w:val="25"/>
        </w:rPr>
        <w:t xml:space="preserve">Case 3 — Stand up the workstream from zero</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“You have the job and a blank sheet. What do you build in year one?”</w:t>
      </w:r>
    </w:p>
    <w:p>
      <w:pPr>
        <w:pStyle w:val="Heading3"/>
        <w:spacing w:after="70" w:before="160"/>
      </w:pPr>
      <w:r>
        <w:rPr>
          <w:rFonts w:ascii="Calibri" w:cs="Calibri" w:eastAsia="Calibri" w:hAnsi="Calibri"/>
          <w:b/>
          <w:bCs/>
          <w:color w:val="1F2A44"/>
          <w:sz w:val="22"/>
          <w:szCs w:val="22"/>
        </w:rPr>
        <w:t xml:space="preserve">Structure — transformation design</w:t>
      </w:r>
    </w:p>
    <w:p>
      <w:pPr>
        <w:pStyle w:val="ListParagraph"/>
        <w:numPr>
          <w:ilvl w:val="0"/>
          <w:numId w:val="2"/>
        </w:numPr>
        <w:spacing w:after="70" w:line="268"/>
      </w:pPr>
      <w:r>
        <w:rPr>
          <w:rFonts w:ascii="Georgia" w:cs="Georgia" w:eastAsia="Georgia" w:hAnsi="Georgia"/>
          <w:b/>
          <w:bCs/>
          <w:color w:val="1A1A1A"/>
          <w:sz w:val="21"/>
          <w:szCs w:val="21"/>
        </w:rPr>
        <w:t xml:space="preserve">Diagnose</w:t>
      </w:r>
      <w:r>
        <w:rPr>
          <w:rFonts w:ascii="Georgia" w:cs="Georgia" w:eastAsia="Georgia" w:hAnsi="Georgia"/>
          <w:color w:val="1A1A1A"/>
          <w:sz w:val="21"/>
          <w:szCs w:val="21"/>
        </w:rPr>
        <w:t xml:space="preserve"> — map existing GRIP assets, the sharpest governance gaps, and internal stakeholders.</w:t>
      </w:r>
    </w:p>
    <w:p>
      <w:pPr>
        <w:pStyle w:val="ListParagraph"/>
        <w:numPr>
          <w:ilvl w:val="0"/>
          <w:numId w:val="2"/>
        </w:numPr>
        <w:spacing w:after="70" w:line="268"/>
      </w:pPr>
      <w:r>
        <w:rPr>
          <w:rFonts w:ascii="Georgia" w:cs="Georgia" w:eastAsia="Georgia" w:hAnsi="Georgia"/>
          <w:b/>
          <w:bCs/>
          <w:color w:val="1A1A1A"/>
          <w:sz w:val="21"/>
          <w:szCs w:val="21"/>
        </w:rPr>
        <w:t xml:space="preserve">Define ambition</w:t>
      </w:r>
      <w:r>
        <w:rPr>
          <w:rFonts w:ascii="Georgia" w:cs="Georgia" w:eastAsia="Georgia" w:hAnsi="Georgia"/>
          <w:color w:val="1A1A1A"/>
          <w:sz w:val="21"/>
          <w:szCs w:val="21"/>
        </w:rPr>
        <w:t xml:space="preserve"> — pick 2–3 beachhead domains against a transparent filter; agree success measures.</w:t>
      </w:r>
    </w:p>
    <w:p>
      <w:pPr>
        <w:pStyle w:val="ListParagraph"/>
        <w:numPr>
          <w:ilvl w:val="0"/>
          <w:numId w:val="2"/>
        </w:numPr>
        <w:spacing w:after="70" w:line="268"/>
      </w:pPr>
      <w:r>
        <w:rPr>
          <w:rFonts w:ascii="Georgia" w:cs="Georgia" w:eastAsia="Georgia" w:hAnsi="Georgia"/>
          <w:b/>
          <w:bCs/>
          <w:color w:val="1A1A1A"/>
          <w:sz w:val="21"/>
          <w:szCs w:val="21"/>
        </w:rPr>
        <w:t xml:space="preserve">Design levers</w:t>
      </w:r>
      <w:r>
        <w:rPr>
          <w:rFonts w:ascii="Georgia" w:cs="Georgia" w:eastAsia="Georgia" w:hAnsi="Georgia"/>
          <w:color w:val="1A1A1A"/>
          <w:sz w:val="21"/>
          <w:szCs w:val="21"/>
        </w:rPr>
        <w:t xml:space="preserve"> — convenings, a knowledge product, a pilot, a capability-build.</w:t>
      </w:r>
    </w:p>
    <w:p>
      <w:pPr>
        <w:pStyle w:val="ListParagraph"/>
        <w:numPr>
          <w:ilvl w:val="0"/>
          <w:numId w:val="2"/>
        </w:numPr>
        <w:spacing w:after="70" w:line="268"/>
      </w:pPr>
      <w:r>
        <w:rPr>
          <w:rFonts w:ascii="Georgia" w:cs="Georgia" w:eastAsia="Georgia" w:hAnsi="Georgia"/>
          <w:b/>
          <w:bCs/>
          <w:color w:val="1A1A1A"/>
          <w:sz w:val="21"/>
          <w:szCs w:val="21"/>
        </w:rPr>
        <w:t xml:space="preserve">Roll out</w:t>
      </w:r>
      <w:r>
        <w:rPr>
          <w:rFonts w:ascii="Georgia" w:cs="Georgia" w:eastAsia="Georgia" w:hAnsi="Georgia"/>
          <w:color w:val="1A1A1A"/>
          <w:sz w:val="21"/>
          <w:szCs w:val="21"/>
        </w:rPr>
        <w:t xml:space="preserve"> — sequence first-mover commitments; prove a reference case; then replicate.</w:t>
      </w:r>
    </w:p>
    <w:p>
      <w:pPr>
        <w:pStyle w:val="Heading3"/>
        <w:spacing w:after="70" w:before="160"/>
      </w:pPr>
      <w:r>
        <w:rPr>
          <w:rFonts w:ascii="Calibri" w:cs="Calibri" w:eastAsia="Calibri" w:hAnsi="Calibri"/>
          <w:b/>
          <w:bCs/>
          <w:color w:val="1F2A44"/>
          <w:sz w:val="22"/>
          <w:szCs w:val="22"/>
        </w:rPr>
        <w:t xml:space="preserve">Model walk-through</w:t>
      </w:r>
    </w:p>
    <w:p>
      <w:pPr>
        <w:spacing w:after="140" w:line="276"/>
        <w:jc w:val="both"/>
      </w:pPr>
      <w:r>
        <w:rPr>
          <w:rFonts w:ascii="Georgia" w:cs="Georgia" w:eastAsia="Georgia" w:hAnsi="Georgia"/>
          <w:color w:val="1A1A1A"/>
          <w:sz w:val="21"/>
          <w:szCs w:val="21"/>
        </w:rPr>
        <w:t xml:space="preserve">Listen-and-map (days 1–30), focus-and-frame (31–60), prove (61–100), then convert to assets in the back half of year one. By year-end I’d want: a signed-off strategy with success measures; two beachhead domains chosen on gap severity, right-to-convene, partner-readiness and replicability (quantum-to-PQC migration and AI-bio biosecurity are my leading candidates); one flagship convening per beachhead wired to a concrete decision; one co-created knowledge product; and a documented, reusable model so domains three and four cost less than the first. </w:t>
      </w:r>
      <w:r>
        <w:rPr>
          <w:rFonts w:ascii="Georgia" w:cs="Georgia" w:eastAsia="Georgia" w:hAnsi="Georgia"/>
          <w:b/>
          <w:bCs/>
          <w:color w:val="1A1A1A"/>
          <w:sz w:val="21"/>
          <w:szCs w:val="21"/>
        </w:rPr>
        <w:t xml:space="preserve">Discipline:</w:t>
      </w:r>
      <w:r>
        <w:rPr>
          <w:rFonts w:ascii="Georgia" w:cs="Georgia" w:eastAsia="Georgia" w:hAnsi="Georgia"/>
          <w:color w:val="1A1A1A"/>
          <w:sz w:val="21"/>
          <w:szCs w:val="21"/>
        </w:rPr>
        <w:t xml:space="preserve"> evidence before scale, capability before rules, internal coalition before external ambition. </w:t>
      </w:r>
      <w:r>
        <w:rPr>
          <w:rFonts w:ascii="Georgia" w:cs="Georgia" w:eastAsia="Georgia" w:hAnsi="Georgia"/>
          <w:b/>
          <w:bCs/>
          <w:color w:val="1A1A1A"/>
          <w:sz w:val="21"/>
          <w:szCs w:val="21"/>
        </w:rPr>
        <w:t xml:space="preserve">Recommendation:</w:t>
      </w:r>
      <w:r>
        <w:rPr>
          <w:rFonts w:ascii="Georgia" w:cs="Georgia" w:eastAsia="Georgia" w:hAnsi="Georgia"/>
          <w:color w:val="1A1A1A"/>
          <w:sz w:val="21"/>
          <w:szCs w:val="21"/>
        </w:rPr>
        <w:t xml:space="preserve"> two domains deep, not five shallow. </w:t>
      </w:r>
      <w:r>
        <w:rPr>
          <w:rFonts w:ascii="Georgia" w:cs="Georgia" w:eastAsia="Georgia" w:hAnsi="Georgia"/>
          <w:b/>
          <w:bCs/>
          <w:color w:val="1A1A1A"/>
          <w:sz w:val="21"/>
          <w:szCs w:val="21"/>
        </w:rPr>
        <w:t xml:space="preserve">Framework:</w:t>
      </w:r>
      <w:r>
        <w:rPr>
          <w:rFonts w:ascii="Georgia" w:cs="Georgia" w:eastAsia="Georgia" w:hAnsi="Georgia"/>
          <w:color w:val="1A1A1A"/>
          <w:sz w:val="21"/>
          <w:szCs w:val="21"/>
        </w:rPr>
        <w:t xml:space="preserve"> diagnose → ambition → levers → rollout.</w:t>
      </w:r>
    </w:p>
    <w:p>
      <w:pPr>
        <w:pStyle w:val="Heading2"/>
        <w:spacing w:after="100" w:before="220"/>
      </w:pPr>
      <w:r>
        <w:rPr>
          <w:rFonts w:ascii="Calibri" w:cs="Calibri" w:eastAsia="Calibri" w:hAnsi="Calibri"/>
          <w:b/>
          <w:bCs/>
          <w:color w:val="2F5D8A"/>
          <w:sz w:val="25"/>
          <w:szCs w:val="25"/>
        </w:rPr>
        <w:t xml:space="preserve">Case 4 — Prioritise the domains</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“You can’t cover five frontier domains at once. How do you choose, and can you put any numbers on it?”</w:t>
      </w:r>
    </w:p>
    <w:p>
      <w:pPr>
        <w:pStyle w:val="Heading3"/>
        <w:spacing w:after="70" w:before="160"/>
      </w:pPr>
      <w:r>
        <w:rPr>
          <w:rFonts w:ascii="Calibri" w:cs="Calibri" w:eastAsia="Calibri" w:hAnsi="Calibri"/>
          <w:b/>
          <w:bCs/>
          <w:color w:val="1F2A44"/>
          <w:sz w:val="22"/>
          <w:szCs w:val="22"/>
        </w:rPr>
        <w:t xml:space="preserve">Structure — a weighted prioritisation</w:t>
      </w:r>
    </w:p>
    <w:p>
      <w:pPr>
        <w:pStyle w:val="ListParagraph"/>
        <w:numPr>
          <w:ilvl w:val="0"/>
          <w:numId w:val="2"/>
        </w:numPr>
        <w:spacing w:after="70" w:line="268"/>
      </w:pPr>
      <w:r>
        <w:rPr>
          <w:rFonts w:ascii="Georgia" w:cs="Georgia" w:eastAsia="Georgia" w:hAnsi="Georgia"/>
          <w:b/>
          <w:bCs/>
          <w:color w:val="1A1A1A"/>
          <w:sz w:val="21"/>
          <w:szCs w:val="21"/>
        </w:rPr>
        <w:t xml:space="preserve">Criteria</w:t>
      </w:r>
      <w:r>
        <w:rPr>
          <w:rFonts w:ascii="Georgia" w:cs="Georgia" w:eastAsia="Georgia" w:hAnsi="Georgia"/>
          <w:color w:val="1A1A1A"/>
          <w:sz w:val="21"/>
          <w:szCs w:val="21"/>
        </w:rPr>
        <w:t xml:space="preserve"> — gap severity/urgency; the Forum’s right and ability to convene; partner readiness; replicability.</w:t>
      </w:r>
    </w:p>
    <w:p>
      <w:pPr>
        <w:pStyle w:val="ListParagraph"/>
        <w:numPr>
          <w:ilvl w:val="0"/>
          <w:numId w:val="2"/>
        </w:numPr>
        <w:spacing w:after="70" w:line="268"/>
      </w:pPr>
      <w:r>
        <w:rPr>
          <w:rFonts w:ascii="Georgia" w:cs="Georgia" w:eastAsia="Georgia" w:hAnsi="Georgia"/>
          <w:b/>
          <w:bCs/>
          <w:color w:val="1A1A1A"/>
          <w:sz w:val="21"/>
          <w:szCs w:val="21"/>
        </w:rPr>
        <w:t xml:space="preserve">Score</w:t>
      </w:r>
      <w:r>
        <w:rPr>
          <w:rFonts w:ascii="Georgia" w:cs="Georgia" w:eastAsia="Georgia" w:hAnsi="Georgia"/>
          <w:color w:val="1A1A1A"/>
          <w:sz w:val="21"/>
          <w:szCs w:val="21"/>
        </w:rPr>
        <w:t xml:space="preserve"> — rate each domain (say 1–5) on each criterion; weight by strategic fit.</w:t>
      </w:r>
    </w:p>
    <w:p>
      <w:pPr>
        <w:pStyle w:val="ListParagraph"/>
        <w:numPr>
          <w:ilvl w:val="0"/>
          <w:numId w:val="2"/>
        </w:numPr>
        <w:spacing w:after="70" w:line="268"/>
      </w:pPr>
      <w:r>
        <w:rPr>
          <w:rFonts w:ascii="Georgia" w:cs="Georgia" w:eastAsia="Georgia" w:hAnsi="Georgia"/>
          <w:b/>
          <w:bCs/>
          <w:color w:val="1A1A1A"/>
          <w:sz w:val="21"/>
          <w:szCs w:val="21"/>
        </w:rPr>
        <w:t xml:space="preserve">Sequence</w:t>
      </w:r>
      <w:r>
        <w:rPr>
          <w:rFonts w:ascii="Georgia" w:cs="Georgia" w:eastAsia="Georgia" w:hAnsi="Georgia"/>
          <w:color w:val="1A1A1A"/>
          <w:sz w:val="21"/>
          <w:szCs w:val="21"/>
        </w:rPr>
        <w:t xml:space="preserve"> — start narrow and deep on the top two; bank a win; expand using the reusable model.</w:t>
      </w:r>
    </w:p>
    <w:p>
      <w:pPr>
        <w:pStyle w:val="Heading3"/>
        <w:spacing w:after="70" w:before="160"/>
      </w:pPr>
      <w:r>
        <w:rPr>
          <w:rFonts w:ascii="Calibri" w:cs="Calibri" w:eastAsia="Calibri" w:hAnsi="Calibri"/>
          <w:b/>
          <w:bCs/>
          <w:color w:val="1F2A44"/>
          <w:sz w:val="22"/>
          <w:szCs w:val="22"/>
        </w:rPr>
        <w:t xml:space="preserve">Model walk-through (with a light scoring pass)</w:t>
      </w:r>
    </w:p>
    <w:p>
      <w:pPr>
        <w:spacing w:after="140" w:line="276"/>
        <w:jc w:val="both"/>
      </w:pPr>
      <w:r>
        <w:rPr>
          <w:rFonts w:ascii="Georgia" w:cs="Georgia" w:eastAsia="Georgia" w:hAnsi="Georgia"/>
          <w:color w:val="1A1A1A"/>
          <w:sz w:val="21"/>
          <w:szCs w:val="21"/>
        </w:rPr>
        <w:t xml:space="preserve">I’d make the prioritisation defensible by scoring it. On a 1–5 scale across the four criteria, quantum-to-PQC migration scores high on urgency (deadlines are live), right-to-convene (cross-industry, non-partisan) and replicability (a clean anticipatory-governance template); AI-bio biosecurity scores very high on severity (catastrophic tail) but lower on partner-readiness (security-sensitive). AV/robotics scores medium (national regulators already active); space and climate intervention score high on importance but low on near-term tractability. </w:t>
      </w:r>
      <w:r>
        <w:rPr>
          <w:rFonts w:ascii="Georgia" w:cs="Georgia" w:eastAsia="Georgia" w:hAnsi="Georgia"/>
          <w:b/>
          <w:bCs/>
          <w:color w:val="1A1A1A"/>
          <w:sz w:val="21"/>
          <w:szCs w:val="21"/>
        </w:rPr>
        <w:t xml:space="preserve">Recommendation:</w:t>
      </w:r>
      <w:r>
        <w:rPr>
          <w:rFonts w:ascii="Georgia" w:cs="Georgia" w:eastAsia="Georgia" w:hAnsi="Georgia"/>
          <w:color w:val="1A1A1A"/>
          <w:sz w:val="21"/>
          <w:szCs w:val="21"/>
        </w:rPr>
        <w:t xml:space="preserve"> lead with quantum-migration governance (fast, winnable, replicable) and AI-bio biosecurity (highest stakes), and treat the reusable model as the real deliverable. </w:t>
      </w:r>
      <w:r>
        <w:rPr>
          <w:rFonts w:ascii="Georgia" w:cs="Georgia" w:eastAsia="Georgia" w:hAnsi="Georgia"/>
          <w:b/>
          <w:bCs/>
          <w:color w:val="1A1A1A"/>
          <w:sz w:val="21"/>
          <w:szCs w:val="21"/>
        </w:rPr>
        <w:t xml:space="preserve">Framework:</w:t>
      </w:r>
      <w:r>
        <w:rPr>
          <w:rFonts w:ascii="Georgia" w:cs="Georgia" w:eastAsia="Georgia" w:hAnsi="Georgia"/>
          <w:color w:val="1A1A1A"/>
          <w:sz w:val="21"/>
          <w:szCs w:val="21"/>
        </w:rPr>
        <w:t xml:space="preserve"> prioritisation filter + driver-scoring.</w:t>
      </w:r>
    </w:p>
    <w:p>
      <w:pPr>
        <w:pStyle w:val="Heading2"/>
        <w:spacing w:after="100" w:before="220"/>
      </w:pPr>
      <w:r>
        <w:rPr>
          <w:rFonts w:ascii="Calibri" w:cs="Calibri" w:eastAsia="Calibri" w:hAnsi="Calibri"/>
          <w:b/>
          <w:bCs/>
          <w:color w:val="2F5D8A"/>
          <w:sz w:val="25"/>
          <w:szCs w:val="25"/>
        </w:rPr>
        <w:t xml:space="preserve">Case 5 — Break the pilot purgatory</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“A government has run a dozen successful AV pilots over three years but none has scaled into national rules. What’s wrong and what do you do?”</w:t>
      </w:r>
    </w:p>
    <w:p>
      <w:pPr>
        <w:pStyle w:val="Heading3"/>
        <w:spacing w:after="70" w:before="160"/>
      </w:pPr>
      <w:r>
        <w:rPr>
          <w:rFonts w:ascii="Calibri" w:cs="Calibri" w:eastAsia="Calibri" w:hAnsi="Calibri"/>
          <w:b/>
          <w:bCs/>
          <w:color w:val="1F2A44"/>
          <w:sz w:val="22"/>
          <w:szCs w:val="22"/>
        </w:rPr>
        <w:t xml:space="preserve">Structure</w:t>
      </w:r>
    </w:p>
    <w:p>
      <w:pPr>
        <w:pStyle w:val="ListParagraph"/>
        <w:numPr>
          <w:ilvl w:val="0"/>
          <w:numId w:val="2"/>
        </w:numPr>
        <w:spacing w:after="70" w:line="268"/>
      </w:pPr>
      <w:r>
        <w:rPr>
          <w:rFonts w:ascii="Georgia" w:cs="Georgia" w:eastAsia="Georgia" w:hAnsi="Georgia"/>
          <w:b/>
          <w:bCs/>
          <w:color w:val="1A1A1A"/>
          <w:sz w:val="21"/>
          <w:szCs w:val="21"/>
        </w:rPr>
        <w:t xml:space="preserve">Diagnose the stall</w:t>
      </w:r>
      <w:r>
        <w:rPr>
          <w:rFonts w:ascii="Georgia" w:cs="Georgia" w:eastAsia="Georgia" w:hAnsi="Georgia"/>
          <w:color w:val="1A1A1A"/>
          <w:sz w:val="21"/>
          <w:szCs w:val="21"/>
        </w:rPr>
        <w:t xml:space="preserve"> — is it capability, integration, governance, or codification?</w:t>
      </w:r>
    </w:p>
    <w:p>
      <w:pPr>
        <w:pStyle w:val="ListParagraph"/>
        <w:numPr>
          <w:ilvl w:val="0"/>
          <w:numId w:val="2"/>
        </w:numPr>
        <w:spacing w:after="70" w:line="268"/>
      </w:pPr>
      <w:r>
        <w:rPr>
          <w:rFonts w:ascii="Georgia" w:cs="Georgia" w:eastAsia="Georgia" w:hAnsi="Georgia"/>
          <w:b/>
          <w:bCs/>
          <w:color w:val="1A1A1A"/>
          <w:sz w:val="21"/>
          <w:szCs w:val="21"/>
        </w:rPr>
        <w:t xml:space="preserve">Locate the gap</w:t>
      </w:r>
      <w:r>
        <w:rPr>
          <w:rFonts w:ascii="Georgia" w:cs="Georgia" w:eastAsia="Georgia" w:hAnsi="Georgia"/>
          <w:color w:val="1A1A1A"/>
          <w:sz w:val="21"/>
          <w:szCs w:val="21"/>
        </w:rPr>
        <w:t xml:space="preserve"> — usually not technology but cross-agency integration and a missing codification path.</w:t>
      </w:r>
    </w:p>
    <w:p>
      <w:pPr>
        <w:pStyle w:val="ListParagraph"/>
        <w:numPr>
          <w:ilvl w:val="0"/>
          <w:numId w:val="2"/>
        </w:numPr>
        <w:spacing w:after="70" w:line="268"/>
      </w:pPr>
      <w:r>
        <w:rPr>
          <w:rFonts w:ascii="Georgia" w:cs="Georgia" w:eastAsia="Georgia" w:hAnsi="Georgia"/>
          <w:b/>
          <w:bCs/>
          <w:color w:val="1A1A1A"/>
          <w:sz w:val="21"/>
          <w:szCs w:val="21"/>
        </w:rPr>
        <w:t xml:space="preserve">Fix the system, not the pilot</w:t>
      </w:r>
      <w:r>
        <w:rPr>
          <w:rFonts w:ascii="Georgia" w:cs="Georgia" w:eastAsia="Georgia" w:hAnsi="Georgia"/>
          <w:color w:val="1A1A1A"/>
          <w:sz w:val="21"/>
          <w:szCs w:val="21"/>
        </w:rPr>
        <w:t xml:space="preserve"> — cross-functional governance, shared metrics, a graduation route.</w:t>
      </w:r>
    </w:p>
    <w:p>
      <w:pPr>
        <w:pStyle w:val="Heading3"/>
        <w:spacing w:after="70" w:before="160"/>
      </w:pPr>
      <w:r>
        <w:rPr>
          <w:rFonts w:ascii="Calibri" w:cs="Calibri" w:eastAsia="Calibri" w:hAnsi="Calibri"/>
          <w:b/>
          <w:bCs/>
          <w:color w:val="1F2A44"/>
          <w:sz w:val="22"/>
          <w:szCs w:val="22"/>
        </w:rPr>
        <w:t xml:space="preserve">Model walk-through</w:t>
      </w:r>
    </w:p>
    <w:p>
      <w:pPr>
        <w:spacing w:after="140" w:line="276"/>
        <w:jc w:val="both"/>
      </w:pPr>
      <w:r>
        <w:rPr>
          <w:rFonts w:ascii="Georgia" w:cs="Georgia" w:eastAsia="Georgia" w:hAnsi="Georgia"/>
          <w:color w:val="1A1A1A"/>
          <w:sz w:val="21"/>
          <w:szCs w:val="21"/>
        </w:rPr>
        <w:t xml:space="preserve">This is textbook scaling slump: pilots designed as standalone experiments, not as replicable systems, with no owner for the expensive cross-agency integration. The problem is almost never the technology — it’s a capability and governance gap. I’d stand up a cross-functional governance body with a real mandate and shared KPIs across transport, digital and safety agencies; require every pilot to produce a codification output (a safety-case template and draft rules); and appoint owners for the integration work. </w:t>
      </w:r>
      <w:r>
        <w:rPr>
          <w:rFonts w:ascii="Georgia" w:cs="Georgia" w:eastAsia="Georgia" w:hAnsi="Georgia"/>
          <w:b/>
          <w:bCs/>
          <w:color w:val="1A1A1A"/>
          <w:sz w:val="21"/>
          <w:szCs w:val="21"/>
        </w:rPr>
        <w:t xml:space="preserve">Recommendation:</w:t>
      </w:r>
      <w:r>
        <w:rPr>
          <w:rFonts w:ascii="Georgia" w:cs="Georgia" w:eastAsia="Georgia" w:hAnsi="Georgia"/>
          <w:color w:val="1A1A1A"/>
          <w:sz w:val="21"/>
          <w:szCs w:val="21"/>
        </w:rPr>
        <w:t xml:space="preserve"> shift from running more pilots to building the graduation machinery that turns pilots into rules. </w:t>
      </w:r>
      <w:r>
        <w:rPr>
          <w:rFonts w:ascii="Georgia" w:cs="Georgia" w:eastAsia="Georgia" w:hAnsi="Georgia"/>
          <w:b/>
          <w:bCs/>
          <w:color w:val="1A1A1A"/>
          <w:sz w:val="21"/>
          <w:szCs w:val="21"/>
        </w:rPr>
        <w:t xml:space="preserve">Framework:</w:t>
      </w:r>
      <w:r>
        <w:rPr>
          <w:rFonts w:ascii="Georgia" w:cs="Georgia" w:eastAsia="Georgia" w:hAnsi="Georgia"/>
          <w:color w:val="1A1A1A"/>
          <w:sz w:val="21"/>
          <w:szCs w:val="21"/>
        </w:rPr>
        <w:t xml:space="preserve"> scaling slump / capability gap.</w:t>
      </w:r>
    </w:p>
    <w:p>
      <w:pPr>
        <w:pStyle w:val="Heading2"/>
        <w:spacing w:after="100" w:before="220"/>
      </w:pPr>
      <w:r>
        <w:rPr>
          <w:rFonts w:ascii="Calibri" w:cs="Calibri" w:eastAsia="Calibri" w:hAnsi="Calibri"/>
          <w:b/>
          <w:bCs/>
          <w:color w:val="2F5D8A"/>
          <w:sz w:val="25"/>
          <w:szCs w:val="25"/>
        </w:rPr>
        <w:t xml:space="preserve">Case 6 — A country wants to lead on quantum governance</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“A member state wants to become the global reference for quantum governance. Advise them.”</w:t>
      </w:r>
    </w:p>
    <w:p>
      <w:pPr>
        <w:pStyle w:val="Heading3"/>
        <w:spacing w:after="70" w:before="160"/>
      </w:pPr>
      <w:r>
        <w:rPr>
          <w:rFonts w:ascii="Calibri" w:cs="Calibri" w:eastAsia="Calibri" w:hAnsi="Calibri"/>
          <w:b/>
          <w:bCs/>
          <w:color w:val="1F2A44"/>
          <w:sz w:val="22"/>
          <w:szCs w:val="22"/>
        </w:rPr>
        <w:t xml:space="preserve">Structure</w:t>
      </w:r>
    </w:p>
    <w:p>
      <w:pPr>
        <w:pStyle w:val="ListParagraph"/>
        <w:numPr>
          <w:ilvl w:val="0"/>
          <w:numId w:val="2"/>
        </w:numPr>
        <w:spacing w:after="70" w:line="268"/>
      </w:pPr>
      <w:r>
        <w:rPr>
          <w:rFonts w:ascii="Georgia" w:cs="Georgia" w:eastAsia="Georgia" w:hAnsi="Georgia"/>
          <w:b/>
          <w:bCs/>
          <w:color w:val="1A1A1A"/>
          <w:sz w:val="21"/>
          <w:szCs w:val="21"/>
        </w:rPr>
        <w:t xml:space="preserve">Where are they</w:t>
      </w:r>
      <w:r>
        <w:rPr>
          <w:rFonts w:ascii="Georgia" w:cs="Georgia" w:eastAsia="Georgia" w:hAnsi="Georgia"/>
          <w:color w:val="1A1A1A"/>
          <w:sz w:val="21"/>
          <w:szCs w:val="21"/>
        </w:rPr>
        <w:t xml:space="preserve"> on the regulatory maturity curve, and what’s the credible ambition?</w:t>
      </w:r>
    </w:p>
    <w:p>
      <w:pPr>
        <w:pStyle w:val="ListParagraph"/>
        <w:numPr>
          <w:ilvl w:val="0"/>
          <w:numId w:val="2"/>
        </w:numPr>
        <w:spacing w:after="70" w:line="268"/>
      </w:pPr>
      <w:r>
        <w:rPr>
          <w:rFonts w:ascii="Georgia" w:cs="Georgia" w:eastAsia="Georgia" w:hAnsi="Georgia"/>
          <w:b/>
          <w:bCs/>
          <w:color w:val="1A1A1A"/>
          <w:sz w:val="21"/>
          <w:szCs w:val="21"/>
        </w:rPr>
        <w:t xml:space="preserve">What’s the real near-term issue</w:t>
      </w:r>
      <w:r>
        <w:rPr>
          <w:rFonts w:ascii="Georgia" w:cs="Georgia" w:eastAsia="Georgia" w:hAnsi="Georgia"/>
          <w:color w:val="1A1A1A"/>
          <w:sz w:val="21"/>
          <w:szCs w:val="21"/>
        </w:rPr>
        <w:t xml:space="preserve"> — it’s cryptographic (PQC migration), not computational.</w:t>
      </w:r>
    </w:p>
    <w:p>
      <w:pPr>
        <w:pStyle w:val="ListParagraph"/>
        <w:numPr>
          <w:ilvl w:val="0"/>
          <w:numId w:val="2"/>
        </w:numPr>
        <w:spacing w:after="70" w:line="268"/>
      </w:pPr>
      <w:r>
        <w:rPr>
          <w:rFonts w:ascii="Georgia" w:cs="Georgia" w:eastAsia="Georgia" w:hAnsi="Georgia"/>
          <w:b/>
          <w:bCs/>
          <w:color w:val="1A1A1A"/>
          <w:sz w:val="21"/>
          <w:szCs w:val="21"/>
        </w:rPr>
        <w:t xml:space="preserve">What capability</w:t>
      </w:r>
      <w:r>
        <w:rPr>
          <w:rFonts w:ascii="Georgia" w:cs="Georgia" w:eastAsia="Georgia" w:hAnsi="Georgia"/>
          <w:color w:val="1A1A1A"/>
          <w:sz w:val="21"/>
          <w:szCs w:val="21"/>
        </w:rPr>
        <w:t xml:space="preserve"> do they need to build to lead (technical, institutional, standards influence)?</w:t>
      </w:r>
    </w:p>
    <w:p>
      <w:pPr>
        <w:pStyle w:val="ListParagraph"/>
        <w:numPr>
          <w:ilvl w:val="0"/>
          <w:numId w:val="2"/>
        </w:numPr>
        <w:spacing w:after="70" w:line="268"/>
      </w:pPr>
      <w:r>
        <w:rPr>
          <w:rFonts w:ascii="Georgia" w:cs="Georgia" w:eastAsia="Georgia" w:hAnsi="Georgia"/>
          <w:b/>
          <w:bCs/>
          <w:color w:val="1A1A1A"/>
          <w:sz w:val="21"/>
          <w:szCs w:val="21"/>
        </w:rPr>
        <w:t xml:space="preserve">How do they win reference status</w:t>
      </w:r>
      <w:r>
        <w:rPr>
          <w:rFonts w:ascii="Georgia" w:cs="Georgia" w:eastAsia="Georgia" w:hAnsi="Georgia"/>
          <w:color w:val="1A1A1A"/>
          <w:sz w:val="21"/>
          <w:szCs w:val="21"/>
        </w:rPr>
        <w:t xml:space="preserve"> — first-mover commitments, standards leadership, a replicable model.</w:t>
      </w:r>
    </w:p>
    <w:p>
      <w:pPr>
        <w:pStyle w:val="Heading3"/>
        <w:spacing w:after="70" w:before="160"/>
      </w:pPr>
      <w:r>
        <w:rPr>
          <w:rFonts w:ascii="Calibri" w:cs="Calibri" w:eastAsia="Calibri" w:hAnsi="Calibri"/>
          <w:b/>
          <w:bCs/>
          <w:color w:val="1F2A44"/>
          <w:sz w:val="22"/>
          <w:szCs w:val="22"/>
        </w:rPr>
        <w:t xml:space="preserve">Model walk-through</w:t>
      </w:r>
    </w:p>
    <w:p>
      <w:pPr>
        <w:spacing w:after="140" w:line="276"/>
        <w:jc w:val="both"/>
      </w:pPr>
      <w:r>
        <w:rPr>
          <w:rFonts w:ascii="Georgia" w:cs="Georgia" w:eastAsia="Georgia" w:hAnsi="Georgia"/>
          <w:color w:val="1A1A1A"/>
          <w:sz w:val="21"/>
          <w:szCs w:val="21"/>
        </w:rPr>
        <w:t xml:space="preserve">‘Leading on quantum governance’ in the near term means leading on the </w:t>
      </w:r>
      <w:r>
        <w:rPr>
          <w:rFonts w:ascii="Georgia" w:cs="Georgia" w:eastAsia="Georgia" w:hAnsi="Georgia"/>
          <w:b/>
          <w:bCs/>
          <w:color w:val="1A1A1A"/>
          <w:sz w:val="21"/>
          <w:szCs w:val="21"/>
        </w:rPr>
        <w:t xml:space="preserve">PQC migration</w:t>
      </w:r>
      <w:r>
        <w:rPr>
          <w:rFonts w:ascii="Georgia" w:cs="Georgia" w:eastAsia="Georgia" w:hAnsi="Georgia"/>
          <w:color w:val="1A1A1A"/>
          <w:sz w:val="21"/>
          <w:szCs w:val="21"/>
        </w:rPr>
        <w:t xml:space="preserve"> and on standards influence, not regulating quantum computers that don’t yet exist. I’d advise: run a national crypto-inventory and migration programme on a public timeline (instant credibility); invest in standards-body participation to shape the rules others adopt; build the technical capability inside the regulator; and publish the migration as a </w:t>
      </w:r>
      <w:r>
        <w:rPr>
          <w:rFonts w:ascii="Georgia" w:cs="Georgia" w:eastAsia="Georgia" w:hAnsi="Georgia"/>
          <w:b/>
          <w:bCs/>
          <w:color w:val="1A1A1A"/>
          <w:sz w:val="21"/>
          <w:szCs w:val="21"/>
        </w:rPr>
        <w:t xml:space="preserve">reference case</w:t>
      </w:r>
      <w:r>
        <w:rPr>
          <w:rFonts w:ascii="Georgia" w:cs="Georgia" w:eastAsia="Georgia" w:hAnsi="Georgia"/>
          <w:color w:val="1A1A1A"/>
          <w:sz w:val="21"/>
          <w:szCs w:val="21"/>
        </w:rPr>
        <w:t xml:space="preserve"> with conditional logic other states can replicate — which is how a small country exports influence. </w:t>
      </w:r>
      <w:r>
        <w:rPr>
          <w:rFonts w:ascii="Georgia" w:cs="Georgia" w:eastAsia="Georgia" w:hAnsi="Georgia"/>
          <w:b/>
          <w:bCs/>
          <w:color w:val="1A1A1A"/>
          <w:sz w:val="21"/>
          <w:szCs w:val="21"/>
        </w:rPr>
        <w:t xml:space="preserve">Recommendation:</w:t>
      </w:r>
      <w:r>
        <w:rPr>
          <w:rFonts w:ascii="Georgia" w:cs="Georgia" w:eastAsia="Georgia" w:hAnsi="Georgia"/>
          <w:color w:val="1A1A1A"/>
          <w:sz w:val="21"/>
          <w:szCs w:val="21"/>
        </w:rPr>
        <w:t xml:space="preserve"> own the migration and the standards seat; package it as a replicable model. </w:t>
      </w:r>
      <w:r>
        <w:rPr>
          <w:rFonts w:ascii="Georgia" w:cs="Georgia" w:eastAsia="Georgia" w:hAnsi="Georgia"/>
          <w:b/>
          <w:bCs/>
          <w:color w:val="1A1A1A"/>
          <w:sz w:val="21"/>
          <w:szCs w:val="21"/>
        </w:rPr>
        <w:t xml:space="preserve">Framework:</w:t>
      </w:r>
      <w:r>
        <w:rPr>
          <w:rFonts w:ascii="Georgia" w:cs="Georgia" w:eastAsia="Georgia" w:hAnsi="Georgia"/>
          <w:color w:val="1A1A1A"/>
          <w:sz w:val="21"/>
          <w:szCs w:val="21"/>
        </w:rPr>
        <w:t xml:space="preserve"> maturity curve + capability gap + reference case.</w:t>
      </w:r>
    </w:p>
    <w:p>
      <w:pPr>
        <w:pStyle w:val="Heading2"/>
        <w:spacing w:after="100" w:before="220"/>
      </w:pPr>
      <w:r>
        <w:rPr>
          <w:rFonts w:ascii="Calibri" w:cs="Calibri" w:eastAsia="Calibri" w:hAnsi="Calibri"/>
          <w:b/>
          <w:bCs/>
          <w:color w:val="2F5D8A"/>
          <w:sz w:val="25"/>
          <w:szCs w:val="25"/>
        </w:rPr>
        <w:t xml:space="preserve">Case 7 — A bio-AI incident</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“A startup used an AI tool to design a dangerous novel protein and ordered synthesis before anyone caught it. Media storm; governments want to act fast. How does the Forum respond, and how do you prevent an overreaction that kills the field?”</w:t>
      </w:r>
    </w:p>
    <w:p>
      <w:pPr>
        <w:pStyle w:val="Heading3"/>
        <w:spacing w:after="70" w:before="160"/>
      </w:pPr>
      <w:r>
        <w:rPr>
          <w:rFonts w:ascii="Calibri" w:cs="Calibri" w:eastAsia="Calibri" w:hAnsi="Calibri"/>
          <w:b/>
          <w:bCs/>
          <w:color w:val="1F2A44"/>
          <w:sz w:val="22"/>
          <w:szCs w:val="22"/>
        </w:rPr>
        <w:t xml:space="preserve">Structure — balance paralysis vs overreaction</w:t>
      </w:r>
    </w:p>
    <w:p>
      <w:pPr>
        <w:pStyle w:val="ListParagraph"/>
        <w:numPr>
          <w:ilvl w:val="0"/>
          <w:numId w:val="2"/>
        </w:numPr>
        <w:spacing w:after="70" w:line="268"/>
      </w:pPr>
      <w:r>
        <w:rPr>
          <w:rFonts w:ascii="Georgia" w:cs="Georgia" w:eastAsia="Georgia" w:hAnsi="Georgia"/>
          <w:b/>
          <w:bCs/>
          <w:color w:val="1A1A1A"/>
          <w:sz w:val="21"/>
          <w:szCs w:val="21"/>
        </w:rPr>
        <w:t xml:space="preserve">Convene fast</w:t>
      </w:r>
      <w:r>
        <w:rPr>
          <w:rFonts w:ascii="Georgia" w:cs="Georgia" w:eastAsia="Georgia" w:hAnsi="Georgia"/>
          <w:color w:val="1A1A1A"/>
          <w:sz w:val="21"/>
          <w:szCs w:val="21"/>
        </w:rPr>
        <w:t xml:space="preserve"> — a trusted, neutral table within days: synthesis providers, AI developers, biosecurity agencies, regulators.</w:t>
      </w:r>
    </w:p>
    <w:p>
      <w:pPr>
        <w:pStyle w:val="ListParagraph"/>
        <w:numPr>
          <w:ilvl w:val="0"/>
          <w:numId w:val="2"/>
        </w:numPr>
        <w:spacing w:after="70" w:line="268"/>
      </w:pPr>
      <w:r>
        <w:rPr>
          <w:rFonts w:ascii="Georgia" w:cs="Georgia" w:eastAsia="Georgia" w:hAnsi="Georgia"/>
          <w:b/>
          <w:bCs/>
          <w:color w:val="1A1A1A"/>
          <w:sz w:val="21"/>
          <w:szCs w:val="21"/>
        </w:rPr>
        <w:t xml:space="preserve">Target the true failure point</w:t>
      </w:r>
      <w:r>
        <w:rPr>
          <w:rFonts w:ascii="Georgia" w:cs="Georgia" w:eastAsia="Georgia" w:hAnsi="Georgia"/>
          <w:color w:val="1A1A1A"/>
          <w:sz w:val="21"/>
          <w:szCs w:val="21"/>
        </w:rPr>
        <w:t xml:space="preserve"> — the gap between generative design and sequence-based screening.</w:t>
      </w:r>
    </w:p>
    <w:p>
      <w:pPr>
        <w:pStyle w:val="ListParagraph"/>
        <w:numPr>
          <w:ilvl w:val="0"/>
          <w:numId w:val="2"/>
        </w:numPr>
        <w:spacing w:after="70" w:line="268"/>
      </w:pPr>
      <w:r>
        <w:rPr>
          <w:rFonts w:ascii="Georgia" w:cs="Georgia" w:eastAsia="Georgia" w:hAnsi="Georgia"/>
          <w:b/>
          <w:bCs/>
          <w:color w:val="1A1A1A"/>
          <w:sz w:val="21"/>
          <w:szCs w:val="21"/>
        </w:rPr>
        <w:t xml:space="preserve">Absorb the responsible majority</w:t>
      </w:r>
      <w:r>
        <w:rPr>
          <w:rFonts w:ascii="Georgia" w:cs="Georgia" w:eastAsia="Georgia" w:hAnsi="Georgia"/>
          <w:color w:val="1A1A1A"/>
          <w:sz w:val="21"/>
          <w:szCs w:val="21"/>
        </w:rPr>
        <w:t xml:space="preserve"> — make good actors part of the fix so rules land on the failure mode, not the field.</w:t>
      </w:r>
    </w:p>
    <w:p>
      <w:pPr>
        <w:pStyle w:val="ListParagraph"/>
        <w:numPr>
          <w:ilvl w:val="0"/>
          <w:numId w:val="2"/>
        </w:numPr>
        <w:spacing w:after="70" w:line="268"/>
      </w:pPr>
      <w:r>
        <w:rPr>
          <w:rFonts w:ascii="Georgia" w:cs="Georgia" w:eastAsia="Georgia" w:hAnsi="Georgia"/>
          <w:b/>
          <w:bCs/>
          <w:color w:val="1A1A1A"/>
          <w:sz w:val="21"/>
          <w:szCs w:val="21"/>
        </w:rPr>
        <w:t xml:space="preserve">Persist into durable rules</w:t>
      </w:r>
      <w:r>
        <w:rPr>
          <w:rFonts w:ascii="Georgia" w:cs="Georgia" w:eastAsia="Georgia" w:hAnsi="Georgia"/>
          <w:color w:val="1A1A1A"/>
          <w:sz w:val="21"/>
          <w:szCs w:val="21"/>
        </w:rPr>
        <w:t xml:space="preserve"> — use the political energy to harden voluntary screening toward binding standards.</w:t>
      </w:r>
    </w:p>
    <w:p>
      <w:pPr>
        <w:pStyle w:val="Heading3"/>
        <w:spacing w:after="70" w:before="160"/>
      </w:pPr>
      <w:r>
        <w:rPr>
          <w:rFonts w:ascii="Calibri" w:cs="Calibri" w:eastAsia="Calibri" w:hAnsi="Calibri"/>
          <w:b/>
          <w:bCs/>
          <w:color w:val="1F2A44"/>
          <w:sz w:val="22"/>
          <w:szCs w:val="22"/>
        </w:rPr>
        <w:t xml:space="preserve">Model walk-through</w:t>
      </w:r>
    </w:p>
    <w:p>
      <w:pPr>
        <w:spacing w:after="140" w:line="276"/>
        <w:jc w:val="both"/>
      </w:pPr>
      <w:r>
        <w:rPr>
          <w:rFonts w:ascii="Georgia" w:cs="Georgia" w:eastAsia="Georgia" w:hAnsi="Georgia"/>
          <w:color w:val="1A1A1A"/>
          <w:sz w:val="21"/>
          <w:szCs w:val="21"/>
        </w:rPr>
        <w:t xml:space="preserve">Two failure modes to steer between: doing nothing (lose trust) and a blanket ban (push research underground, punish the responsible majority). The Forum’s value in a crisis is a neutral, fast convening. I’d target the actual failure — screening that can’t catch AI-designed novel sequences — with concrete, adoptable measures (strengthened screening standards, KYC for synthesis, safeguards at the AI-model layer), not a ban on protein design. </w:t>
      </w:r>
      <w:r>
        <w:rPr>
          <w:rFonts w:ascii="Georgia" w:cs="Georgia" w:eastAsia="Georgia" w:hAnsi="Georgia"/>
          <w:b/>
          <w:bCs/>
          <w:color w:val="1A1A1A"/>
          <w:sz w:val="21"/>
          <w:szCs w:val="21"/>
        </w:rPr>
        <w:t xml:space="preserve">The honest judgement to voice:</w:t>
      </w:r>
      <w:r>
        <w:rPr>
          <w:rFonts w:ascii="Georgia" w:cs="Georgia" w:eastAsia="Georgia" w:hAnsi="Georgia"/>
          <w:color w:val="1A1A1A"/>
          <w:sz w:val="21"/>
          <w:szCs w:val="21"/>
        </w:rPr>
        <w:t xml:space="preserve"> this is the one area where I lean toward precaution, because the downside is catastrophic and irreversible — but precaution aimed at the </w:t>
      </w:r>
      <w:r>
        <w:rPr>
          <w:rFonts w:ascii="Georgia" w:cs="Georgia" w:eastAsia="Georgia" w:hAnsi="Georgia"/>
          <w:i/>
          <w:iCs/>
          <w:color w:val="1A1A1A"/>
          <w:sz w:val="21"/>
          <w:szCs w:val="21"/>
        </w:rPr>
        <w:t xml:space="preserve">mechanism</w:t>
      </w:r>
      <w:r>
        <w:rPr>
          <w:rFonts w:ascii="Georgia" w:cs="Georgia" w:eastAsia="Georgia" w:hAnsi="Georgia"/>
          <w:color w:val="1A1A1A"/>
          <w:sz w:val="21"/>
          <w:szCs w:val="21"/>
        </w:rPr>
        <w:t xml:space="preserve">, not a moratorium on knowledge. </w:t>
      </w:r>
      <w:r>
        <w:rPr>
          <w:rFonts w:ascii="Georgia" w:cs="Georgia" w:eastAsia="Georgia" w:hAnsi="Georgia"/>
          <w:b/>
          <w:bCs/>
          <w:color w:val="1A1A1A"/>
          <w:sz w:val="21"/>
          <w:szCs w:val="21"/>
        </w:rPr>
        <w:t xml:space="preserve">Framework:</w:t>
      </w:r>
      <w:r>
        <w:rPr>
          <w:rFonts w:ascii="Georgia" w:cs="Georgia" w:eastAsia="Georgia" w:hAnsi="Georgia"/>
          <w:color w:val="1A1A1A"/>
          <w:sz w:val="21"/>
          <w:szCs w:val="21"/>
        </w:rPr>
        <w:t xml:space="preserve"> C-TAP.</w:t>
      </w:r>
    </w:p>
    <w:p>
      <w:pPr>
        <w:pStyle w:val="Heading2"/>
        <w:spacing w:after="100" w:before="220"/>
      </w:pPr>
      <w:r>
        <w:rPr>
          <w:rFonts w:ascii="Calibri" w:cs="Calibri" w:eastAsia="Calibri" w:hAnsi="Calibri"/>
          <w:b/>
          <w:bCs/>
          <w:color w:val="2F5D8A"/>
          <w:sz w:val="25"/>
          <w:szCs w:val="25"/>
        </w:rPr>
        <w:t xml:space="preserve">Case 8 — Scope a flagship knowledge product</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“Design a Forum report that would genuinely move frontier-tech regulation. What is it, and how do you keep it off the shelf?”</w:t>
      </w:r>
    </w:p>
    <w:p>
      <w:pPr>
        <w:pStyle w:val="Heading3"/>
        <w:spacing w:after="70" w:before="160"/>
      </w:pPr>
      <w:r>
        <w:rPr>
          <w:rFonts w:ascii="Calibri" w:cs="Calibri" w:eastAsia="Calibri" w:hAnsi="Calibri"/>
          <w:b/>
          <w:bCs/>
          <w:color w:val="1F2A44"/>
          <w:sz w:val="22"/>
          <w:szCs w:val="22"/>
        </w:rPr>
        <w:t xml:space="preserve">Structure</w:t>
      </w:r>
    </w:p>
    <w:p>
      <w:pPr>
        <w:pStyle w:val="ListParagraph"/>
        <w:numPr>
          <w:ilvl w:val="0"/>
          <w:numId w:val="2"/>
        </w:numPr>
        <w:spacing w:after="70" w:line="268"/>
      </w:pPr>
      <w:r>
        <w:rPr>
          <w:rFonts w:ascii="Georgia" w:cs="Georgia" w:eastAsia="Georgia" w:hAnsi="Georgia"/>
          <w:b/>
          <w:bCs/>
          <w:color w:val="1A1A1A"/>
          <w:sz w:val="21"/>
          <w:szCs w:val="21"/>
        </w:rPr>
        <w:t xml:space="preserve">Format</w:t>
      </w:r>
      <w:r>
        <w:rPr>
          <w:rFonts w:ascii="Georgia" w:cs="Georgia" w:eastAsia="Georgia" w:hAnsi="Georgia"/>
          <w:color w:val="1A1A1A"/>
          <w:sz w:val="21"/>
          <w:szCs w:val="21"/>
        </w:rPr>
        <w:t xml:space="preserve"> — diagnostic (creates demand) + toolkit (creates use).</w:t>
      </w:r>
    </w:p>
    <w:p>
      <w:pPr>
        <w:pStyle w:val="ListParagraph"/>
        <w:numPr>
          <w:ilvl w:val="0"/>
          <w:numId w:val="2"/>
        </w:numPr>
        <w:spacing w:after="70" w:line="268"/>
      </w:pPr>
      <w:r>
        <w:rPr>
          <w:rFonts w:ascii="Georgia" w:cs="Georgia" w:eastAsia="Georgia" w:hAnsi="Georgia"/>
          <w:b/>
          <w:bCs/>
          <w:color w:val="1A1A1A"/>
          <w:sz w:val="21"/>
          <w:szCs w:val="21"/>
        </w:rPr>
        <w:t xml:space="preserve">Co-creation</w:t>
      </w:r>
      <w:r>
        <w:rPr>
          <w:rFonts w:ascii="Georgia" w:cs="Georgia" w:eastAsia="Georgia" w:hAnsi="Georgia"/>
          <w:color w:val="1A1A1A"/>
          <w:sz w:val="21"/>
          <w:szCs w:val="21"/>
        </w:rPr>
        <w:t xml:space="preserve"> — the users in the room from the outline, so they own it.</w:t>
      </w:r>
    </w:p>
    <w:p>
      <w:pPr>
        <w:pStyle w:val="ListParagraph"/>
        <w:numPr>
          <w:ilvl w:val="0"/>
          <w:numId w:val="2"/>
        </w:numPr>
        <w:spacing w:after="70" w:line="268"/>
      </w:pPr>
      <w:r>
        <w:rPr>
          <w:rFonts w:ascii="Georgia" w:cs="Georgia" w:eastAsia="Georgia" w:hAnsi="Georgia"/>
          <w:b/>
          <w:bCs/>
          <w:color w:val="1A1A1A"/>
          <w:sz w:val="21"/>
          <w:szCs w:val="21"/>
        </w:rPr>
        <w:t xml:space="preserve">Action-orientation</w:t>
      </w:r>
      <w:r>
        <w:rPr>
          <w:rFonts w:ascii="Georgia" w:cs="Georgia" w:eastAsia="Georgia" w:hAnsi="Georgia"/>
          <w:color w:val="1A1A1A"/>
          <w:sz w:val="21"/>
          <w:szCs w:val="21"/>
        </w:rPr>
        <w:t xml:space="preserve"> — model provisions and checklists, not essays.</w:t>
      </w:r>
    </w:p>
    <w:p>
      <w:pPr>
        <w:pStyle w:val="ListParagraph"/>
        <w:numPr>
          <w:ilvl w:val="0"/>
          <w:numId w:val="2"/>
        </w:numPr>
        <w:spacing w:after="70" w:line="268"/>
      </w:pPr>
      <w:r>
        <w:rPr>
          <w:rFonts w:ascii="Georgia" w:cs="Georgia" w:eastAsia="Georgia" w:hAnsi="Georgia"/>
          <w:b/>
          <w:bCs/>
          <w:color w:val="1A1A1A"/>
          <w:sz w:val="21"/>
          <w:szCs w:val="21"/>
        </w:rPr>
        <w:t xml:space="preserve">Distribution</w:t>
      </w:r>
      <w:r>
        <w:rPr>
          <w:rFonts w:ascii="Georgia" w:cs="Georgia" w:eastAsia="Georgia" w:hAnsi="Georgia"/>
          <w:color w:val="1A1A1A"/>
          <w:sz w:val="21"/>
          <w:szCs w:val="21"/>
        </w:rPr>
        <w:t xml:space="preserve"> — timed to a decision window; wired to convening and the C4IR network.</w:t>
      </w:r>
    </w:p>
    <w:p>
      <w:pPr>
        <w:pStyle w:val="Heading3"/>
        <w:spacing w:after="70" w:before="160"/>
      </w:pPr>
      <w:r>
        <w:rPr>
          <w:rFonts w:ascii="Calibri" w:cs="Calibri" w:eastAsia="Calibri" w:hAnsi="Calibri"/>
          <w:b/>
          <w:bCs/>
          <w:color w:val="1F2A44"/>
          <w:sz w:val="22"/>
          <w:szCs w:val="22"/>
        </w:rPr>
        <w:t xml:space="preserve">Model walk-through</w:t>
      </w:r>
    </w:p>
    <w:p>
      <w:pPr>
        <w:spacing w:after="140" w:line="276"/>
        <w:jc w:val="both"/>
      </w:pPr>
      <w:r>
        <w:rPr>
          <w:rFonts w:ascii="Georgia" w:cs="Georgia" w:eastAsia="Georgia" w:hAnsi="Georgia"/>
          <w:color w:val="1A1A1A"/>
          <w:sz w:val="21"/>
          <w:szCs w:val="21"/>
        </w:rPr>
        <w:t xml:space="preserve">I’d build a </w:t>
      </w:r>
      <w:r>
        <w:rPr>
          <w:rFonts w:ascii="Georgia" w:cs="Georgia" w:eastAsia="Georgia" w:hAnsi="Georgia"/>
          <w:b/>
          <w:bCs/>
          <w:color w:val="1A1A1A"/>
          <w:sz w:val="21"/>
          <w:szCs w:val="21"/>
        </w:rPr>
        <w:t xml:space="preserve">Frontier Governance Readiness Playbook</w:t>
      </w:r>
      <w:r>
        <w:rPr>
          <w:rFonts w:ascii="Georgia" w:cs="Georgia" w:eastAsia="Georgia" w:hAnsi="Georgia"/>
          <w:color w:val="1A1A1A"/>
          <w:sz w:val="21"/>
          <w:szCs w:val="21"/>
        </w:rPr>
        <w:t xml:space="preserve"> — extending GRIP’s Readiness Index into the frontier domains — because the format forces the two things that make products influential: a </w:t>
      </w:r>
      <w:r>
        <w:rPr>
          <w:rFonts w:ascii="Georgia" w:cs="Georgia" w:eastAsia="Georgia" w:hAnsi="Georgia"/>
          <w:b/>
          <w:bCs/>
          <w:color w:val="1A1A1A"/>
          <w:sz w:val="21"/>
          <w:szCs w:val="21"/>
        </w:rPr>
        <w:t xml:space="preserve">diagnostic</w:t>
      </w:r>
      <w:r>
        <w:rPr>
          <w:rFonts w:ascii="Georgia" w:cs="Georgia" w:eastAsia="Georgia" w:hAnsi="Georgia"/>
          <w:color w:val="1A1A1A"/>
          <w:sz w:val="21"/>
          <w:szCs w:val="21"/>
        </w:rPr>
        <w:t xml:space="preserve"> that lets governments benchmark themselves (demand + competitive pressure) and a </w:t>
      </w:r>
      <w:r>
        <w:rPr>
          <w:rFonts w:ascii="Georgia" w:cs="Georgia" w:eastAsia="Georgia" w:hAnsi="Georgia"/>
          <w:b/>
          <w:bCs/>
          <w:color w:val="1A1A1A"/>
          <w:sz w:val="21"/>
          <w:szCs w:val="21"/>
        </w:rPr>
        <w:t xml:space="preserve">toolkit</w:t>
      </w:r>
      <w:r>
        <w:rPr>
          <w:rFonts w:ascii="Georgia" w:cs="Georgia" w:eastAsia="Georgia" w:hAnsi="Georgia"/>
          <w:color w:val="1A1A1A"/>
          <w:sz w:val="21"/>
          <w:szCs w:val="21"/>
        </w:rPr>
        <w:t xml:space="preserve"> of adaptable instruments (model sandbox designs, risk-tiering templates, a soft-law-to-hard-law pathway) a ministry can use on Monday. To keep it off the shelf: co-create with a regulator-and-technologist working group from the outline; make every section action-oriented; time the launch to a live decision and a Forum moment; and pair it with convening and C4IR follow-through. </w:t>
      </w:r>
      <w:r>
        <w:rPr>
          <w:rFonts w:ascii="Georgia" w:cs="Georgia" w:eastAsia="Georgia" w:hAnsi="Georgia"/>
          <w:b/>
          <w:bCs/>
          <w:color w:val="1A1A1A"/>
          <w:sz w:val="21"/>
          <w:szCs w:val="21"/>
        </w:rPr>
        <w:t xml:space="preserve">Recommendation:</w:t>
      </w:r>
      <w:r>
        <w:rPr>
          <w:rFonts w:ascii="Georgia" w:cs="Georgia" w:eastAsia="Georgia" w:hAnsi="Georgia"/>
          <w:color w:val="1A1A1A"/>
          <w:sz w:val="21"/>
          <w:szCs w:val="21"/>
        </w:rPr>
        <w:t xml:space="preserve"> influence is engineered at scoping — written to be used, tested with its users, wired to distribution. </w:t>
      </w:r>
      <w:r>
        <w:rPr>
          <w:rFonts w:ascii="Georgia" w:cs="Georgia" w:eastAsia="Georgia" w:hAnsi="Georgia"/>
          <w:b/>
          <w:bCs/>
          <w:color w:val="1A1A1A"/>
          <w:sz w:val="21"/>
          <w:szCs w:val="21"/>
        </w:rPr>
        <w:t xml:space="preserve">Framework:</w:t>
      </w:r>
      <w:r>
        <w:rPr>
          <w:rFonts w:ascii="Georgia" w:cs="Georgia" w:eastAsia="Georgia" w:hAnsi="Georgia"/>
          <w:color w:val="1A1A1A"/>
          <w:sz w:val="21"/>
          <w:szCs w:val="21"/>
        </w:rPr>
        <w:t xml:space="preserve"> diagnostic + toolkit; reference-case logic.</w:t>
      </w:r>
    </w:p>
    <w:p>
      <w:pPr>
        <w:pStyle w:val="Heading2"/>
        <w:spacing w:after="100" w:before="220"/>
      </w:pPr>
      <w:r>
        <w:rPr>
          <w:rFonts w:ascii="Calibri" w:cs="Calibri" w:eastAsia="Calibri" w:hAnsi="Calibri"/>
          <w:b/>
          <w:bCs/>
          <w:color w:val="2F5D8A"/>
          <w:sz w:val="25"/>
          <w:szCs w:val="25"/>
        </w:rPr>
        <w:t xml:space="preserve">Case 9 — Size the cost of fragmentation</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“Roughly how big is the problem of AI regulatory fragmentation? Give me a number.”</w:t>
      </w:r>
    </w:p>
    <w:p>
      <w:pPr>
        <w:pStyle w:val="Heading3"/>
        <w:spacing w:after="70" w:before="160"/>
      </w:pPr>
      <w:r>
        <w:rPr>
          <w:rFonts w:ascii="Calibri" w:cs="Calibri" w:eastAsia="Calibri" w:hAnsi="Calibri"/>
          <w:b/>
          <w:bCs/>
          <w:color w:val="1F2A44"/>
          <w:sz w:val="22"/>
          <w:szCs w:val="22"/>
        </w:rPr>
        <w:t xml:space="preserve">Structure — a driver tree</w:t>
      </w:r>
    </w:p>
    <w:p>
      <w:pPr>
        <w:pStyle w:val="ListParagraph"/>
        <w:numPr>
          <w:ilvl w:val="0"/>
          <w:numId w:val="2"/>
        </w:numPr>
        <w:spacing w:after="70" w:line="268"/>
      </w:pPr>
      <w:r>
        <w:rPr>
          <w:rFonts w:ascii="Georgia" w:cs="Georgia" w:eastAsia="Georgia" w:hAnsi="Georgia"/>
          <w:b/>
          <w:bCs/>
          <w:color w:val="1A1A1A"/>
          <w:sz w:val="21"/>
          <w:szCs w:val="21"/>
        </w:rPr>
        <w:t xml:space="preserve">Direct compliance cost</w:t>
      </w:r>
      <w:r>
        <w:rPr>
          <w:rFonts w:ascii="Georgia" w:cs="Georgia" w:eastAsia="Georgia" w:hAnsi="Georgia"/>
          <w:color w:val="1A1A1A"/>
          <w:sz w:val="21"/>
          <w:szCs w:val="21"/>
        </w:rPr>
        <w:t xml:space="preserve"> = (cost per jurisdiction to comply) × (number of divergent regimes) × (share that is duplicative, not substantive).</w:t>
      </w:r>
    </w:p>
    <w:p>
      <w:pPr>
        <w:pStyle w:val="ListParagraph"/>
        <w:numPr>
          <w:ilvl w:val="0"/>
          <w:numId w:val="2"/>
        </w:numPr>
        <w:spacing w:after="70" w:line="268"/>
      </w:pPr>
      <w:r>
        <w:rPr>
          <w:rFonts w:ascii="Georgia" w:cs="Georgia" w:eastAsia="Georgia" w:hAnsi="Georgia"/>
          <w:b/>
          <w:bCs/>
          <w:color w:val="1A1A1A"/>
          <w:sz w:val="21"/>
          <w:szCs w:val="21"/>
        </w:rPr>
        <w:t xml:space="preserve">Opportunity cost</w:t>
      </w:r>
      <w:r>
        <w:rPr>
          <w:rFonts w:ascii="Georgia" w:cs="Georgia" w:eastAsia="Georgia" w:hAnsi="Georgia"/>
          <w:color w:val="1A1A1A"/>
          <w:sz w:val="21"/>
          <w:szCs w:val="21"/>
        </w:rPr>
        <w:t xml:space="preserve"> = (months of delayed market entry) × (monthly revenue at stake) across affected firms.</w:t>
      </w:r>
    </w:p>
    <w:p>
      <w:pPr>
        <w:pStyle w:val="ListParagraph"/>
        <w:numPr>
          <w:ilvl w:val="0"/>
          <w:numId w:val="2"/>
        </w:numPr>
        <w:spacing w:after="70" w:line="268"/>
      </w:pPr>
      <w:r>
        <w:rPr>
          <w:rFonts w:ascii="Georgia" w:cs="Georgia" w:eastAsia="Georgia" w:hAnsi="Georgia"/>
          <w:b/>
          <w:bCs/>
          <w:color w:val="1A1A1A"/>
          <w:sz w:val="21"/>
          <w:szCs w:val="21"/>
        </w:rPr>
        <w:t xml:space="preserve">Scale up</w:t>
      </w:r>
      <w:r>
        <w:rPr>
          <w:rFonts w:ascii="Georgia" w:cs="Georgia" w:eastAsia="Georgia" w:hAnsi="Georgia"/>
          <w:color w:val="1A1A1A"/>
          <w:sz w:val="21"/>
          <w:szCs w:val="21"/>
        </w:rPr>
        <w:t xml:space="preserve"> from a representative firm to the affected population; sanity-check.</w:t>
      </w:r>
    </w:p>
    <w:p>
      <w:pPr>
        <w:pStyle w:val="Heading3"/>
        <w:spacing w:after="70" w:before="160"/>
      </w:pPr>
      <w:r>
        <w:rPr>
          <w:rFonts w:ascii="Calibri" w:cs="Calibri" w:eastAsia="Calibri" w:hAnsi="Calibri"/>
          <w:b/>
          <w:bCs/>
          <w:color w:val="1F2A44"/>
          <w:sz w:val="22"/>
          <w:szCs w:val="22"/>
        </w:rPr>
        <w:t xml:space="preserve">Model walk-through</w:t>
      </w:r>
    </w:p>
    <w:p>
      <w:pPr>
        <w:spacing w:after="140" w:line="276"/>
        <w:jc w:val="both"/>
      </w:pPr>
      <w:r>
        <w:rPr>
          <w:rFonts w:ascii="Georgia" w:cs="Georgia" w:eastAsia="Georgia" w:hAnsi="Georgia"/>
          <w:color w:val="1A1A1A"/>
          <w:sz w:val="21"/>
          <w:szCs w:val="21"/>
        </w:rPr>
        <w:t xml:space="preserve">I’d anchor on a representative multinational: say it must meet four materially different regimes, each costing low-single-digit millions a year in compliance, of which perhaps half is pure duplication rather than genuine risk mitigation — so a few million per firm in avoidable cost, before opportunity cost. Multiply across the population of large AI-deploying firms and you’re quickly into the billions annually, with the heavier, unmeasured cost being </w:t>
      </w:r>
      <w:r>
        <w:rPr>
          <w:rFonts w:ascii="Georgia" w:cs="Georgia" w:eastAsia="Georgia" w:hAnsi="Georgia"/>
          <w:i/>
          <w:iCs/>
          <w:color w:val="1A1A1A"/>
          <w:sz w:val="21"/>
          <w:szCs w:val="21"/>
        </w:rPr>
        <w:t xml:space="preserve">deterred</w:t>
      </w:r>
      <w:r>
        <w:rPr>
          <w:rFonts w:ascii="Georgia" w:cs="Georgia" w:eastAsia="Georgia" w:hAnsi="Georgia"/>
          <w:color w:val="1A1A1A"/>
          <w:sz w:val="21"/>
          <w:szCs w:val="21"/>
        </w:rPr>
        <w:t xml:space="preserve"> deployment and entrenchment of incumbents who can afford four rulebooks. </w:t>
      </w:r>
      <w:r>
        <w:rPr>
          <w:rFonts w:ascii="Georgia" w:cs="Georgia" w:eastAsia="Georgia" w:hAnsi="Georgia"/>
          <w:b/>
          <w:bCs/>
          <w:color w:val="1A1A1A"/>
          <w:sz w:val="21"/>
          <w:szCs w:val="21"/>
        </w:rPr>
        <w:t xml:space="preserve">I’d state the equation, my assumptions, an order-of-magnitude answer (‘billions annually, plus a larger deterrence effect’), then sanity-check it.</w:t>
      </w:r>
      <w:r>
        <w:rPr>
          <w:rFonts w:ascii="Georgia" w:cs="Georgia" w:eastAsia="Georgia" w:hAnsi="Georgia"/>
          <w:color w:val="1A1A1A"/>
          <w:sz w:val="21"/>
          <w:szCs w:val="21"/>
        </w:rPr>
        <w:t xml:space="preserve"> The panel is grading the structure and the assumptions, not the digits. </w:t>
      </w:r>
      <w:r>
        <w:rPr>
          <w:rFonts w:ascii="Georgia" w:cs="Georgia" w:eastAsia="Georgia" w:hAnsi="Georgia"/>
          <w:b/>
          <w:bCs/>
          <w:color w:val="1A1A1A"/>
          <w:sz w:val="21"/>
          <w:szCs w:val="21"/>
        </w:rPr>
        <w:t xml:space="preserve">Framework:</w:t>
      </w:r>
      <w:r>
        <w:rPr>
          <w:rFonts w:ascii="Georgia" w:cs="Georgia" w:eastAsia="Georgia" w:hAnsi="Georgia"/>
          <w:color w:val="1A1A1A"/>
          <w:sz w:val="21"/>
          <w:szCs w:val="21"/>
        </w:rPr>
        <w:t xml:space="preserve"> driver tree + 80/20 (the duplication and deterrence terms dominate).</w:t>
      </w:r>
    </w:p>
    <w:p>
      <w:pPr>
        <w:pStyle w:val="Heading2"/>
        <w:spacing w:after="100" w:before="220"/>
      </w:pPr>
      <w:r>
        <w:rPr>
          <w:rFonts w:ascii="Calibri" w:cs="Calibri" w:eastAsia="Calibri" w:hAnsi="Calibri"/>
          <w:b/>
          <w:bCs/>
          <w:color w:val="2F5D8A"/>
          <w:sz w:val="25"/>
          <w:szCs w:val="25"/>
        </w:rPr>
        <w:t xml:space="preserve">Case 10 — The matrix / turf case</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“Six months in, the AI Centre feels your workstream is treading on its territory. How do you handle it?”</w:t>
      </w:r>
    </w:p>
    <w:p>
      <w:pPr>
        <w:pStyle w:val="Heading3"/>
        <w:spacing w:after="70" w:before="160"/>
      </w:pPr>
      <w:r>
        <w:rPr>
          <w:rFonts w:ascii="Calibri" w:cs="Calibri" w:eastAsia="Calibri" w:hAnsi="Calibri"/>
          <w:b/>
          <w:bCs/>
          <w:color w:val="1F2A44"/>
          <w:sz w:val="22"/>
          <w:szCs w:val="22"/>
        </w:rPr>
        <w:t xml:space="preserve">Structure</w:t>
      </w:r>
    </w:p>
    <w:p>
      <w:pPr>
        <w:pStyle w:val="ListParagraph"/>
        <w:numPr>
          <w:ilvl w:val="0"/>
          <w:numId w:val="2"/>
        </w:numPr>
        <w:spacing w:after="70" w:line="268"/>
      </w:pPr>
      <w:r>
        <w:rPr>
          <w:rFonts w:ascii="Georgia" w:cs="Georgia" w:eastAsia="Georgia" w:hAnsi="Georgia"/>
          <w:b/>
          <w:bCs/>
          <w:color w:val="1A1A1A"/>
          <w:sz w:val="21"/>
          <w:szCs w:val="21"/>
        </w:rPr>
        <w:t xml:space="preserve">Diagnose</w:t>
      </w:r>
      <w:r>
        <w:rPr>
          <w:rFonts w:ascii="Georgia" w:cs="Georgia" w:eastAsia="Georgia" w:hAnsi="Georgia"/>
          <w:color w:val="1A1A1A"/>
          <w:sz w:val="21"/>
          <w:szCs w:val="21"/>
        </w:rPr>
        <w:t xml:space="preserve"> — is it real overlap, a perception, or a credit/visibility issue?</w:t>
      </w:r>
    </w:p>
    <w:p>
      <w:pPr>
        <w:pStyle w:val="ListParagraph"/>
        <w:numPr>
          <w:ilvl w:val="0"/>
          <w:numId w:val="2"/>
        </w:numPr>
        <w:spacing w:after="70" w:line="268"/>
      </w:pPr>
      <w:r>
        <w:rPr>
          <w:rFonts w:ascii="Georgia" w:cs="Georgia" w:eastAsia="Georgia" w:hAnsi="Georgia"/>
          <w:b/>
          <w:bCs/>
          <w:color w:val="1A1A1A"/>
          <w:sz w:val="21"/>
          <w:szCs w:val="21"/>
        </w:rPr>
        <w:t xml:space="preserve">Reframe</w:t>
      </w:r>
      <w:r>
        <w:rPr>
          <w:rFonts w:ascii="Georgia" w:cs="Georgia" w:eastAsia="Georgia" w:hAnsi="Georgia"/>
          <w:color w:val="1A1A1A"/>
          <w:sz w:val="21"/>
          <w:szCs w:val="21"/>
        </w:rPr>
        <w:t xml:space="preserve"> — define your value as connective (convergence, regulatory craft), not competitive.</w:t>
      </w:r>
    </w:p>
    <w:p>
      <w:pPr>
        <w:pStyle w:val="ListParagraph"/>
        <w:numPr>
          <w:ilvl w:val="0"/>
          <w:numId w:val="2"/>
        </w:numPr>
        <w:spacing w:after="70" w:line="268"/>
      </w:pPr>
      <w:r>
        <w:rPr>
          <w:rFonts w:ascii="Georgia" w:cs="Georgia" w:eastAsia="Georgia" w:hAnsi="Georgia"/>
          <w:b/>
          <w:bCs/>
          <w:color w:val="1A1A1A"/>
          <w:sz w:val="21"/>
          <w:szCs w:val="21"/>
        </w:rPr>
        <w:t xml:space="preserve">Act</w:t>
      </w:r>
      <w:r>
        <w:rPr>
          <w:rFonts w:ascii="Georgia" w:cs="Georgia" w:eastAsia="Georgia" w:hAnsi="Georgia"/>
          <w:color w:val="1A1A1A"/>
          <w:sz w:val="21"/>
          <w:szCs w:val="21"/>
        </w:rPr>
        <w:t xml:space="preserve"> — co-own outputs, agree a clear division, credit generously, escalate only if unresolved.</w:t>
      </w:r>
    </w:p>
    <w:p>
      <w:pPr>
        <w:pStyle w:val="Heading3"/>
        <w:spacing w:after="70" w:before="160"/>
      </w:pPr>
      <w:r>
        <w:rPr>
          <w:rFonts w:ascii="Calibri" w:cs="Calibri" w:eastAsia="Calibri" w:hAnsi="Calibri"/>
          <w:b/>
          <w:bCs/>
          <w:color w:val="1F2A44"/>
          <w:sz w:val="22"/>
          <w:szCs w:val="22"/>
        </w:rPr>
        <w:t xml:space="preserve">Model walk-through</w:t>
      </w:r>
    </w:p>
    <w:p>
      <w:pPr>
        <w:spacing w:after="140" w:line="276"/>
        <w:jc w:val="both"/>
      </w:pPr>
      <w:r>
        <w:rPr>
          <w:rFonts w:ascii="Georgia" w:cs="Georgia" w:eastAsia="Georgia" w:hAnsi="Georgia"/>
          <w:color w:val="1A1A1A"/>
          <w:sz w:val="21"/>
          <w:szCs w:val="21"/>
        </w:rPr>
        <w:t xml:space="preserve">First I’d treat it as a signal, not a threat, and go find out what’s really driving it — usually credit or a fear of duplication rather than genuine overlap. Then I’d reframe: my workstream is additive because the frontier is </w:t>
      </w:r>
      <w:r>
        <w:rPr>
          <w:rFonts w:ascii="Georgia" w:cs="Georgia" w:eastAsia="Georgia" w:hAnsi="Georgia"/>
          <w:i/>
          <w:iCs/>
          <w:color w:val="1A1A1A"/>
          <w:sz w:val="21"/>
          <w:szCs w:val="21"/>
        </w:rPr>
        <w:t xml:space="preserve">converging</w:t>
      </w:r>
      <w:r>
        <w:rPr>
          <w:rFonts w:ascii="Georgia" w:cs="Georgia" w:eastAsia="Georgia" w:hAnsi="Georgia"/>
          <w:color w:val="1A1A1A"/>
          <w:sz w:val="21"/>
          <w:szCs w:val="21"/>
        </w:rPr>
        <w:t xml:space="preserve"> (AI-bio, AI-quantum) and I bring the regulatory-innovation craft they don’t specialise in. Practically: agree an explicit division of scope, co-own the outputs that touch both of us, and make them look good to their own stakeholders. In a matrix you earn the right to convene by making everyone else’s work more usable. </w:t>
      </w:r>
      <w:r>
        <w:rPr>
          <w:rFonts w:ascii="Georgia" w:cs="Georgia" w:eastAsia="Georgia" w:hAnsi="Georgia"/>
          <w:b/>
          <w:bCs/>
          <w:color w:val="1A1A1A"/>
          <w:sz w:val="21"/>
          <w:szCs w:val="21"/>
        </w:rPr>
        <w:t xml:space="preserve">Recommendation:</w:t>
      </w:r>
      <w:r>
        <w:rPr>
          <w:rFonts w:ascii="Georgia" w:cs="Georgia" w:eastAsia="Georgia" w:hAnsi="Georgia"/>
          <w:color w:val="1A1A1A"/>
          <w:sz w:val="21"/>
          <w:szCs w:val="21"/>
        </w:rPr>
        <w:t xml:space="preserve"> resolve it directly and structurally (a written scope split + joint output), escalate to the Head only if it persists. </w:t>
      </w:r>
      <w:r>
        <w:rPr>
          <w:rFonts w:ascii="Georgia" w:cs="Georgia" w:eastAsia="Georgia" w:hAnsi="Georgia"/>
          <w:b/>
          <w:bCs/>
          <w:color w:val="1A1A1A"/>
          <w:sz w:val="21"/>
          <w:szCs w:val="21"/>
        </w:rPr>
        <w:t xml:space="preserve">Framework:</w:t>
      </w:r>
      <w:r>
        <w:rPr>
          <w:rFonts w:ascii="Georgia" w:cs="Georgia" w:eastAsia="Georgia" w:hAnsi="Georgia"/>
          <w:color w:val="1A1A1A"/>
          <w:sz w:val="21"/>
          <w:szCs w:val="21"/>
        </w:rPr>
        <w:t xml:space="preserve"> stakeholder diagnosis + connective positioning.</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B3 · The Expert Q&amp;A Bank</w:t>
      </w:r>
    </w:p>
    <w:p>
      <w:pPr>
        <w:spacing w:after="200" w:line="288"/>
      </w:pPr>
      <w:r>
        <w:rPr>
          <w:rFonts w:ascii="Georgia" w:cs="Georgia" w:eastAsia="Georgia" w:hAnsi="Georgia"/>
          <w:i/>
          <w:iCs/>
          <w:color w:val="55606E"/>
          <w:sz w:val="22"/>
          <w:szCs w:val="22"/>
        </w:rPr>
        <w:t xml:space="preserve">The substantive questions, recalibrated for a consultant panel: every answer leads with the point, then supports it, and closes with a signal phrase — the compressed line that tells an expert you belong. Rehearse the signal phrases until they are automatic.</w:t>
      </w:r>
    </w:p>
    <w:p>
      <w:pPr>
        <w:pStyle w:val="Heading2"/>
        <w:spacing w:after="100" w:before="220"/>
      </w:pPr>
      <w:r>
        <w:rPr>
          <w:rFonts w:ascii="Calibri" w:cs="Calibri" w:eastAsia="Calibri" w:hAnsi="Calibri"/>
          <w:b/>
          <w:bCs/>
          <w:color w:val="2F5D8A"/>
          <w:sz w:val="25"/>
          <w:szCs w:val="25"/>
        </w:rPr>
        <w:t xml:space="preserve">B3.1 Frontier-tech fluency</w:t>
      </w:r>
    </w:p>
    <w:p>
      <w:pPr>
        <w:spacing w:after="60" w:before="150" w:line="264"/>
      </w:pPr>
      <w:r>
        <w:rPr>
          <w:rFonts w:ascii="Calibri" w:cs="Calibri" w:eastAsia="Calibri" w:hAnsi="Calibri"/>
          <w:b/>
          <w:bCs/>
          <w:color w:val="1F2A44"/>
          <w:sz w:val="21"/>
          <w:szCs w:val="21"/>
        </w:rPr>
        <w:t xml:space="preserve">Q1. Pick a frontier technology and give us its single hardest governance problem.</w:t>
      </w:r>
    </w:p>
    <w:p>
      <w:pPr>
        <w:spacing w:after="100" w:line="272"/>
        <w:jc w:val="both"/>
      </w:pPr>
      <w:r>
        <w:rPr>
          <w:rFonts w:ascii="Georgia" w:cs="Georgia" w:eastAsia="Georgia" w:hAnsi="Georgia"/>
          <w:color w:val="1A1A1A"/>
          <w:sz w:val="21"/>
          <w:szCs w:val="21"/>
        </w:rPr>
        <w:t xml:space="preserve">AI. The hardest problem is regulating a general-purpose technology whose risks are emergent and whose own developers can’t fully predict its capabilities — so rule-writers are always aiming at a moving target, and are forced to choose between governing the model and governing the use. The EU AI Act tries both, with horizontal risk tiers plus specific duties for general-purpose models with systemic risk. The transferable lesson: when capability outruns evaluation science, you regulate the trajectory with adaptive instruments, not a snapshot with a fixed definition.</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“When capability outruns evaluation science, you regulate the trajectory, not a snapshot.”</w:t>
      </w:r>
    </w:p>
    <w:p>
      <w:pPr>
        <w:spacing w:after="60" w:before="150" w:line="264"/>
      </w:pPr>
      <w:r>
        <w:rPr>
          <w:rFonts w:ascii="Calibri" w:cs="Calibri" w:eastAsia="Calibri" w:hAnsi="Calibri"/>
          <w:b/>
          <w:bCs/>
          <w:color w:val="1F2A44"/>
          <w:sz w:val="21"/>
          <w:szCs w:val="21"/>
        </w:rPr>
        <w:t xml:space="preserve">Q2. Why work on quantum governance now, when fault-tolerant machines are years away?</w:t>
      </w:r>
    </w:p>
    <w:p>
      <w:pPr>
        <w:spacing w:after="100" w:line="272"/>
        <w:jc w:val="both"/>
      </w:pPr>
      <w:r>
        <w:rPr>
          <w:rFonts w:ascii="Georgia" w:cs="Georgia" w:eastAsia="Georgia" w:hAnsi="Georgia"/>
          <w:color w:val="1A1A1A"/>
          <w:sz w:val="21"/>
          <w:szCs w:val="21"/>
        </w:rPr>
        <w:t xml:space="preserve">Because the most consequential risk is already live: ‘harvest now, decrypt later’ means adversaries can steal encrypted data today and decrypt it once quantum-capable, so long-secrecy data is already exposed. That’s why the real action of the decade has already happened — NIST finalised post-quantum cryptography standards in 2024 and governments are mandating migration on decade timelines. Quantum is anticipatory governance made concrete.</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“Quantum governance is already here — we’re migrating the world’s cryptography before the threat arrives.”</w:t>
      </w:r>
    </w:p>
    <w:p>
      <w:pPr>
        <w:spacing w:after="60" w:before="150" w:line="264"/>
      </w:pPr>
      <w:r>
        <w:rPr>
          <w:rFonts w:ascii="Calibri" w:cs="Calibri" w:eastAsia="Calibri" w:hAnsi="Calibri"/>
          <w:b/>
          <w:bCs/>
          <w:color w:val="1F2A44"/>
          <w:sz w:val="21"/>
          <w:szCs w:val="21"/>
        </w:rPr>
        <w:t xml:space="preserve">Q3. What worries you most about the AI-bio convergence?</w:t>
      </w:r>
    </w:p>
    <w:p>
      <w:pPr>
        <w:spacing w:after="100" w:line="272"/>
        <w:jc w:val="both"/>
      </w:pPr>
      <w:r>
        <w:rPr>
          <w:rFonts w:ascii="Georgia" w:cs="Georgia" w:eastAsia="Georgia" w:hAnsi="Georgia"/>
          <w:color w:val="1A1A1A"/>
          <w:sz w:val="21"/>
          <w:szCs w:val="21"/>
        </w:rPr>
        <w:t xml:space="preserve">That our safeguards were built for a slower, expert-gated world. DNA-synthesis screening works by matching orders against known threat sequences, but generative design tools can produce novel sequences that match nothing known — so the threat and the safeguard are advancing on different curves. This is where I resist pure agility: for low-probability, catastrophic, irreversible risk, precaution can matter more than speed, and the fix is collaborative — providers, AI developers and biosecurity agencies co-designing screening, with a path to binding standards.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“The threat and the safeguard are on different curves — closing that gap is a collaboration problem, not a statute problem.”</w:t>
      </w:r>
    </w:p>
    <w:p>
      <w:pPr>
        <w:spacing w:after="60" w:before="150" w:line="264"/>
      </w:pPr>
      <w:r>
        <w:rPr>
          <w:rFonts w:ascii="Calibri" w:cs="Calibri" w:eastAsia="Calibri" w:hAnsi="Calibri"/>
          <w:b/>
          <w:bCs/>
          <w:color w:val="1F2A44"/>
          <w:sz w:val="21"/>
          <w:szCs w:val="21"/>
        </w:rPr>
        <w:t xml:space="preserve">Q4. Is solar geoengineering governable?</w:t>
      </w:r>
    </w:p>
    <w:p>
      <w:pPr>
        <w:spacing w:after="100" w:line="272"/>
        <w:jc w:val="both"/>
      </w:pPr>
      <w:r>
        <w:rPr>
          <w:rFonts w:ascii="Georgia" w:cs="Georgia" w:eastAsia="Georgia" w:hAnsi="Georgia"/>
          <w:color w:val="1A1A1A"/>
          <w:sz w:val="21"/>
          <w:szCs w:val="21"/>
        </w:rPr>
        <w:t xml:space="preserve">That question is the governance problem in one line: SRM is cheap, fast and planet-wide, yet there’s no legitimate global body to authorise, monitor or halt it, and it carries termination-shock risk. There are two honest camps — ‘ungovernable and irreversible, so ban outdoor experiments’ (the Non-Use Agreement, the CBD moratorium) and ‘it may be needed, so govern the research transparently now.’ For a Forum role my instinct is to convene that disagreement, and to be clear that for planet-scale irreversible risk, legitimacy and precaution outrank agility.</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“Some frontiers aren’t a speed problem — they’re a legitimacy problem, and you don’t innovate around legitimacy.”</w:t>
      </w:r>
    </w:p>
    <w:p>
      <w:pPr>
        <w:spacing w:after="60" w:before="150" w:line="264"/>
      </w:pPr>
      <w:r>
        <w:rPr>
          <w:rFonts w:ascii="Calibri" w:cs="Calibri" w:eastAsia="Calibri" w:hAnsi="Calibri"/>
          <w:b/>
          <w:bCs/>
          <w:color w:val="1F2A44"/>
          <w:sz w:val="21"/>
          <w:szCs w:val="21"/>
        </w:rPr>
        <w:t xml:space="preserve">Q5. Autonomous systems cause harm. Who’s liable, and why is it hard?</w:t>
      </w:r>
    </w:p>
    <w:p>
      <w:pPr>
        <w:spacing w:after="100" w:line="272"/>
        <w:jc w:val="both"/>
      </w:pPr>
      <w:r>
        <w:rPr>
          <w:rFonts w:ascii="Georgia" w:cs="Georgia" w:eastAsia="Georgia" w:hAnsi="Georgia"/>
          <w:color w:val="1A1A1A"/>
          <w:sz w:val="21"/>
          <w:szCs w:val="21"/>
        </w:rPr>
        <w:t xml:space="preserve">Hard because liability law assumes a fixed product and a human in control, and autonomy breaks both. A self-driving vehicle learns and updates after sale, and the decision that caused harm may trace to manufacturer, software developer, operator or owner. The direction of travel is to modernise strict product liability to cover software and AI and to certify via a safety-case rather than one-time type approval — though the EU’s withdrawal of its AI Liability Directive in 2025 left a real gap.</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“Autonomy breaks two assumptions at once — a fixed product and a human in the loop — so liability and certification both have to be re-engineered.”</w:t>
      </w:r>
    </w:p>
    <w:p>
      <w:pPr>
        <w:pStyle w:val="Heading2"/>
        <w:spacing w:after="100" w:before="220"/>
      </w:pPr>
      <w:r>
        <w:rPr>
          <w:rFonts w:ascii="Calibri" w:cs="Calibri" w:eastAsia="Calibri" w:hAnsi="Calibri"/>
          <w:b/>
          <w:bCs/>
          <w:color w:val="2F5D8A"/>
          <w:sz w:val="25"/>
          <w:szCs w:val="25"/>
        </w:rPr>
        <w:t xml:space="preserve">B3.2 Regulatory-innovation craft</w:t>
      </w:r>
    </w:p>
    <w:p>
      <w:pPr>
        <w:spacing w:after="60" w:before="150" w:line="264"/>
      </w:pPr>
      <w:r>
        <w:rPr>
          <w:rFonts w:ascii="Calibri" w:cs="Calibri" w:eastAsia="Calibri" w:hAnsi="Calibri"/>
          <w:b/>
          <w:bCs/>
          <w:color w:val="1F2A44"/>
          <w:sz w:val="21"/>
          <w:szCs w:val="21"/>
        </w:rPr>
        <w:t xml:space="preserve">Q6. What is a regulatory sandbox, really — and what are its limits?</w:t>
      </w:r>
    </w:p>
    <w:p>
      <w:pPr>
        <w:spacing w:after="100" w:line="272"/>
        <w:jc w:val="both"/>
      </w:pPr>
      <w:r>
        <w:rPr>
          <w:rFonts w:ascii="Georgia" w:cs="Georgia" w:eastAsia="Georgia" w:hAnsi="Georgia"/>
          <w:color w:val="1A1A1A"/>
          <w:sz w:val="21"/>
          <w:szCs w:val="21"/>
        </w:rPr>
        <w:t xml:space="preserve">A controlled, time-limited environment to test innovations with real users under supervision, with some rules relaxed and safeguards in place. The FCA pioneered it in 2016; there are now 60-plus tech sandboxes globally and the EU AI Act mandates a national one in every member state by 2026. The evidence is real but narrow: the UK sandbox raised participants’ capital by about 15%, but a decade on there’s no proof it improved regulation broadly, and it risks regulatory privilege for insiders. So I never propose one without a codification plan, real supervisory capacity, and safeguards against unequal treatment.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“A sandbox is an experiment, not an answer — the value is the learning loop back to the rulebook.”</w:t>
      </w:r>
    </w:p>
    <w:p>
      <w:pPr>
        <w:spacing w:after="60" w:before="150" w:line="264"/>
      </w:pPr>
      <w:r>
        <w:rPr>
          <w:rFonts w:ascii="Calibri" w:cs="Calibri" w:eastAsia="Calibri" w:hAnsi="Calibri"/>
          <w:b/>
          <w:bCs/>
          <w:color w:val="1F2A44"/>
          <w:sz w:val="21"/>
          <w:szCs w:val="21"/>
        </w:rPr>
        <w:t xml:space="preserve">Q7. Name the principles of agile regulation and tell us when each applies.</w:t>
      </w:r>
    </w:p>
    <w:p>
      <w:pPr>
        <w:spacing w:after="100" w:line="272"/>
        <w:jc w:val="both"/>
      </w:pPr>
      <w:r>
        <w:rPr>
          <w:rFonts w:ascii="Georgia" w:cs="Georgia" w:eastAsia="Georgia" w:hAnsi="Georgia"/>
          <w:color w:val="1A1A1A"/>
          <w:sz w:val="21"/>
          <w:szCs w:val="21"/>
        </w:rPr>
        <w:t xml:space="preserve">Five, from Deloitte’s Future of Regulation and adopted into WEF practice: adaptive (regulate-monitor-iterate, for fast-moving tech); outcome-based (specify the goal not the method, to leave room to innovate); risk-based (concentrate effort where harm is greatest — the AI Act’s tiers); collaborative (co- and self-regulation, when the state can’t see everything); and sandboxes (for high uncertainty needing evidence fast). The skill isn’t reciting them — it’s matching instrument to situation and naming the trade-off.</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“The skill isn’t listing the five principles — it’s matching instrument to situation and naming the cost of each.”</w:t>
      </w:r>
    </w:p>
    <w:p>
      <w:pPr>
        <w:spacing w:after="60" w:before="150" w:line="264"/>
      </w:pPr>
      <w:r>
        <w:rPr>
          <w:rFonts w:ascii="Calibri" w:cs="Calibri" w:eastAsia="Calibri" w:hAnsi="Calibri"/>
          <w:b/>
          <w:bCs/>
          <w:color w:val="1F2A44"/>
          <w:sz w:val="21"/>
          <w:szCs w:val="21"/>
        </w:rPr>
        <w:t xml:space="preserve">Q8. Isn’t soft law just a way of avoiding real regulation?</w:t>
      </w:r>
    </w:p>
    <w:p>
      <w:pPr>
        <w:spacing w:after="100" w:line="272"/>
        <w:jc w:val="both"/>
      </w:pPr>
      <w:r>
        <w:rPr>
          <w:rFonts w:ascii="Georgia" w:cs="Georgia" w:eastAsia="Georgia" w:hAnsi="Georgia"/>
          <w:color w:val="1A1A1A"/>
          <w:sz w:val="21"/>
          <w:szCs w:val="21"/>
        </w:rPr>
        <w:t xml:space="preserve">No — it’s how you govern at the speed of technology, and it’s often the R&amp;D phase for hard law. The EU’s voluntary GPAI Code of Practice operationalises the binding AI Act; the OECD principles seeded national laws; regulators reference technical standards to give soft law teeth. The caveat: soft law is weakest exactly where the downside is catastrophic and actors can defect — bio-risk — so I treat it as a spectrum from principles to codes to referenced standards to binding law, and choose how far along the risk profile demands.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“Soft law isn’t the absence of regulation — it’s the on-ramp to it, and often the only thing fast enough.”</w:t>
      </w:r>
    </w:p>
    <w:p>
      <w:pPr>
        <w:spacing w:after="60" w:before="150" w:line="264"/>
      </w:pPr>
      <w:r>
        <w:rPr>
          <w:rFonts w:ascii="Calibri" w:cs="Calibri" w:eastAsia="Calibri" w:hAnsi="Calibri"/>
          <w:b/>
          <w:bCs/>
          <w:color w:val="1F2A44"/>
          <w:sz w:val="21"/>
          <w:szCs w:val="21"/>
        </w:rPr>
        <w:t xml:space="preserve">Q9. How do you regulate something you don’t yet understand?</w:t>
      </w:r>
    </w:p>
    <w:p>
      <w:pPr>
        <w:spacing w:after="100" w:line="272"/>
        <w:jc w:val="both"/>
      </w:pPr>
      <w:r>
        <w:rPr>
          <w:rFonts w:ascii="Georgia" w:cs="Georgia" w:eastAsia="Georgia" w:hAnsi="Georgia"/>
          <w:color w:val="1A1A1A"/>
          <w:sz w:val="21"/>
          <w:szCs w:val="21"/>
        </w:rPr>
        <w:t xml:space="preserve">You don’t fake certainty — you build institutions for learning. That’s anticipatory governance: foresight to see it coming, experimentation (sandboxes, testbeds) to generate evidence, and learning loops that feed evidence back into revised rules, via sunset clauses, mandatory review and living guidance. The Collingridge dilemma says early tech is easy to shape but hard to predict; the whole point is to act within that uncertainty using reversible, revisable instruments.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“You replace the illusion of certainty with institutions for learning — foresight, experimentation, revision.”</w:t>
      </w:r>
    </w:p>
    <w:p>
      <w:pPr>
        <w:spacing w:after="60" w:before="150" w:line="264"/>
      </w:pPr>
      <w:r>
        <w:rPr>
          <w:rFonts w:ascii="Calibri" w:cs="Calibri" w:eastAsia="Calibri" w:hAnsi="Calibri"/>
          <w:b/>
          <w:bCs/>
          <w:color w:val="1F2A44"/>
          <w:sz w:val="21"/>
          <w:szCs w:val="21"/>
        </w:rPr>
        <w:t xml:space="preserve">Q10. How would you measure whether a regulatory-innovation initiative worked?</w:t>
      </w:r>
    </w:p>
    <w:p>
      <w:pPr>
        <w:spacing w:after="100" w:line="272"/>
        <w:jc w:val="both"/>
      </w:pPr>
      <w:r>
        <w:rPr>
          <w:rFonts w:ascii="Georgia" w:cs="Georgia" w:eastAsia="Georgia" w:hAnsi="Georgia"/>
          <w:color w:val="1A1A1A"/>
          <w:sz w:val="21"/>
          <w:szCs w:val="21"/>
        </w:rPr>
        <w:t xml:space="preserve">At three levels, defined at design time, not retrofitted. Adoption: did regulators take up the framework, sandbox or standard? Outcome: did it change a real decision — a pilot authorised, a rule revised, a risk mitigated? System: did readiness or interoperability improve across jurisdictions — which is what GRIP’s Readiness Index tracks? I’d avoid vanity metrics like convenings held, and I’d report honestly where it didn’t move — credibility with regulators depends on not overclaiming.</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“Measure adoption, outcome and system-level readiness — not convenings held or PDFs shipped.”</w:t>
      </w:r>
    </w:p>
    <w:p>
      <w:pPr>
        <w:pStyle w:val="Heading2"/>
        <w:spacing w:after="100" w:before="220"/>
      </w:pPr>
      <w:r>
        <w:rPr>
          <w:rFonts w:ascii="Calibri" w:cs="Calibri" w:eastAsia="Calibri" w:hAnsi="Calibri"/>
          <w:b/>
          <w:bCs/>
          <w:color w:val="2F5D8A"/>
          <w:sz w:val="25"/>
          <w:szCs w:val="25"/>
        </w:rPr>
        <w:t xml:space="preserve">B3.3 The WEF model and the role</w:t>
      </w:r>
    </w:p>
    <w:p>
      <w:pPr>
        <w:spacing w:after="60" w:before="150" w:line="264"/>
      </w:pPr>
      <w:r>
        <w:rPr>
          <w:rFonts w:ascii="Calibri" w:cs="Calibri" w:eastAsia="Calibri" w:hAnsi="Calibri"/>
          <w:b/>
          <w:bCs/>
          <w:color w:val="1F2A44"/>
          <w:sz w:val="21"/>
          <w:szCs w:val="21"/>
        </w:rPr>
        <w:t xml:space="preserve">Q11. The Forum can’t make law. So what’s the point of this work?</w:t>
      </w:r>
    </w:p>
    <w:p>
      <w:pPr>
        <w:spacing w:after="100" w:line="272"/>
        <w:jc w:val="both"/>
      </w:pPr>
      <w:r>
        <w:rPr>
          <w:rFonts w:ascii="Georgia" w:cs="Georgia" w:eastAsia="Georgia" w:hAnsi="Georgia"/>
          <w:color w:val="1A1A1A"/>
          <w:sz w:val="21"/>
          <w:szCs w:val="21"/>
        </w:rPr>
        <w:t xml:space="preserve">The Forum’s power is convening, not legislating — and for the frontier that’s often the more useful power, because the binding venues are fragmented or gridlocked. What’s missing is trusted space where regulators, firms, scientists and civil society align before positions harden, plus knowledge products governments adopt through their own accountable processes. My job isn’t to write rules — it’s to build the conditions in which better rules get made, and make adoption easy.</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“We don’t make the rules — we build the conditions in which better rules get made and adopted.”</w:t>
      </w:r>
    </w:p>
    <w:p>
      <w:pPr>
        <w:spacing w:after="60" w:before="150" w:line="264"/>
      </w:pPr>
      <w:r>
        <w:rPr>
          <w:rFonts w:ascii="Calibri" w:cs="Calibri" w:eastAsia="Calibri" w:hAnsi="Calibri"/>
          <w:b/>
          <w:bCs/>
          <w:color w:val="1F2A44"/>
          <w:sz w:val="21"/>
          <w:szCs w:val="21"/>
        </w:rPr>
        <w:t xml:space="preserve">Q12. Critics say multistakeholder governance lets corporations write their own rules. Your response?</w:t>
      </w:r>
    </w:p>
    <w:p>
      <w:pPr>
        <w:spacing w:after="100" w:line="272"/>
        <w:jc w:val="both"/>
      </w:pPr>
      <w:r>
        <w:rPr>
          <w:rFonts w:ascii="Georgia" w:cs="Georgia" w:eastAsia="Georgia" w:hAnsi="Georgia"/>
          <w:color w:val="1A1A1A"/>
          <w:sz w:val="21"/>
          <w:szCs w:val="21"/>
        </w:rPr>
        <w:t xml:space="preserve">It’s a fair critique and I’d rather engage it than dodge it. Done badly, multistakeholder work dilutes accountability and over-weights corporate voice. So legitimacy has to be earned: genuine inclusion — especially the Global South and civil society — transparency about who’s in the room, and outputs adopted through governments’ own democratic processes. It’s a complement to multilateralism, not a substitute; a frontier workstream that’s only industry and rich-world regulators would fail on its own terms.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“Legitimacy is earned through inclusion and transparency — it’s a complement to democracy, never a replacement.”</w:t>
      </w:r>
    </w:p>
    <w:p>
      <w:pPr>
        <w:spacing w:after="60" w:before="150" w:line="264"/>
      </w:pPr>
      <w:r>
        <w:rPr>
          <w:rFonts w:ascii="Calibri" w:cs="Calibri" w:eastAsia="Calibri" w:hAnsi="Calibri"/>
          <w:b/>
          <w:bCs/>
          <w:color w:val="1F2A44"/>
          <w:sz w:val="21"/>
          <w:szCs w:val="21"/>
        </w:rPr>
        <w:t xml:space="preserve">Q13. What do you know about GRIP, and how does your workstream fit?</w:t>
      </w:r>
    </w:p>
    <w:p>
      <w:pPr>
        <w:spacing w:after="100" w:line="272"/>
        <w:jc w:val="both"/>
      </w:pPr>
      <w:r>
        <w:rPr>
          <w:rFonts w:ascii="Georgia" w:cs="Georgia" w:eastAsia="Georgia" w:hAnsi="Georgia"/>
          <w:color w:val="1A1A1A"/>
          <w:sz w:val="21"/>
          <w:szCs w:val="21"/>
        </w:rPr>
        <w:t xml:space="preserve">GRIP is the Forum’s Global Regulatory Innovation Platform, launched in 2025 with the UAE, built on the idea that in the Intelligent Age regulation is a strategic lever and a form of infrastructure, not just a brake. Two-year roadmap, three deliverables: a Playbook, a Readiness Index and an Innovation Hub, focused initially on AI, health and digital finance. My workstream takes that proven method upstream into the earlier-stage frontier domains — quantum, autonomous systems, biotech, planetary systems — where the rules barely exist, in partnership with the Centre for Frontier Technologies.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“I’d take GRIP’s proven method upstream, into the frontiers where the rulebook is still blank.”</w:t>
      </w:r>
    </w:p>
    <w:p>
      <w:pPr>
        <w:spacing w:after="60" w:before="150" w:line="264"/>
      </w:pPr>
      <w:r>
        <w:rPr>
          <w:rFonts w:ascii="Calibri" w:cs="Calibri" w:eastAsia="Calibri" w:hAnsi="Calibri"/>
          <w:b/>
          <w:bCs/>
          <w:color w:val="1F2A44"/>
          <w:sz w:val="21"/>
          <w:szCs w:val="21"/>
        </w:rPr>
        <w:t xml:space="preserve">Q14. How do you work across Centres without empire-building?</w:t>
      </w:r>
    </w:p>
    <w:p>
      <w:pPr>
        <w:spacing w:after="100" w:line="272"/>
        <w:jc w:val="both"/>
      </w:pPr>
      <w:r>
        <w:rPr>
          <w:rFonts w:ascii="Georgia" w:cs="Georgia" w:eastAsia="Georgia" w:hAnsi="Georgia"/>
          <w:color w:val="1A1A1A"/>
          <w:sz w:val="21"/>
          <w:szCs w:val="21"/>
        </w:rPr>
        <w:t xml:space="preserve">By defining my value as connective, not competitive. The frontier is converging — AI-bio, AI-quantum, embodied AI — and convergence is exactly what siloed teams miss, so a cross-cutting regulatory-innovation lens is additive to their deep domain work. Practically: co-own outputs, credit generously, bring the regulatory craft they don’t specialise in, and make them look good to their own stakeholders. In a matrix you earn the right to convene by making everyone else’s work more usable.</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“In a matrix you don’t win by owning turf — you win by making everyone else’s work more usable.”</w:t>
      </w:r>
    </w:p>
    <w:p>
      <w:pPr>
        <w:pStyle w:val="Heading2"/>
        <w:spacing w:after="100" w:before="220"/>
      </w:pPr>
      <w:r>
        <w:rPr>
          <w:rFonts w:ascii="Calibri" w:cs="Calibri" w:eastAsia="Calibri" w:hAnsi="Calibri"/>
          <w:b/>
          <w:bCs/>
          <w:color w:val="2F5D8A"/>
          <w:sz w:val="25"/>
          <w:szCs w:val="25"/>
        </w:rPr>
        <w:t xml:space="preserve">B3.4 Judgement and the hard ones</w:t>
      </w:r>
    </w:p>
    <w:p>
      <w:pPr>
        <w:spacing w:after="60" w:before="150" w:line="264"/>
      </w:pPr>
      <w:r>
        <w:rPr>
          <w:rFonts w:ascii="Calibri" w:cs="Calibri" w:eastAsia="Calibri" w:hAnsi="Calibri"/>
          <w:b/>
          <w:bCs/>
          <w:color w:val="1F2A44"/>
          <w:sz w:val="21"/>
          <w:szCs w:val="21"/>
        </w:rPr>
        <w:t xml:space="preserve">Q15. Does GRIP lean toward any of the regulatory models — EU, US, China?</w:t>
      </w:r>
    </w:p>
    <w:p>
      <w:pPr>
        <w:spacing w:after="100" w:line="272"/>
        <w:jc w:val="both"/>
      </w:pPr>
      <w:r>
        <w:rPr>
          <w:rFonts w:ascii="Georgia" w:cs="Georgia" w:eastAsia="Georgia" w:hAnsi="Georgia"/>
          <w:color w:val="1A1A1A"/>
          <w:sz w:val="21"/>
          <w:szCs w:val="21"/>
        </w:rPr>
        <w:t xml:space="preserve">Officially it’s about interoperability across all of them, but its centre of gravity is the pro-innovation, enabling school — ‘regulation as competitiveness and infrastructure’ — which is closer to the UK/Singapore/UAE end than the EU’s precautionary starting point, and its showcase cases are the UAE, India and Brazil, not Brussels. That’s a strength for adoption and speed, but the blind spot is the precautionary, rights-first questions the EU foregrounds — and for catastrophic bio or climate risk, precaution is good governance. Part of my job is making sure the enabling frame doesn’t crowd that out.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“GRIP leans enabling, not precautionary — a strength for speed, but I’d guard against it crowding out the risks that need precaution.”</w:t>
      </w:r>
    </w:p>
    <w:p>
      <w:pPr>
        <w:spacing w:after="60" w:before="150" w:line="264"/>
      </w:pPr>
      <w:r>
        <w:rPr>
          <w:rFonts w:ascii="Calibri" w:cs="Calibri" w:eastAsia="Calibri" w:hAnsi="Calibri"/>
          <w:b/>
          <w:bCs/>
          <w:color w:val="1F2A44"/>
          <w:sz w:val="21"/>
          <w:szCs w:val="21"/>
        </w:rPr>
        <w:t xml:space="preserve">Q16. What would you do if a technology you’d championed a light-touch approach for turned out far more dangerous than expected?</w:t>
      </w:r>
    </w:p>
    <w:p>
      <w:pPr>
        <w:spacing w:after="100" w:line="272"/>
        <w:jc w:val="both"/>
      </w:pPr>
      <w:r>
        <w:rPr>
          <w:rFonts w:ascii="Georgia" w:cs="Georgia" w:eastAsia="Georgia" w:hAnsi="Georgia"/>
          <w:color w:val="1A1A1A"/>
          <w:sz w:val="21"/>
          <w:szCs w:val="21"/>
        </w:rPr>
        <w:t xml:space="preserve">That’s exactly why I build reversibility in from the start. Good regulatory innovation isn’t a bet on being right — it’s instruments designed to be revised: staged rollouts, review triggers, sunset clauses, kill-switches on pilots. If the evidence turned worse, the adaptive design lets us tighten fast without having burned the option, and I’d own the call publicly and move — credibility depends on updating visibly on evidence. The failure mode to avoid isn’t being wrong early; it’s being locked in and slow to correct.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 don’t bet on being right — I build instruments that let us be wrong safely and correct fast.”</w:t>
      </w:r>
    </w:p>
    <w:p>
      <w:pPr>
        <w:spacing w:after="60" w:before="150" w:line="264"/>
      </w:pPr>
      <w:r>
        <w:rPr>
          <w:rFonts w:ascii="Calibri" w:cs="Calibri" w:eastAsia="Calibri" w:hAnsi="Calibri"/>
          <w:b/>
          <w:bCs/>
          <w:color w:val="1F2A44"/>
          <w:sz w:val="21"/>
          <w:szCs w:val="21"/>
        </w:rPr>
        <w:t xml:space="preserve">Q17. How do you make sure the Global South is genuinely in the room?</w:t>
      </w:r>
    </w:p>
    <w:p>
      <w:pPr>
        <w:spacing w:after="100" w:line="272"/>
        <w:jc w:val="both"/>
      </w:pPr>
      <w:r>
        <w:rPr>
          <w:rFonts w:ascii="Georgia" w:cs="Georgia" w:eastAsia="Georgia" w:hAnsi="Georgia"/>
          <w:color w:val="1A1A1A"/>
          <w:sz w:val="21"/>
          <w:szCs w:val="21"/>
        </w:rPr>
        <w:t xml:space="preserve">By treating it as a design constraint, not a courtesy. Frontier governance built only by wealthy jurisdictions fails on legitimacy and on substance — the capability and compute gaps are real, and rules built by the few entrench existing advantage. So I’d build Global South co-leadership from scoping, use the C4IR network’s presence in emerging economies, design instruments that work with lower regulatory capacity, and measure representation honestly. Interoperability that ignores most of the world isn’t interoperability.</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“Inclusion is a design constraint, not a courtesy — rules built by the few fail on both legitimacy and substance.”</w:t>
      </w:r>
    </w:p>
    <w:p>
      <w:pPr>
        <w:spacing w:after="60" w:before="150" w:line="264"/>
      </w:pPr>
      <w:r>
        <w:rPr>
          <w:rFonts w:ascii="Calibri" w:cs="Calibri" w:eastAsia="Calibri" w:hAnsi="Calibri"/>
          <w:b/>
          <w:bCs/>
          <w:color w:val="1F2A44"/>
          <w:sz w:val="21"/>
          <w:szCs w:val="21"/>
        </w:rPr>
        <w:t xml:space="preserve">Q18. Why you, coming from energy and public affairs rather than deep frontier tech?</w:t>
      </w:r>
    </w:p>
    <w:p>
      <w:pPr>
        <w:spacing w:after="100" w:line="272"/>
        <w:jc w:val="both"/>
      </w:pPr>
      <w:r>
        <w:rPr>
          <w:rFonts w:ascii="Georgia" w:cs="Georgia" w:eastAsia="Georgia" w:hAnsi="Georgia"/>
          <w:color w:val="1A1A1A"/>
          <w:sz w:val="21"/>
          <w:szCs w:val="21"/>
        </w:rPr>
        <w:t xml:space="preserve">Because the job isn’t to be the deepest specialist in any one technology — it’s to design regulatory approaches that travel across domains and to convene the ecosystem that adopts them. That’s the meta-skill I’ve built: I’ve studied how a state architects an industry transformation and sequences its intervention, reverse-engineered it into a replication framework across jurisdictions, advised governments on standing up multistakeholder platforms, and worked inside a frontier-tech regulatory regime with a sandbox. The regulatory patterns rhyme even when the science differs — and I’m a fast, honest translator between the lab, the ministry and the boardroom.</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“The job isn’t to be the deepest specialist — it’s to be the translator and model-builder who makes governance travel across domains.”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B4 · The Personal Experience Interview (PEI)</w:t>
      </w:r>
    </w:p>
    <w:p>
      <w:pPr>
        <w:spacing w:after="200" w:line="288"/>
      </w:pPr>
      <w:r>
        <w:rPr>
          <w:rFonts w:ascii="Georgia" w:cs="Georgia" w:eastAsia="Georgia" w:hAnsi="Georgia"/>
          <w:i/>
          <w:iCs/>
          <w:color w:val="55606E"/>
          <w:sz w:val="22"/>
          <w:szCs w:val="22"/>
        </w:rPr>
        <w:t xml:space="preserve">Roughly half of a McKinsey-style interview is behavioural, and it is probed hard. The interviewer takes one story for 10–20 minutes and asks 10–25 follow-ups: “What exactly did you say?” “How did they react?” “What were you thinking?” Vague or rehearsed-sounding stories collapse under this. Prepare depth, not scripts.</w:t>
      </w:r>
    </w:p>
    <w:p>
      <w:pPr>
        <w:pStyle w:val="Heading2"/>
        <w:spacing w:after="100" w:before="220"/>
      </w:pPr>
      <w:r>
        <w:rPr>
          <w:rFonts w:ascii="Calibri" w:cs="Calibri" w:eastAsia="Calibri" w:hAnsi="Calibri"/>
          <w:b/>
          <w:bCs/>
          <w:color w:val="2F5D8A"/>
          <w:sz w:val="25"/>
          <w:szCs w:val="25"/>
        </w:rPr>
        <w:t xml:space="preserve">B4.1 The four dimensions (renamed by McKinsey in 2025)</w:t>
      </w:r>
    </w:p>
    <w:tbl>
      <w:tblPr>
        <w:tblW w:type="dxa" w:w="9360"/>
        <w:tblBorders>
          <w:top w:val="single" w:color="C9D3E0" w:sz="2"/>
          <w:left w:val="none"/>
          <w:bottom w:val="single" w:color="C9D3E0" w:sz="2"/>
          <w:right w:val="none"/>
          <w:insideH w:val="single" w:color="C9D3E0" w:sz="2"/>
          <w:insideV w:val="single" w:color="C9D3E0" w:sz="2"/>
        </w:tblBorders>
      </w:tblPr>
      <w:tblGrid>
        <w:gridCol w:w="1700"/>
        <w:gridCol w:w="4100"/>
        <w:gridCol w:w="3560"/>
      </w:tblGrid>
      <w:tr>
        <w:trPr>
          <w:tblHeader/>
        </w:trPr>
        <w:tc>
          <w:tcPr>
            <w:tcW w:type="dxa" w:w="1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Dimension</w:t>
            </w:r>
          </w:p>
        </w:tc>
        <w:tc>
          <w:tcPr>
            <w:tcW w:type="dxa" w:w="4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tests</w:t>
            </w:r>
          </w:p>
        </w:tc>
        <w:tc>
          <w:tcPr>
            <w:tcW w:type="dxa" w:w="3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The question behind the question</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Leadership</w:t>
            </w:r>
          </w:p>
        </w:tc>
        <w:tc>
          <w:tcPr>
            <w:tcW w:type="dxa" w:w="4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Setting direction, mobilising a team, delivering through others.</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you make a group achieve something it wouldn’t have alone?</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Connection</w:t>
            </w:r>
          </w:p>
        </w:tc>
        <w:tc>
          <w:tcPr>
            <w:tcW w:type="dxa" w:w="4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Persuading and influencing through relationships and soft skills.</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you change someone’s mind or behaviour without authority?</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Drive</w:t>
            </w:r>
          </w:p>
        </w:tc>
        <w:tc>
          <w:tcPr>
            <w:tcW w:type="dxa" w:w="4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Initiative, ownership, building from scratch, pushing through.</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Do you make things happen that no one asked you to?</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Growth</w:t>
            </w:r>
          </w:p>
        </w:tc>
        <w:tc>
          <w:tcPr>
            <w:tcW w:type="dxa" w:w="4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Driving change despite resistance; learning from failure; adapting.</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How do you behave when it’s hard or you got it wrong?</w:t>
            </w:r>
          </w:p>
        </w:tc>
      </w:tr>
    </w:tbl>
    <w:p>
      <w:pPr>
        <w:spacing w:after="80"/>
      </w:pPr>
    </w:p>
    <w:p>
      <w:pPr>
        <w:pStyle w:val="Heading2"/>
        <w:spacing w:after="100" w:before="220"/>
      </w:pPr>
      <w:r>
        <w:rPr>
          <w:rFonts w:ascii="Calibri" w:cs="Calibri" w:eastAsia="Calibri" w:hAnsi="Calibri"/>
          <w:b/>
          <w:bCs/>
          <w:color w:val="2F5D8A"/>
          <w:sz w:val="25"/>
          <w:szCs w:val="25"/>
        </w:rPr>
        <w:t xml:space="preserve">B4.2 How to structure a PEI story</w:t>
      </w:r>
    </w:p>
    <w:p>
      <w:pPr>
        <w:spacing w:after="140" w:line="276"/>
        <w:jc w:val="both"/>
      </w:pPr>
      <w:r>
        <w:rPr>
          <w:rFonts w:ascii="Georgia" w:cs="Georgia" w:eastAsia="Georgia" w:hAnsi="Georgia"/>
          <w:color w:val="1A1A1A"/>
          <w:sz w:val="21"/>
          <w:szCs w:val="21"/>
        </w:rPr>
        <w:t xml:space="preserve">Open with a tight </w:t>
      </w:r>
      <w:r>
        <w:rPr>
          <w:rFonts w:ascii="Georgia" w:cs="Georgia" w:eastAsia="Georgia" w:hAnsi="Georgia"/>
          <w:b/>
          <w:bCs/>
          <w:color w:val="1A1A1A"/>
          <w:sz w:val="21"/>
          <w:szCs w:val="21"/>
        </w:rPr>
        <w:t xml:space="preserve">SPAR</w:t>
      </w:r>
      <w:r>
        <w:rPr>
          <w:rFonts w:ascii="Georgia" w:cs="Georgia" w:eastAsia="Georgia" w:hAnsi="Georgia"/>
          <w:color w:val="1A1A1A"/>
          <w:sz w:val="21"/>
          <w:szCs w:val="21"/>
        </w:rPr>
        <w:t xml:space="preserve"> telling (Situation, Problem, Action, Result) in 3–4 minutes, then let the interviewer drill. Rules: pick a story where </w:t>
      </w:r>
      <w:r>
        <w:rPr>
          <w:rFonts w:ascii="Georgia" w:cs="Georgia" w:eastAsia="Georgia" w:hAnsi="Georgia"/>
          <w:b/>
          <w:bCs/>
          <w:color w:val="1A1A1A"/>
          <w:sz w:val="21"/>
          <w:szCs w:val="21"/>
        </w:rPr>
        <w:t xml:space="preserve">you</w:t>
      </w:r>
      <w:r>
        <w:rPr>
          <w:rFonts w:ascii="Georgia" w:cs="Georgia" w:eastAsia="Georgia" w:hAnsi="Georgia"/>
          <w:color w:val="1A1A1A"/>
          <w:sz w:val="21"/>
          <w:szCs w:val="21"/>
        </w:rPr>
        <w:t xml:space="preserve"> were the protagonist (not the team); make the stakes and the tension explicit; be ready with the granular detail (who said what, what you decided and why, the number that shows the result); and choose the dimension the story evidences </w:t>
      </w:r>
      <w:r>
        <w:rPr>
          <w:rFonts w:ascii="Georgia" w:cs="Georgia" w:eastAsia="Georgia" w:hAnsi="Georgia"/>
          <w:i/>
          <w:iCs/>
          <w:color w:val="1A1A1A"/>
          <w:sz w:val="21"/>
          <w:szCs w:val="21"/>
        </w:rPr>
        <w:t xml:space="preserve">best</w:t>
      </w:r>
      <w:r>
        <w:rPr>
          <w:rFonts w:ascii="Georgia" w:cs="Georgia" w:eastAsia="Georgia" w:hAnsi="Georgia"/>
          <w:color w:val="1A1A1A"/>
          <w:sz w:val="21"/>
          <w:szCs w:val="21"/>
        </w:rPr>
        <w:t xml:space="preserve">, not the story you like most. Prepare at least </w:t>
      </w:r>
      <w:r>
        <w:rPr>
          <w:rFonts w:ascii="Georgia" w:cs="Georgia" w:eastAsia="Georgia" w:hAnsi="Georgia"/>
          <w:b/>
          <w:bCs/>
          <w:color w:val="1A1A1A"/>
          <w:sz w:val="21"/>
          <w:szCs w:val="21"/>
        </w:rPr>
        <w:t xml:space="preserve">eight stories — two per dimension</w:t>
      </w:r>
      <w:r>
        <w:rPr>
          <w:rFonts w:ascii="Georgia" w:cs="Georgia" w:eastAsia="Georgia" w:hAnsi="Georgia"/>
          <w:color w:val="1A1A1A"/>
          <w:sz w:val="21"/>
          <w:szCs w:val="21"/>
        </w:rPr>
        <w:t xml:space="preserve"> — and never reuse one in the same round.</w:t>
      </w:r>
    </w:p>
    <w:p>
      <w:pPr>
        <w:pStyle w:val="Heading2"/>
        <w:spacing w:after="100" w:before="220"/>
      </w:pPr>
      <w:r>
        <w:rPr>
          <w:rFonts w:ascii="Calibri" w:cs="Calibri" w:eastAsia="Calibri" w:hAnsi="Calibri"/>
          <w:b/>
          <w:bCs/>
          <w:color w:val="2F5D8A"/>
          <w:sz w:val="25"/>
          <w:szCs w:val="25"/>
        </w:rPr>
        <w:t xml:space="preserve">B4.3 Your story bank — candidates from your background</w:t>
      </w:r>
    </w:p>
    <w:p>
      <w:pPr>
        <w:spacing w:after="140" w:line="276"/>
        <w:jc w:val="both"/>
      </w:pPr>
      <w:r>
        <w:rPr>
          <w:rFonts w:ascii="Georgia" w:cs="Georgia" w:eastAsia="Georgia" w:hAnsi="Georgia"/>
          <w:color w:val="1A1A1A"/>
          <w:sz w:val="21"/>
          <w:szCs w:val="21"/>
        </w:rPr>
        <w:t xml:space="preserve">These are scaffolds mapped to your real experience. Fill each with authentic, granular specifics — especially exact words, decisions and measurable results — because the follow-ups go deep. Do not stretch the facts; the probing is designed to find seams.</w:t>
      </w:r>
    </w:p>
    <w:p>
      <w:pPr>
        <w:pStyle w:val="Heading3"/>
        <w:spacing w:after="70" w:before="160"/>
      </w:pPr>
      <w:r>
        <w:rPr>
          <w:rFonts w:ascii="Calibri" w:cs="Calibri" w:eastAsia="Calibri" w:hAnsi="Calibri"/>
          <w:b/>
          <w:bCs/>
          <w:color w:val="1F2A44"/>
          <w:sz w:val="22"/>
          <w:szCs w:val="22"/>
        </w:rPr>
        <w:t xml:space="preserve">Leadership</w:t>
      </w:r>
    </w:p>
    <w:p>
      <w:pPr>
        <w:pStyle w:val="ListParagraph"/>
        <w:numPr>
          <w:ilvl w:val="0"/>
          <w:numId w:val="1"/>
        </w:numPr>
        <w:spacing w:after="70" w:line="268"/>
      </w:pPr>
      <w:r>
        <w:rPr>
          <w:rFonts w:ascii="Georgia" w:cs="Georgia" w:eastAsia="Georgia" w:hAnsi="Georgia"/>
          <w:b/>
          <w:bCs/>
          <w:color w:val="1A1A1A"/>
          <w:sz w:val="21"/>
          <w:szCs w:val="21"/>
        </w:rPr>
        <w:t xml:space="preserve">The climate &amp; healthcare-continuity workstream (current).</w:t>
      </w:r>
      <w:r>
        <w:rPr>
          <w:rFonts w:ascii="Georgia" w:cs="Georgia" w:eastAsia="Georgia" w:hAnsi="Georgia"/>
          <w:color w:val="1A1A1A"/>
          <w:sz w:val="21"/>
          <w:szCs w:val="21"/>
        </w:rPr>
        <w:t xml:space="preserve"> You set the research agenda, mobilised multistakeholder engagement, and delivered a thought-leadership paper. Emphasise: how you set direction under ambiguity and got independent actors to deliver. Likely probes: how you handled a stakeholder who wouldn’t engage; a moment the agenda was contested and how you resolved it.</w:t>
      </w:r>
    </w:p>
    <w:p>
      <w:pPr>
        <w:pStyle w:val="ListParagraph"/>
        <w:numPr>
          <w:ilvl w:val="0"/>
          <w:numId w:val="1"/>
        </w:numPr>
        <w:spacing w:after="70" w:line="268"/>
      </w:pPr>
      <w:r>
        <w:rPr>
          <w:rFonts w:ascii="Georgia" w:cs="Georgia" w:eastAsia="Georgia" w:hAnsi="Georgia"/>
          <w:b/>
          <w:bCs/>
          <w:color w:val="1A1A1A"/>
          <w:sz w:val="21"/>
          <w:szCs w:val="21"/>
        </w:rPr>
        <w:t xml:space="preserve">A flagship platform at FGS</w:t>
      </w:r>
      <w:r>
        <w:rPr>
          <w:rFonts w:ascii="Georgia" w:cs="Georgia" w:eastAsia="Georgia" w:hAnsi="Georgia"/>
          <w:color w:val="1A1A1A"/>
          <w:sz w:val="21"/>
          <w:szCs w:val="21"/>
        </w:rPr>
        <w:t xml:space="preserve"> (e.g. the Global Cybersecurity Forum or Saudi Green Initiative). Emphasise: mobilising senior government stakeholders toward a shared design. Probes: a decision you drove when principals disagreed; what you personally owned versus advised.</w:t>
      </w:r>
    </w:p>
    <w:p>
      <w:pPr>
        <w:pStyle w:val="Heading3"/>
        <w:spacing w:after="70" w:before="160"/>
      </w:pPr>
      <w:r>
        <w:rPr>
          <w:rFonts w:ascii="Calibri" w:cs="Calibri" w:eastAsia="Calibri" w:hAnsi="Calibri"/>
          <w:b/>
          <w:bCs/>
          <w:color w:val="1F2A44"/>
          <w:sz w:val="22"/>
          <w:szCs w:val="22"/>
        </w:rPr>
        <w:t xml:space="preserve">Connection (persuasion / influence)</w:t>
      </w:r>
    </w:p>
    <w:p>
      <w:pPr>
        <w:pStyle w:val="ListParagraph"/>
        <w:numPr>
          <w:ilvl w:val="0"/>
          <w:numId w:val="1"/>
        </w:numPr>
        <w:spacing w:after="70" w:line="268"/>
      </w:pPr>
      <w:r>
        <w:rPr>
          <w:rFonts w:ascii="Georgia" w:cs="Georgia" w:eastAsia="Georgia" w:hAnsi="Georgia"/>
          <w:b/>
          <w:bCs/>
          <w:color w:val="1A1A1A"/>
          <w:sz w:val="21"/>
          <w:szCs w:val="21"/>
        </w:rPr>
        <w:t xml:space="preserve">NEOM frontier-biotech positioning.</w:t>
      </w:r>
      <w:r>
        <w:rPr>
          <w:rFonts w:ascii="Georgia" w:cs="Georgia" w:eastAsia="Georgia" w:hAnsi="Georgia"/>
          <w:color w:val="1A1A1A"/>
          <w:sz w:val="21"/>
          <w:szCs w:val="21"/>
        </w:rPr>
        <w:t xml:space="preserve"> You translated a novel technology and an unfamiliar regulatory regime into propositions credible to international investors. Emphasise: winning over a sceptical counterpart by bridging technical and commercial worlds. Probes: the exact objection you faced and how you turned it; how you knew you’d succeeded.</w:t>
      </w:r>
    </w:p>
    <w:p>
      <w:pPr>
        <w:pStyle w:val="ListParagraph"/>
        <w:numPr>
          <w:ilvl w:val="0"/>
          <w:numId w:val="1"/>
        </w:numPr>
        <w:spacing w:after="70" w:line="268"/>
      </w:pPr>
      <w:r>
        <w:rPr>
          <w:rFonts w:ascii="Georgia" w:cs="Georgia" w:eastAsia="Georgia" w:hAnsi="Georgia"/>
          <w:b/>
          <w:bCs/>
          <w:color w:val="1A1A1A"/>
          <w:sz w:val="21"/>
          <w:szCs w:val="21"/>
        </w:rPr>
        <w:t xml:space="preserve">Aligning rival stakeholders in a convening.</w:t>
      </w:r>
      <w:r>
        <w:rPr>
          <w:rFonts w:ascii="Georgia" w:cs="Georgia" w:eastAsia="Georgia" w:hAnsi="Georgia"/>
          <w:color w:val="1A1A1A"/>
          <w:sz w:val="21"/>
          <w:szCs w:val="21"/>
        </w:rPr>
        <w:t xml:space="preserve"> Any moment you moved two parties from opposed positions to a shared one. Probes: what you said to each side; the concession that unlocked it.</w:t>
      </w:r>
    </w:p>
    <w:p>
      <w:pPr>
        <w:pStyle w:val="Heading3"/>
        <w:spacing w:after="70" w:before="160"/>
      </w:pPr>
      <w:r>
        <w:rPr>
          <w:rFonts w:ascii="Calibri" w:cs="Calibri" w:eastAsia="Calibri" w:hAnsi="Calibri"/>
          <w:b/>
          <w:bCs/>
          <w:color w:val="1F2A44"/>
          <w:sz w:val="22"/>
          <w:szCs w:val="22"/>
        </w:rPr>
        <w:t xml:space="preserve">Drive (initiative / building from scratch)</w:t>
      </w:r>
    </w:p>
    <w:p>
      <w:pPr>
        <w:pStyle w:val="ListParagraph"/>
        <w:numPr>
          <w:ilvl w:val="0"/>
          <w:numId w:val="1"/>
        </w:numPr>
        <w:spacing w:after="70" w:line="268"/>
      </w:pPr>
      <w:r>
        <w:rPr>
          <w:rFonts w:ascii="Georgia" w:cs="Georgia" w:eastAsia="Georgia" w:hAnsi="Georgia"/>
          <w:b/>
          <w:bCs/>
          <w:color w:val="1A1A1A"/>
          <w:sz w:val="21"/>
          <w:szCs w:val="21"/>
        </w:rPr>
        <w:t xml:space="preserve">The IEEP / thesis work.</w:t>
      </w:r>
      <w:r>
        <w:rPr>
          <w:rFonts w:ascii="Georgia" w:cs="Georgia" w:eastAsia="Georgia" w:hAnsi="Georgia"/>
          <w:color w:val="1A1A1A"/>
          <w:sz w:val="21"/>
          <w:szCs w:val="21"/>
        </w:rPr>
        <w:t xml:space="preserve"> You self-directed the research reverse-engineering China’s renewable-energy transformation into a replication framework — building an intellectual artefact from nothing. Emphasise: initiative, ownership, and the fact that you built the exact kind of replicable model this role needs. Probes: why you chose that problem; what you did when the evidence didn’t fit.</w:t>
      </w:r>
    </w:p>
    <w:p>
      <w:pPr>
        <w:pStyle w:val="ListParagraph"/>
        <w:numPr>
          <w:ilvl w:val="0"/>
          <w:numId w:val="1"/>
        </w:numPr>
        <w:spacing w:after="70" w:line="268"/>
      </w:pPr>
      <w:r>
        <w:rPr>
          <w:rFonts w:ascii="Georgia" w:cs="Georgia" w:eastAsia="Georgia" w:hAnsi="Georgia"/>
          <w:b/>
          <w:bCs/>
          <w:color w:val="1A1A1A"/>
          <w:sz w:val="21"/>
          <w:szCs w:val="21"/>
        </w:rPr>
        <w:t xml:space="preserve">Building a market-entry / community from zero</w:t>
      </w:r>
      <w:r>
        <w:rPr>
          <w:rFonts w:ascii="Georgia" w:cs="Georgia" w:eastAsia="Georgia" w:hAnsi="Georgia"/>
          <w:color w:val="1A1A1A"/>
          <w:sz w:val="21"/>
          <w:szCs w:val="21"/>
        </w:rPr>
        <w:t xml:space="preserve"> (the carbon-credit venture across Swiss/Danish markets, or the Workforce Heat Resilience community). Emphasise: creating something where nothing existed and owning the outcome. Probes: the first concrete step you took; a setback and how you pushed through.</w:t>
      </w:r>
    </w:p>
    <w:p>
      <w:pPr>
        <w:pStyle w:val="Heading3"/>
        <w:spacing w:after="70" w:before="160"/>
      </w:pPr>
      <w:r>
        <w:rPr>
          <w:rFonts w:ascii="Calibri" w:cs="Calibri" w:eastAsia="Calibri" w:hAnsi="Calibri"/>
          <w:b/>
          <w:bCs/>
          <w:color w:val="1F2A44"/>
          <w:sz w:val="22"/>
          <w:szCs w:val="22"/>
        </w:rPr>
        <w:t xml:space="preserve">Growth (resistance / learning from failure)</w:t>
      </w:r>
    </w:p>
    <w:p>
      <w:pPr>
        <w:pStyle w:val="ListParagraph"/>
        <w:numPr>
          <w:ilvl w:val="0"/>
          <w:numId w:val="1"/>
        </w:numPr>
        <w:spacing w:after="70" w:line="268"/>
      </w:pPr>
      <w:r>
        <w:rPr>
          <w:rFonts w:ascii="Georgia" w:cs="Georgia" w:eastAsia="Georgia" w:hAnsi="Georgia"/>
          <w:b/>
          <w:bCs/>
          <w:color w:val="1A1A1A"/>
          <w:sz w:val="21"/>
          <w:szCs w:val="21"/>
        </w:rPr>
        <w:t xml:space="preserve">A career or domain pivot</w:t>
      </w:r>
      <w:r>
        <w:rPr>
          <w:rFonts w:ascii="Georgia" w:cs="Georgia" w:eastAsia="Georgia" w:hAnsi="Georgia"/>
          <w:color w:val="1A1A1A"/>
          <w:sz w:val="21"/>
          <w:szCs w:val="21"/>
        </w:rPr>
        <w:t xml:space="preserve"> (energy → Gulf public affairs → frontier tech), and how you adapted, learned a new field fast, and turned adjacency into an asset. Probes: what was hardest; what you’d do differently.</w:t>
      </w:r>
    </w:p>
    <w:p>
      <w:pPr>
        <w:pStyle w:val="ListParagraph"/>
        <w:numPr>
          <w:ilvl w:val="0"/>
          <w:numId w:val="1"/>
        </w:numPr>
        <w:spacing w:after="70" w:line="268"/>
      </w:pPr>
      <w:r>
        <w:rPr>
          <w:rFonts w:ascii="Georgia" w:cs="Georgia" w:eastAsia="Georgia" w:hAnsi="Georgia"/>
          <w:b/>
          <w:bCs/>
          <w:color w:val="1A1A1A"/>
          <w:sz w:val="21"/>
          <w:szCs w:val="21"/>
        </w:rPr>
        <w:t xml:space="preserve">A genuine setback</w:t>
      </w:r>
      <w:r>
        <w:rPr>
          <w:rFonts w:ascii="Georgia" w:cs="Georgia" w:eastAsia="Georgia" w:hAnsi="Georgia"/>
          <w:color w:val="1A1A1A"/>
          <w:sz w:val="21"/>
          <w:szCs w:val="21"/>
        </w:rPr>
        <w:t xml:space="preserve"> — a project that stalled, a convening that didn’t land, advice that wasn’t taken. Choose one real failure, own it cleanly, and show the specific lesson you applied afterwards. Probes: your role in the failure (not others’); the evidence you actually changed.</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single most important PEI habit:</w:t>
            </w:r>
            <w:r>
              <w:rPr>
                <w:rFonts w:ascii="Georgia" w:cs="Georgia" w:eastAsia="Georgia" w:hAnsi="Georgia"/>
                <w:color w:val="1F2A44"/>
                <w:sz w:val="20"/>
                <w:szCs w:val="20"/>
              </w:rPr>
              <w:t xml:space="preserve"> speak in the first person singular. “I decided… I said… I chose…” — not “we.” The panel is scoring </w:t>
            </w:r>
            <w:r>
              <w:rPr>
                <w:rFonts w:ascii="Georgia" w:cs="Georgia" w:eastAsia="Georgia" w:hAnsi="Georgia"/>
                <w:i/>
                <w:iCs/>
                <w:color w:val="1F2A44"/>
                <w:sz w:val="20"/>
                <w:szCs w:val="20"/>
              </w:rPr>
              <w:t xml:space="preserve">you</w:t>
            </w:r>
            <w:r>
              <w:rPr>
                <w:rFonts w:ascii="Georgia" w:cs="Georgia" w:eastAsia="Georgia" w:hAnsi="Georgia"/>
                <w:color w:val="1F2A44"/>
                <w:sz w:val="20"/>
                <w:szCs w:val="20"/>
              </w:rPr>
              <w:t xml:space="preserve">, and “we” is where weak candidates hide.</w:t>
            </w:r>
          </w:p>
        </w:tc>
      </w:tr>
    </w:tbl>
    <w:p>
      <w:pPr>
        <w:spacing w:after="80"/>
      </w:pPr>
    </w:p>
    <w:p>
      <w:pPr>
        <w:pStyle w:val="Heading2"/>
        <w:spacing w:after="100" w:before="220"/>
      </w:pPr>
      <w:r>
        <w:rPr>
          <w:rFonts w:ascii="Calibri" w:cs="Calibri" w:eastAsia="Calibri" w:hAnsi="Calibri"/>
          <w:b/>
          <w:bCs/>
          <w:color w:val="2F5D8A"/>
          <w:sz w:val="25"/>
          <w:szCs w:val="25"/>
        </w:rPr>
        <w:t xml:space="preserve">B4.4 ‘Why this role / why you’ — the answer to anchor everything</w:t>
      </w:r>
    </w:p>
    <w:p>
      <w:pPr>
        <w:spacing w:after="140" w:line="276"/>
        <w:jc w:val="both"/>
      </w:pPr>
      <w:r>
        <w:rPr>
          <w:rFonts w:ascii="Georgia" w:cs="Georgia" w:eastAsia="Georgia" w:hAnsi="Georgia"/>
          <w:color w:val="1A1A1A"/>
          <w:sz w:val="21"/>
          <w:szCs w:val="21"/>
        </w:rPr>
        <w:t xml:space="preserve">“Because the gap between where technology is going and how we govern it is a defining problem of the decade, and this seat sits exactly on it — with the Forum’s convening power and GRIP’s live model behind it. Why me: I build the connective tissue between technical, policy and commercial worlds; I’ve architected and reverse-engineered industry transformations and turned them into replicable models; I’ve stood up multistakeholder platforms and worked inside a frontier-tech regulatory regime. I’m not the deepest specialist in any single frontier technology — that isn’t the job. The job is designing governance that travels across domains, and being the fast, honest translator that makes it happen.”</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B5 · The 100-Day Plan (a strategic artifact to memorise)</w:t>
      </w:r>
    </w:p>
    <w:p>
      <w:pPr>
        <w:spacing w:after="200" w:line="288"/>
      </w:pPr>
      <w:r>
        <w:rPr>
          <w:rFonts w:ascii="Georgia" w:cs="Georgia" w:eastAsia="Georgia" w:hAnsi="Georgia"/>
          <w:i/>
          <w:iCs/>
          <w:color w:val="55606E"/>
          <w:sz w:val="22"/>
          <w:szCs w:val="22"/>
        </w:rPr>
        <w:t xml:space="preserve">Consultant panels love a candidate who arrives with a structured plan. Keep this on the tip of your tongue; it doubles as the answer to ‘how would you start?’ and as evidence of transformation thinking.</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3200"/>
        <w:gridCol w:w="39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Phase</w:t>
            </w:r>
          </w:p>
        </w:tc>
        <w:tc>
          <w:tcPr>
            <w:tcW w:type="dxa" w:w="3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Focus</w:t>
            </w:r>
          </w:p>
        </w:tc>
        <w:tc>
          <w:tcPr>
            <w:tcW w:type="dxa" w:w="39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Concrete outputs</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Days 1–30 · Listen &amp; map</w:t>
            </w:r>
          </w:p>
        </w:tc>
        <w:tc>
          <w:tcPr>
            <w:tcW w:type="dxa" w:w="3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Diagnose: existing GRIP assets, the sharpest governance gaps, and the internal stakeholder map.</w:t>
            </w:r>
          </w:p>
        </w:tc>
        <w:tc>
          <w:tcPr>
            <w:tcW w:type="dxa" w:w="3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landscape of frontier-governance gaps; a stakeholder map; a shortlist of beachhead domains.</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Days 31–60 · Focus &amp; frame</w:t>
            </w:r>
          </w:p>
        </w:tc>
        <w:tc>
          <w:tcPr>
            <w:tcW w:type="dxa" w:w="3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Pick 2–3 beachheads on a transparent filter; agree the ambition and success measures.</w:t>
            </w:r>
          </w:p>
        </w:tc>
        <w:tc>
          <w:tcPr>
            <w:tcW w:type="dxa" w:w="3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signed-off strategy note with a clear thesis and metrics; internal buy-in across Centres.</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Days 61–100 · Prove</w:t>
            </w:r>
          </w:p>
        </w:tc>
        <w:tc>
          <w:tcPr>
            <w:tcW w:type="dxa" w:w="3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 up one concrete convening and one knowledge-product outline; secure first-mover commitments.</w:t>
            </w:r>
          </w:p>
        </w:tc>
        <w:tc>
          <w:tcPr>
            <w:tcW w:type="dxa" w:w="3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One convening wired to a decision; a Playbook/Index outline; a documented, reusable model.</w:t>
            </w:r>
          </w:p>
        </w:tc>
      </w:tr>
    </w:tbl>
    <w:p>
      <w:pPr>
        <w:spacing w:after="80"/>
      </w:pPr>
    </w:p>
    <w:p>
      <w:pPr>
        <w:spacing w:after="140" w:line="276"/>
        <w:jc w:val="both"/>
      </w:pPr>
      <w:r>
        <w:rPr>
          <w:rFonts w:ascii="Georgia" w:cs="Georgia" w:eastAsia="Georgia" w:hAnsi="Georgia"/>
          <w:color w:val="1A1A1A"/>
          <w:sz w:val="21"/>
          <w:szCs w:val="21"/>
        </w:rPr>
        <w:t xml:space="preserve">The discipline to state aloud: </w:t>
      </w:r>
      <w:r>
        <w:rPr>
          <w:rFonts w:ascii="Georgia" w:cs="Georgia" w:eastAsia="Georgia" w:hAnsi="Georgia"/>
          <w:b/>
          <w:bCs/>
          <w:color w:val="1A1A1A"/>
          <w:sz w:val="21"/>
          <w:szCs w:val="21"/>
        </w:rPr>
        <w:t xml:space="preserve">evidence before scale, capability before rules, internal coalition before external ambition</w:t>
      </w:r>
      <w:r>
        <w:rPr>
          <w:rFonts w:ascii="Georgia" w:cs="Georgia" w:eastAsia="Georgia" w:hAnsi="Georgia"/>
          <w:color w:val="1A1A1A"/>
          <w:sz w:val="21"/>
          <w:szCs w:val="21"/>
        </w:rPr>
        <w:t xml:space="preserve"> — two beachheads deep, not five shallow. Leading candidates for beachheads: </w:t>
      </w:r>
      <w:r>
        <w:rPr>
          <w:rFonts w:ascii="Georgia" w:cs="Georgia" w:eastAsia="Georgia" w:hAnsi="Georgia"/>
          <w:b/>
          <w:bCs/>
          <w:color w:val="1A1A1A"/>
          <w:sz w:val="21"/>
          <w:szCs w:val="21"/>
        </w:rPr>
        <w:t xml:space="preserve">quantum-to-PQC-migration governance</w:t>
      </w:r>
      <w:r>
        <w:rPr>
          <w:rFonts w:ascii="Georgia" w:cs="Georgia" w:eastAsia="Georgia" w:hAnsi="Georgia"/>
          <w:color w:val="1A1A1A"/>
          <w:sz w:val="21"/>
          <w:szCs w:val="21"/>
        </w:rPr>
        <w:t xml:space="preserve"> (fast, winnable, replicable, non-partisan) and </w:t>
      </w:r>
      <w:r>
        <w:rPr>
          <w:rFonts w:ascii="Georgia" w:cs="Georgia" w:eastAsia="Georgia" w:hAnsi="Georgia"/>
          <w:b/>
          <w:bCs/>
          <w:color w:val="1A1A1A"/>
          <w:sz w:val="21"/>
          <w:szCs w:val="21"/>
        </w:rPr>
        <w:t xml:space="preserve">AI-bio biosecurity</w:t>
      </w:r>
      <w:r>
        <w:rPr>
          <w:rFonts w:ascii="Georgia" w:cs="Georgia" w:eastAsia="Georgia" w:hAnsi="Georgia"/>
          <w:color w:val="1A1A1A"/>
          <w:sz w:val="21"/>
          <w:szCs w:val="21"/>
        </w:rPr>
        <w:t xml:space="preserve"> (highest stakes). The reusable model — not any single report — is the real year-one deliverable.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Close any ‘how would you start’ answer with this:</w:t>
            </w:r>
            <w:r>
              <w:rPr>
                <w:rFonts w:ascii="Georgia" w:cs="Georgia" w:eastAsia="Georgia" w:hAnsi="Georgia"/>
                <w:color w:val="1F2A44"/>
                <w:sz w:val="20"/>
                <w:szCs w:val="20"/>
              </w:rPr>
              <w:t xml:space="preserve"> “Diagnose, define the ambition, design the levers, roll out and replicate — with the government’s role engineered to taper as the ecosystem matures. It’s the transformation playbook, applied to governance.”</w:t>
            </w:r>
          </w:p>
        </w:tc>
      </w:tr>
    </w:tbl>
    <w:p>
      <w:pPr>
        <w:spacing w:after="80"/>
      </w:pPr>
    </w:p>
    <w:p>
      <w:r>
        <w:br w:type="page"/>
      </w: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6"/>
      </w:pBdr>
      <w:tabs>
        <w:tab w:val="right" w:pos="9360"/>
      </w:tabs>
    </w:pPr>
    <w:r>
      <w:rPr>
        <w:rFonts w:ascii="Calibri" w:cs="Calibri" w:eastAsia="Calibri" w:hAnsi="Calibri"/>
        <w:color w:val="55606E"/>
        <w:sz w:val="15"/>
        <w:szCs w:val="15"/>
      </w:rPr>
      <w:t xml:space="preserve">Frontier Tech &amp; Regulatory Innovation — Part B: Interview &amp; Case Prep</w:t>
    </w:r>
    <w:r>
      <w:rPr>
        <w:sz w:val="15"/>
        <w:szCs w:val="15"/>
      </w:rPr>
      <w:t xml:space="preserve">	</w:t>
    </w:r>
    <w:r>
      <w:rPr>
        <w:rFonts w:ascii="Calibri" w:cs="Calibri" w:eastAsia="Calibri" w:hAnsi="Calibri"/>
        <w:color w:val="55606E"/>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Technology &amp; Regulatory Innovation — Part B: Interview &amp; Case Prep</dc:title>
  <dc:creator>Interview Preparation</dc:creator>
  <cp:lastModifiedBy>Un-named</cp:lastModifiedBy>
  <cp:revision>1</cp:revision>
  <dcterms:created xsi:type="dcterms:W3CDTF">2026-09-19T10:35:26.117Z</dcterms:created>
  <dcterms:modified xsi:type="dcterms:W3CDTF">2026-09-19T10:35:26.117Z</dcterms:modified>
</cp:coreProperties>
</file>

<file path=docProps/custom.xml><?xml version="1.0" encoding="utf-8"?>
<Properties xmlns="http://schemas.openxmlformats.org/officeDocument/2006/custom-properties" xmlns:vt="http://schemas.openxmlformats.org/officeDocument/2006/docPropsVTypes"/>
</file>