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F5D8A" w:sz="12" w:space="6"/>
        </w:pBdr>
        <w:spacing w:after="140" w:before="260"/>
      </w:pPr>
      <w:r>
        <w:rPr>
          <w:rFonts w:ascii="Calibri" w:cs="Calibri" w:eastAsia="Calibri" w:hAnsi="Calibri"/>
          <w:b/>
          <w:bCs/>
          <w:color w:val="1F2A44"/>
          <w:sz w:val="30"/>
          <w:szCs w:val="30"/>
        </w:rPr>
        <w:t xml:space="preserve">Cheat Sheet — Frontier Tech &amp; Regulatory Innovation</w:t>
      </w:r>
    </w:p>
    <w:p>
      <w:pPr>
        <w:spacing w:after="2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The thesis (open or close with this)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In the Intelligent Age, regulation is a strategic lever, not just a brake — its agility and quality shape a country’s competitiveness. My job is the connective tissue between where technology is going and how it gets governed: agile enough to keep pace, credible enough to adopt, practical enough to replicate across borders.</w:t>
            </w:r>
          </w:p>
        </w:tc>
      </w:tr>
    </w:tbl>
    <w:p>
      <w:pPr>
        <w:spacing w:after="8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Five must-knows about the role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GRIP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Global Regulatory Innovation Platform; WEF + UAE, launched July 2025; 2-yr roadmap. Three deliverables: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Global Regulatory Playbook · Regulatory Future Readiness Index · Global Regulatory Innovation Hub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(sandbox). Initial focus: AI, health, digital finance.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Your role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build a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new cross-cutting workstream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taking GRIP’s model upstream into frontier domains; report to Head of Digital Inclusion; partner CFTI, Cyber, AI Centres. Temp to May 2027, Geneva.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CFTI / C4IR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Centre for Frontier Technologies; global network of government-hosted centres (US, Germany, KSA, Japan, India, + Abu Dhabi frontier-tech centre 2026). Your delivery + pilot vehicle.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The Forum has no rule-making power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impact = convening, communities, knowledge products, initiatives. You build conditions for better rules, not the rules.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You are the translator, not the deepest scientist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— expert in the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craft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(regulatory innovation), fast and honest across the science.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The craft — say these precisely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Pacing problem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(tech exponential, law incremental) ·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Collingridge dilemma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(easy to shape early / hard to predict; hard to change late) ·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precaution vs permissionless innovation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Five agile principles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(Deloitte,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Future of Regulation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, 2018; adopted into WEF practice)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adaptive · outcome-based · risk-based · collaborative · sandboxes. Plus experimental, data-driven, self/co-regulation, international cooperation.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Anticipatory governance = foresight → experimentation → learning.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Mechanisms: sandboxes, sunset clauses, mandatory review, RIA, living guidance.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Soft law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(standards, codes, principles) = the on-ramp to hard law, not the absence of it.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RegTech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(comply) vs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SupTech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(supervise).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Sandbox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controlled, time-limited test with real users, relaxed rules + safeguards. UK FCA 2016; 50+ jurisdictions; EU AI Act mandates national sandboxes by 2026. Always pair with a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codification plan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Five domains — the one-line dilemma each</w:t>
      </w:r>
    </w:p>
    <w:tbl>
      <w:tblPr>
        <w:tblW w:type="dxa" w:w="10360"/>
        <w:tblBorders>
          <w:top w:val="single" w:color="C9D3E0" w:sz="2"/>
          <w:left w:val="none"/>
          <w:bottom w:val="single" w:color="C9D3E0" w:sz="2"/>
          <w:right w:val="none"/>
          <w:insideH w:val="single" w:color="C9D3E0" w:sz="2"/>
          <w:insideV w:val="single" w:color="C9D3E0" w:sz="2"/>
        </w:tblBorders>
      </w:tblPr>
      <w:tblGrid>
        <w:gridCol w:w="1900"/>
        <w:gridCol w:w="5300"/>
        <w:gridCol w:w="3160"/>
      </w:tblGrid>
      <w:tr>
        <w:trPr>
          <w:tblHeader/>
        </w:trPr>
        <w:tc>
          <w:tcPr>
            <w:tcW w:type="dxa" w:w="19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53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Core governance dilemma</w:t>
            </w:r>
          </w:p>
        </w:tc>
        <w:tc>
          <w:tcPr>
            <w:tcW w:type="dxa" w:w="316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Anchor fact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AI / GPAI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Regulate a general-purpose tech whose risks are emergent and unpredictable — model-level vs use-level.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EU AI Act (risk tiers); GPAI + systemic-risk duties; GPAI Code of Practice 2025.</w:t>
            </w:r>
          </w:p>
        </w:tc>
      </w:tr>
      <w:tr>
        <w:tc>
          <w:tcPr>
            <w:tcW w:type="dxa" w:w="19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Quantum</w:t>
            </w:r>
          </w:p>
        </w:tc>
        <w:tc>
          <w:tcPr>
            <w:tcW w:type="dxa" w:w="53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Govern a future, cryptographic risk now; dual-use, geopolitical supply chain.</w:t>
            </w:r>
          </w:p>
        </w:tc>
        <w:tc>
          <w:tcPr>
            <w:tcW w:type="dxa" w:w="31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‘Harvest now, decrypt later’; NIST PQC standards 2024 (ML-KEM/ML-DSA/SLH-DSA).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Biotech / synbio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Capture benefits while preventing catastrophic dual-use misuse; capability outside reach.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AI-bio convergence outpaces DNA-synthesis screening; BWC has no verification.</w:t>
            </w:r>
          </w:p>
        </w:tc>
      </w:tr>
      <w:tr>
        <w:tc>
          <w:tcPr>
            <w:tcW w:type="dxa" w:w="19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Robotics / AV</w:t>
            </w:r>
          </w:p>
        </w:tc>
        <w:tc>
          <w:tcPr>
            <w:tcW w:type="dxa" w:w="530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Who’s liable when an autonomous, learning system harms — and how to certify it.</w:t>
            </w:r>
          </w:p>
        </w:tc>
        <w:tc>
          <w:tcPr>
            <w:tcW w:type="dxa" w:w="3160"/>
            <w:shd w:fill="F4F7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UNECE ADS reg 2026 (safety case); EU Machinery + Product Liability; SAE 0–5.</w:t>
            </w:r>
          </w:p>
        </w:tc>
      </w:tr>
      <w:tr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Planetary systems</w:t>
            </w:r>
          </w:p>
        </w:tc>
        <w:tc>
          <w:tcPr>
            <w:tcW w:type="dxa" w:w="53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Govern global commons (space; climate SRM) where national rules don’t reach.</w:t>
            </w:r>
          </w:p>
        </w:tc>
        <w:tc>
          <w:tcPr>
            <w:tcW w:type="dxa" w:w="316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Outer Space Treaty 1967; SRM Non-Use Agreement / CBD moratorium.</w:t>
            </w:r>
          </w:p>
        </w:tc>
      </w:tr>
    </w:tbl>
    <w:p>
      <w:pPr>
        <w:spacing w:after="80"/>
      </w:pP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Three rulebooks + the Brussels effect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EU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rights + risk, precautionary, comprehensive (AI Act, GDPR).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US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market-led, sectoral, light-touch (EOs, NIST).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China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state-directed, vertical (algorithm/GenAI rules, CAC).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UK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principles-based, pro-innovation, sector regulators.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Brussels effect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(Bradford): EU rules go global via market access —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real but weakening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as US/China pursue rival models. The prize isn’t harmonised law but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interoperability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(compatible in effect).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Fragmentation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raises cost, entrenches incumbents, enables forum-shopping.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Small yard, high fence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= targeted export controls.</w:t>
      </w:r>
    </w:p>
    <w:p>
      <w:r>
        <w:br w:type="page"/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Reusable case frameworks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Sandbox design — O-SEE-C: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Objective &amp; success measures · Scope/eligibility · Exemptions · safEguards · Codification plan.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Divergence — interoperability ladder: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shared terminology → standards/metrics → mutual recognition → minimum baselines → (rarely) harmonised law. Aim as high as politics allows.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Crisis — C-TAP: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Convene fast · Target the true failure point · Absorb the responsible majority into the fix · Persist into durable rules. (Neither paralysis nor overreaction.)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Build from zero — 100 days: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Listen &amp; map (1–30) → Focus &amp; frame on 2–3 beachheads (31–60) → Prove with one convening + one product (61–100). Evidence before scale.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Prioritise domains: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gap severity · right to convene · partner readiness · replicability.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Measuring impact (avoid vanity metrics)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Adoption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regulators take it up?) →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Outcome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a real decision change?) → </w:t>
      </w: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System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(did readiness/interoperability improve?). Define at design time; report honestly.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Power phrases — drop these verbatim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“When capability outruns evaluation science, you regulate the trajectory, not a snapshot.”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“A sandbox without a codification plan is a press release — the point is the learning loop.”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“Soft law isn’t the absence of regulation; it’s the on-ramp to it, and often the only thing fast enough.”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“We don’t make the rules — we build the conditions in which better rules get made and adopted.”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 a matrix you don’t win by owning turf; you win by making everyone else’s work more usable.”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“You don’t export rules — you export methods; the regulatory patterns rhyme even when the science doesn’t.”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“Some frontiers aren’t a speed problem — they’re a legitimacy problem, and you don’t innovate around legitimacy.”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“Inclusion is a design constraint, not a courtesy — rules built by the few fail on legitimacy and substance.”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“I don’t bet on being right — I build instruments that let us be wrong safely and correct fast.”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Handling the two hardest challenges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“Multistakeholderism = corporations writing their own rules.”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Acknowledge it; it’s a </w:t>
      </w: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complement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to democracy/multilateralism, not a replacement; legitimacy earned via inclusion (Global South, civil society), transparency, and government adoption through accountable processes.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“The Forum can’t legislate, so what’s the point?”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 → Convening is the comparative advantage precisely where formal authority is fragmented; the missing ingredient isn’t law, it’s trusted alignment before positions harden + adoptable instruments.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Reports to name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Agile Governance: Reimagining Policy-making in the 4IR · Agile Regulation for the 4IR — Toolkit for Regulators (2020) · Global Technology Governance Report (2021) · The Regulatory Frontier / GRIP (2025) · Global Risks Report · Future of Jobs Report.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2A44"/>
          <w:sz w:val="22"/>
          <w:szCs w:val="22"/>
        </w:rPr>
        <w:t xml:space="preserve">Last-minute confidence check</w:t>
      </w:r>
    </w:p>
    <w:tbl>
      <w:tblPr>
        <w:tblW w:type="pct" w:w="100%"/>
        <w:tblBorders>
          <w:top w:val="single" w:color="2F5D8A" w:sz="4"/>
          <w:left w:val="single" w:color="2F5D8A" w:sz="24"/>
          <w:bottom w:val="single" w:color="2F5D8A" w:sz="4"/>
          <w:right w:val="single" w:color="2F5D8A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64"/>
            </w:pPr>
            <w:r>
              <w:rPr>
                <w:rFonts w:ascii="Georgia" w:cs="Georgia" w:eastAsia="Georgia" w:hAnsi="Georgia"/>
                <w:color w:val="1F2A44"/>
                <w:sz w:val="20"/>
                <w:szCs w:val="20"/>
              </w:rPr>
              <w:t xml:space="preserve">Can I (1) state the thesis; (2) name GRIP’s three deliverables; (3) give each domain’s dilemma in a sentence; (4) define a sandbox and its limits; (5) name the five agile principles; (6) run O-SEE-C, the interoperability ladder and my 100-day plan; (7) handle the multistakeholder-legitimacy challenge without getting defensive? If yes to all seven, I’m ready.</w:t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76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6"/>
      </w:pBdr>
      <w:tabs>
        <w:tab w:val="right" w:pos="9360"/>
      </w:tabs>
    </w:pPr>
    <w:r>
      <w:rPr>
        <w:rFonts w:ascii="Calibri" w:cs="Calibri" w:eastAsia="Calibri" w:hAnsi="Calibri"/>
        <w:color w:val="55606E"/>
        <w:sz w:val="15"/>
        <w:szCs w:val="15"/>
      </w:rPr>
      <w:t xml:space="preserve">Cheat Sheet — Frontier Tech &amp; Regulatory Innovation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color w:val="55606E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GRIP Interview — Cheat Sheet</dc:title>
  <dc:creator>Interview Preparation</dc:creator>
  <cp:lastModifiedBy>Un-named</cp:lastModifiedBy>
  <cp:revision>1</cp:revision>
  <dcterms:created xsi:type="dcterms:W3CDTF">2026-09-02T11:42:12.354Z</dcterms:created>
  <dcterms:modified xsi:type="dcterms:W3CDTF">2026-09-02T11:42:12.354Z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