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Calibri" w:cs="Calibri" w:eastAsia="Calibri" w:hAnsi="Calibri"/>
          <w:b/>
          <w:bCs/>
          <w:color w:val="2F5D8A"/>
          <w:spacing w:val="50"/>
          <w:sz w:val="24"/>
          <w:szCs w:val="24"/>
        </w:rPr>
        <w:t xml:space="preserve">INTERVIEW PREPARATION · PART A</w:t>
      </w:r>
    </w:p>
    <w:p>
      <w:pPr>
        <w:pBdr>
          <w:bottom w:val="single" w:color="2F5D8A" w:sz="14" w:space="10"/>
        </w:pBdr>
        <w:spacing w:after="0" w:before="40"/>
      </w:pPr>
    </w:p>
    <w:p>
      <w:pPr>
        <w:spacing w:after="0" w:before="300"/>
      </w:pPr>
      <w:r>
        <w:rPr>
          <w:rFonts w:ascii="Calibri" w:cs="Calibri" w:eastAsia="Calibri" w:hAnsi="Calibri"/>
          <w:b/>
          <w:bCs/>
          <w:color w:val="1F2A44"/>
          <w:sz w:val="58"/>
          <w:szCs w:val="58"/>
        </w:rPr>
        <w:t xml:space="preserve">Frontier Technology &amp;</w:t>
      </w:r>
    </w:p>
    <w:p>
      <w:pPr>
        <w:spacing w:after="40" w:before="0"/>
      </w:pPr>
      <w:r>
        <w:rPr>
          <w:rFonts w:ascii="Calibri" w:cs="Calibri" w:eastAsia="Calibri" w:hAnsi="Calibri"/>
          <w:b/>
          <w:bCs/>
          <w:color w:val="1F2A44"/>
          <w:sz w:val="58"/>
          <w:szCs w:val="58"/>
        </w:rPr>
        <w:t xml:space="preserve">Regulatory Innovation</w:t>
      </w:r>
    </w:p>
    <w:p>
      <w:pPr>
        <w:spacing w:after="240" w:before="0"/>
      </w:pPr>
      <w:r>
        <w:rPr>
          <w:rFonts w:ascii="Calibri" w:cs="Calibri" w:eastAsia="Calibri" w:hAnsi="Calibri"/>
          <w:i/>
          <w:iCs/>
          <w:color w:val="2F5D8A"/>
          <w:sz w:val="34"/>
          <w:szCs w:val="34"/>
        </w:rPr>
        <w:t xml:space="preserve">The Knowledge Base</w:t>
      </w:r>
    </w:p>
    <w:p>
      <w:pPr>
        <w:spacing w:after="40"/>
      </w:pPr>
      <w:r>
        <w:rPr>
          <w:rFonts w:ascii="Calibri" w:cs="Calibri" w:eastAsia="Calibri" w:hAnsi="Calibri"/>
          <w:b/>
          <w:bCs/>
          <w:color w:val="1F2A44"/>
          <w:sz w:val="26"/>
          <w:szCs w:val="26"/>
        </w:rPr>
        <w:t xml:space="preserve">Policy Lead, Global Regulatory Innovation Platform (GRIP)</w:t>
      </w:r>
    </w:p>
    <w:p>
      <w:pPr>
        <w:spacing w:after="480"/>
      </w:pPr>
      <w:r>
        <w:rPr>
          <w:rFonts w:ascii="Georgia" w:cs="Georgia" w:eastAsia="Georgia" w:hAnsi="Georgia"/>
          <w:color w:val="55606E"/>
          <w:sz w:val="21"/>
          <w:szCs w:val="21"/>
        </w:rPr>
        <w:t xml:space="preserve">Centre for Frontier Technologies and Innovation · World Economic Forum · Geneva</w:t>
      </w:r>
    </w:p>
    <w:tbl>
      <w:tblPr>
        <w:tblW w:type="pct" w:w="100%"/>
        <w:tblBorders>
          <w:top w:val="single" w:color="2F5D8A" w:sz="4"/>
          <w:left w:val="single" w:color="2F5D8A" w:sz="24"/>
          <w:bottom w:val="single" w:color="2F5D8A" w:sz="4"/>
          <w:right w:val="single" w:color="2F5D8A" w:sz="4"/>
          <w:insideH w:val="none"/>
          <w:insideV w:val="none"/>
        </w:tblBorders>
      </w:tblPr>
      <w:tblGrid>
        <w:gridCol w:w="9360"/>
      </w:tblGrid>
      <w:tr>
        <w:tc>
          <w:tcPr>
            <w:tcW w:type="dxa" w:w="9360"/>
            <w:shd w:fill="EEF3F9" w:val="clear"/>
            <w:tcMar>
              <w:top w:type="dxa" w:w="120"/>
              <w:left w:type="dxa" w:w="200"/>
              <w:bottom w:type="dxa" w:w="120"/>
              <w:right w:type="dxa" w:w="200"/>
            </w:tcMar>
          </w:tcPr>
          <w:p>
            <w:pPr>
              <w:spacing w:after="0" w:line="264"/>
            </w:pPr>
            <w:r>
              <w:rPr>
                <w:rFonts w:ascii="Georgia" w:cs="Georgia" w:eastAsia="Georgia" w:hAnsi="Georgia"/>
                <w:color w:val="1F2A44"/>
                <w:sz w:val="20"/>
                <w:szCs w:val="20"/>
              </w:rPr>
              <w:t xml:space="preserve">Part A of a two-part dossier. This volume is the subject-matter depth: the regulatory-innovation discipline, the five frontier-technology domains at technical and governance depth, the WEF operating model, the global landscape, and a regulatory-transformation chapter written in the language a management-consulting panel reasons with. Part B (companion) covers the case-interview, frameworks and behavioural preparation.</w:t>
            </w:r>
          </w:p>
        </w:tc>
      </w:tr>
    </w:tbl>
    <w:p>
      <w:pPr>
        <w:spacing w:before="640"/>
      </w:pPr>
      <w:r>
        <w:rPr>
          <w:rFonts w:ascii="Calibri" w:cs="Calibri" w:eastAsia="Calibri" w:hAnsi="Calibri"/>
          <w:color w:val="55606E"/>
          <w:sz w:val="18"/>
          <w:szCs w:val="18"/>
        </w:rPr>
        <w:t xml:space="preserve">Confidential study document</w:t>
      </w:r>
    </w:p>
    <w:p>
      <w:r>
        <w:br w:type="page"/>
      </w:r>
    </w:p>
    <w:p>
      <w:pPr>
        <w:spacing w:after="160"/>
      </w:pPr>
      <w:r>
        <w:rPr>
          <w:rFonts w:ascii="Calibri" w:cs="Calibri" w:eastAsia="Calibri" w:hAnsi="Calibri"/>
          <w:b/>
          <w:bCs/>
          <w:color w:val="1F2A44"/>
          <w:sz w:val="34"/>
          <w:szCs w:val="3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00"/>
      </w:pPr>
      <w:r>
        <w:rPr>
          <w:rFonts w:ascii="Georgia" w:cs="Georgia" w:eastAsia="Georgia" w:hAnsi="Georgia"/>
          <w:i/>
          <w:iCs/>
          <w:color w:val="55606E"/>
          <w:sz w:val="16"/>
          <w:szCs w:val="16"/>
        </w:rPr>
        <w:t xml:space="preserve">In Word, right-click the contents and choose “Update Field” to populate page numbers.</w:t>
      </w: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0 · How to Use This Dossier</w:t>
      </w:r>
    </w:p>
    <w:p>
      <w:pPr>
        <w:spacing w:after="200" w:line="288"/>
      </w:pPr>
      <w:r>
        <w:rPr>
          <w:rFonts w:ascii="Georgia" w:cs="Georgia" w:eastAsia="Georgia" w:hAnsi="Georgia"/>
          <w:i/>
          <w:iCs/>
          <w:color w:val="55606E"/>
          <w:sz w:val="22"/>
          <w:szCs w:val="22"/>
        </w:rPr>
        <w:t xml:space="preserve">This is an expert-conversion document. It is built so that, after working through it, you can hold your own with a senior expert on frontier-technology regulation and perform under a management-consulting-style case panel — reasoning as though you had a decade in the field.</w:t>
      </w:r>
    </w:p>
    <w:p>
      <w:pPr>
        <w:spacing w:after="140" w:line="276"/>
        <w:jc w:val="both"/>
      </w:pPr>
      <w:r>
        <w:rPr>
          <w:rFonts w:ascii="Georgia" w:cs="Georgia" w:eastAsia="Georgia" w:hAnsi="Georgia"/>
          <w:color w:val="1A1A1A"/>
          <w:sz w:val="21"/>
          <w:szCs w:val="21"/>
        </w:rPr>
        <w:t xml:space="preserve">It comes in two parts, mirroring how the interview will actually test you:</w:t>
      </w:r>
    </w:p>
    <w:p>
      <w:pPr>
        <w:pStyle w:val="ListParagraph"/>
        <w:numPr>
          <w:ilvl w:val="0"/>
          <w:numId w:val="1"/>
        </w:numPr>
        <w:spacing w:after="70" w:line="268"/>
      </w:pPr>
      <w:r>
        <w:rPr>
          <w:rFonts w:ascii="Georgia" w:cs="Georgia" w:eastAsia="Georgia" w:hAnsi="Georgia"/>
          <w:b/>
          <w:bCs/>
          <w:color w:val="1A1A1A"/>
          <w:sz w:val="21"/>
          <w:szCs w:val="21"/>
        </w:rPr>
        <w:t xml:space="preserve">Part A — the Knowledge Base (this document).</w:t>
      </w:r>
      <w:r>
        <w:rPr>
          <w:rFonts w:ascii="Georgia" w:cs="Georgia" w:eastAsia="Georgia" w:hAnsi="Georgia"/>
          <w:color w:val="1A1A1A"/>
          <w:sz w:val="21"/>
          <w:szCs w:val="21"/>
        </w:rPr>
        <w:t xml:space="preserve"> The subject-matter depth: the regulatory-innovation discipline, the five frontier-technology domains at genuine technical and governance depth, the WEF operating model, the global regulatory landscape, and a chapter that recasts all of it in the </w:t>
      </w:r>
      <w:r>
        <w:rPr>
          <w:rFonts w:ascii="Georgia" w:cs="Georgia" w:eastAsia="Georgia" w:hAnsi="Georgia"/>
          <w:i/>
          <w:iCs/>
          <w:color w:val="1A1A1A"/>
          <w:sz w:val="21"/>
          <w:szCs w:val="21"/>
        </w:rPr>
        <w:t xml:space="preserve">transformation</w:t>
      </w:r>
      <w:r>
        <w:rPr>
          <w:rFonts w:ascii="Georgia" w:cs="Georgia" w:eastAsia="Georgia" w:hAnsi="Georgia"/>
          <w:color w:val="1A1A1A"/>
          <w:sz w:val="21"/>
          <w:szCs w:val="21"/>
        </w:rPr>
        <w:t xml:space="preserve"> language your panel thinks in. Read Part A for mastery.</w:t>
      </w:r>
    </w:p>
    <w:p>
      <w:pPr>
        <w:pStyle w:val="ListParagraph"/>
        <w:numPr>
          <w:ilvl w:val="0"/>
          <w:numId w:val="1"/>
        </w:numPr>
        <w:spacing w:after="70" w:line="268"/>
      </w:pPr>
      <w:r>
        <w:rPr>
          <w:rFonts w:ascii="Georgia" w:cs="Georgia" w:eastAsia="Georgia" w:hAnsi="Georgia"/>
          <w:b/>
          <w:bCs/>
          <w:color w:val="1A1A1A"/>
          <w:sz w:val="21"/>
          <w:szCs w:val="21"/>
        </w:rPr>
        <w:t xml:space="preserve">Part B — Interview &amp; Case Prep (companion document).</w:t>
      </w:r>
      <w:r>
        <w:rPr>
          <w:rFonts w:ascii="Georgia" w:cs="Georgia" w:eastAsia="Georgia" w:hAnsi="Georgia"/>
          <w:color w:val="1A1A1A"/>
          <w:sz w:val="21"/>
          <w:szCs w:val="21"/>
        </w:rPr>
        <w:t xml:space="preserve"> How a McKinsey-style partner panel interviews and scores; a frameworks primer; a bank of structured problem-solving cases with issue trees and model answers; and the Personal Experience Interview (PEI) drills built from your own background. Read Part B to rehearse out loud.</w:t>
      </w:r>
    </w:p>
    <w:p>
      <w:pPr>
        <w:spacing w:after="140" w:line="276"/>
        <w:jc w:val="both"/>
      </w:pPr>
      <w:r>
        <w:rPr>
          <w:rFonts w:ascii="Georgia" w:cs="Georgia" w:eastAsia="Georgia" w:hAnsi="Georgia"/>
          <w:b/>
          <w:bCs/>
          <w:color w:val="1A1A1A"/>
          <w:sz w:val="21"/>
          <w:szCs w:val="21"/>
        </w:rPr>
        <w:t xml:space="preserve">Why the two halves matter together.</w:t>
      </w:r>
      <w:r>
        <w:rPr>
          <w:rFonts w:ascii="Georgia" w:cs="Georgia" w:eastAsia="Georgia" w:hAnsi="Georgia"/>
          <w:color w:val="1A1A1A"/>
          <w:sz w:val="21"/>
          <w:szCs w:val="21"/>
        </w:rPr>
        <w:t xml:space="preserve"> Your panel is composed of former senior management consultants. That changes the test in a specific way: they care less about whether you can recite a regulation and more about whether you can </w:t>
      </w:r>
      <w:r>
        <w:rPr>
          <w:rFonts w:ascii="Georgia" w:cs="Georgia" w:eastAsia="Georgia" w:hAnsi="Georgia"/>
          <w:i/>
          <w:iCs/>
          <w:color w:val="1A1A1A"/>
          <w:sz w:val="21"/>
          <w:szCs w:val="21"/>
        </w:rPr>
        <w:t xml:space="preserve">structure</w:t>
      </w:r>
      <w:r>
        <w:rPr>
          <w:rFonts w:ascii="Georgia" w:cs="Georgia" w:eastAsia="Georgia" w:hAnsi="Georgia"/>
          <w:color w:val="1A1A1A"/>
          <w:sz w:val="21"/>
          <w:szCs w:val="21"/>
        </w:rPr>
        <w:t xml:space="preserve"> an ambiguous problem, prioritise, quantify where useful, form a hypothesis, and communicate it crisply. Part A gives you the raw material; Part B gives you the operating system. Neither wins alone.</w:t>
      </w:r>
    </w:p>
    <w:tbl>
      <w:tblPr>
        <w:tblW w:type="pct" w:w="100%"/>
        <w:tblBorders>
          <w:top w:val="single" w:color="2F5D8A" w:sz="4"/>
          <w:left w:val="single" w:color="2F5D8A" w:sz="24"/>
          <w:bottom w:val="single" w:color="2F5D8A" w:sz="4"/>
          <w:right w:val="single" w:color="2F5D8A" w:sz="4"/>
          <w:insideH w:val="none"/>
          <w:insideV w:val="none"/>
        </w:tblBorders>
      </w:tblPr>
      <w:tblGrid>
        <w:gridCol w:w="9360"/>
      </w:tblGrid>
      <w:tr>
        <w:tc>
          <w:tcPr>
            <w:tcW w:type="dxa" w:w="9360"/>
            <w:shd w:fill="EEF3F9" w:val="clear"/>
            <w:tcMar>
              <w:top w:type="dxa" w:w="120"/>
              <w:left w:type="dxa" w:w="200"/>
              <w:bottom w:type="dxa" w:w="120"/>
              <w:right w:type="dxa" w:w="200"/>
            </w:tcMar>
          </w:tcPr>
          <w:p>
            <w:pPr>
              <w:spacing w:after="0" w:line="264"/>
            </w:pPr>
            <w:r>
              <w:rPr>
                <w:rFonts w:ascii="Georgia" w:cs="Georgia" w:eastAsia="Georgia" w:hAnsi="Georgia"/>
                <w:b/>
                <w:bCs/>
                <w:color w:val="1F2A44"/>
                <w:sz w:val="20"/>
                <w:szCs w:val="20"/>
              </w:rPr>
              <w:t xml:space="preserve">The mental model to carry throughout:</w:t>
            </w:r>
            <w:r>
              <w:rPr>
                <w:rFonts w:ascii="Georgia" w:cs="Georgia" w:eastAsia="Georgia" w:hAnsi="Georgia"/>
                <w:color w:val="1F2A44"/>
                <w:sz w:val="20"/>
                <w:szCs w:val="20"/>
              </w:rPr>
              <w:t xml:space="preserve"> treat frontier-technology governance as an </w:t>
            </w:r>
            <w:r>
              <w:rPr>
                <w:rFonts w:ascii="Georgia" w:cs="Georgia" w:eastAsia="Georgia" w:hAnsi="Georgia"/>
                <w:i/>
                <w:iCs/>
                <w:color w:val="1F2A44"/>
                <w:sz w:val="20"/>
                <w:szCs w:val="20"/>
              </w:rPr>
              <w:t xml:space="preserve">industry-transformation problem</w:t>
            </w:r>
            <w:r>
              <w:rPr>
                <w:rFonts w:ascii="Georgia" w:cs="Georgia" w:eastAsia="Georgia" w:hAnsi="Georgia"/>
                <w:color w:val="1F2A44"/>
                <w:sz w:val="20"/>
                <w:szCs w:val="20"/>
              </w:rPr>
              <w:t xml:space="preserve">. A country or sector moving from an ungoverned frontier technology to responsible, scaled adoption is running a transformation — with a maturity curve, a capability gap, a scaling slump, an ecosystem to orchestrate, and reference cases to replicate. That framing is both true and exactly the language your panel speaks. It is the connective spine of this whole dossier.</w:t>
            </w:r>
          </w:p>
        </w:tc>
      </w:tr>
    </w:tbl>
    <w:p>
      <w:pPr>
        <w:spacing w:after="80"/>
      </w:pPr>
    </w:p>
    <w:p>
      <w:pPr>
        <w:pStyle w:val="Heading2"/>
        <w:spacing w:after="100" w:before="220"/>
      </w:pPr>
      <w:r>
        <w:rPr>
          <w:rFonts w:ascii="Calibri" w:cs="Calibri" w:eastAsia="Calibri" w:hAnsi="Calibri"/>
          <w:b/>
          <w:bCs/>
          <w:color w:val="2F5D8A"/>
          <w:sz w:val="25"/>
          <w:szCs w:val="25"/>
        </w:rPr>
        <w:t xml:space="preserve">The role in one breath</w:t>
      </w:r>
    </w:p>
    <w:p>
      <w:pPr>
        <w:spacing w:after="140" w:line="276"/>
        <w:jc w:val="both"/>
      </w:pPr>
      <w:r>
        <w:rPr>
          <w:rFonts w:ascii="Georgia" w:cs="Georgia" w:eastAsia="Georgia" w:hAnsi="Georgia"/>
          <w:color w:val="1A1A1A"/>
          <w:sz w:val="21"/>
          <w:szCs w:val="21"/>
        </w:rPr>
        <w:t xml:space="preserve">You would build and lead a new cross-cutting workstream inside the World Economic Forum’s Global Regulatory Innovation Platform (GRIP) that designs better </w:t>
      </w:r>
      <w:r>
        <w:rPr>
          <w:rFonts w:ascii="Georgia" w:cs="Georgia" w:eastAsia="Georgia" w:hAnsi="Georgia"/>
          <w:i/>
          <w:iCs/>
          <w:color w:val="1A1A1A"/>
          <w:sz w:val="21"/>
          <w:szCs w:val="21"/>
        </w:rPr>
        <w:t xml:space="preserve">ways to regulate</w:t>
      </w:r>
      <w:r>
        <w:rPr>
          <w:rFonts w:ascii="Georgia" w:cs="Georgia" w:eastAsia="Georgia" w:hAnsi="Georgia"/>
          <w:color w:val="1A1A1A"/>
          <w:sz w:val="21"/>
          <w:szCs w:val="21"/>
        </w:rPr>
        <w:t xml:space="preserve"> frontier technologies — quantum, autonomous mobility and robotics, biotechnology, planetary systems, and what comes next — and turns multistakeholder dialogue into governance that ships across jurisdictions. You are not a regulator; you are the architect of the model, the convener of the ecosystem, the author of the knowledge products, and the translator between the lab, the ministry and the boardroom.</w:t>
      </w: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1 · The Role, GRIP, and the Panel — Decoded</w:t>
      </w:r>
    </w:p>
    <w:p>
      <w:pPr>
        <w:pStyle w:val="Heading2"/>
        <w:spacing w:after="100" w:before="220"/>
      </w:pPr>
      <w:r>
        <w:rPr>
          <w:rFonts w:ascii="Calibri" w:cs="Calibri" w:eastAsia="Calibri" w:hAnsi="Calibri"/>
          <w:b/>
          <w:bCs/>
          <w:color w:val="2F5D8A"/>
          <w:sz w:val="25"/>
          <w:szCs w:val="25"/>
        </w:rPr>
        <w:t xml:space="preserve">1.1 GRIP: the facts, in depth</w:t>
      </w:r>
    </w:p>
    <w:p>
      <w:pPr>
        <w:spacing w:after="140" w:line="276"/>
        <w:jc w:val="both"/>
      </w:pPr>
      <w:r>
        <w:rPr>
          <w:rFonts w:ascii="Georgia" w:cs="Georgia" w:eastAsia="Georgia" w:hAnsi="Georgia"/>
          <w:color w:val="1A1A1A"/>
          <w:sz w:val="21"/>
          <w:szCs w:val="21"/>
        </w:rPr>
        <w:t xml:space="preserve">The </w:t>
      </w:r>
      <w:r>
        <w:rPr>
          <w:rFonts w:ascii="Georgia" w:cs="Georgia" w:eastAsia="Georgia" w:hAnsi="Georgia"/>
          <w:b/>
          <w:bCs/>
          <w:color w:val="1A1A1A"/>
          <w:sz w:val="21"/>
          <w:szCs w:val="21"/>
        </w:rPr>
        <w:t xml:space="preserve">Global Regulatory Innovation Platform (GRIP)</w:t>
      </w:r>
      <w:r>
        <w:rPr>
          <w:rFonts w:ascii="Georgia" w:cs="Georgia" w:eastAsia="Georgia" w:hAnsi="Georgia"/>
          <w:color w:val="1A1A1A"/>
          <w:sz w:val="21"/>
          <w:szCs w:val="21"/>
        </w:rPr>
        <w:t xml:space="preserve"> was launched on 4 July 2025 by the World Economic Forum together with the United Arab Emirates’ </w:t>
      </w:r>
      <w:r>
        <w:rPr>
          <w:rFonts w:ascii="Georgia" w:cs="Georgia" w:eastAsia="Georgia" w:hAnsi="Georgia"/>
          <w:b/>
          <w:bCs/>
          <w:color w:val="1A1A1A"/>
          <w:sz w:val="21"/>
          <w:szCs w:val="21"/>
        </w:rPr>
        <w:t xml:space="preserve">General Secretariat of the Cabinet</w:t>
      </w:r>
      <w:r>
        <w:rPr>
          <w:rFonts w:ascii="Georgia" w:cs="Georgia" w:eastAsia="Georgia" w:hAnsi="Georgia"/>
          <w:color w:val="1A1A1A"/>
          <w:sz w:val="21"/>
          <w:szCs w:val="21"/>
        </w:rPr>
        <w:t xml:space="preserve"> — the machinery of the federal government itself, not a single ministry or company. Its founding premise: the widening gap between fast-moving technology and slow-moving legacy regulation is now a first-order economic and social risk, and the response is to help governments </w:t>
      </w:r>
      <w:r>
        <w:rPr>
          <w:rFonts w:ascii="Georgia" w:cs="Georgia" w:eastAsia="Georgia" w:hAnsi="Georgia"/>
          <w:i/>
          <w:iCs/>
          <w:color w:val="1A1A1A"/>
          <w:sz w:val="21"/>
          <w:szCs w:val="21"/>
        </w:rPr>
        <w:t xml:space="preserve">design and adapt</w:t>
      </w:r>
      <w:r>
        <w:rPr>
          <w:rFonts w:ascii="Georgia" w:cs="Georgia" w:eastAsia="Georgia" w:hAnsi="Georgia"/>
          <w:color w:val="1A1A1A"/>
          <w:sz w:val="21"/>
          <w:szCs w:val="21"/>
        </w:rPr>
        <w:t xml:space="preserve"> regulation in step with technological change, for what the Forum calls the “Intelligent Age.”</w:t>
      </w:r>
    </w:p>
    <w:p>
      <w:pPr>
        <w:spacing w:after="140" w:line="276"/>
        <w:jc w:val="both"/>
      </w:pPr>
      <w:r>
        <w:rPr>
          <w:rFonts w:ascii="Georgia" w:cs="Georgia" w:eastAsia="Georgia" w:hAnsi="Georgia"/>
          <w:color w:val="1A1A1A"/>
          <w:sz w:val="21"/>
          <w:szCs w:val="21"/>
        </w:rPr>
        <w:t xml:space="preserve">GRIP’s intellectual signature — and the line you should internalise as your own — is </w:t>
      </w:r>
      <w:r>
        <w:rPr>
          <w:rFonts w:ascii="Georgia" w:cs="Georgia" w:eastAsia="Georgia" w:hAnsi="Georgia"/>
          <w:b/>
          <w:bCs/>
          <w:color w:val="1A1A1A"/>
          <w:sz w:val="21"/>
          <w:szCs w:val="21"/>
        </w:rPr>
        <w:t xml:space="preserve">regulation as a strategic lever, and as modern infrastructure.</w:t>
      </w:r>
      <w:r>
        <w:rPr>
          <w:rFonts w:ascii="Georgia" w:cs="Georgia" w:eastAsia="Georgia" w:hAnsi="Georgia"/>
          <w:color w:val="1A1A1A"/>
          <w:sz w:val="21"/>
          <w:szCs w:val="21"/>
        </w:rPr>
        <w:t xml:space="preserve"> In fast-developing fields, the agility and quality of a country’s regulatory model increasingly determine its competitiveness and influence; regulation is not merely a brake on risk but a way to create the conditions in which new ideas develop and scale safely. The Forum’s companion 2025 publication, </w:t>
      </w:r>
      <w:r>
        <w:rPr>
          <w:rFonts w:ascii="Georgia" w:cs="Georgia" w:eastAsia="Georgia" w:hAnsi="Georgia"/>
          <w:b/>
          <w:bCs/>
          <w:color w:val="1A1A1A"/>
          <w:sz w:val="21"/>
          <w:szCs w:val="21"/>
        </w:rPr>
        <w:t xml:space="preserve">“The Regulatory Frontier: Designing the Rules that Shape Innovation,”</w:t>
      </w:r>
      <w:r>
        <w:rPr>
          <w:rFonts w:ascii="Georgia" w:cs="Georgia" w:eastAsia="Georgia" w:hAnsi="Georgia"/>
          <w:color w:val="1A1A1A"/>
          <w:sz w:val="21"/>
          <w:szCs w:val="21"/>
        </w:rPr>
        <w:t xml:space="preserve"> frames regulatory capability as “one of the most important infrastructure investments of the digital age” and identifies five design domains for future-ready regulation — </w:t>
      </w:r>
      <w:r>
        <w:rPr>
          <w:rFonts w:ascii="Georgia" w:cs="Georgia" w:eastAsia="Georgia" w:hAnsi="Georgia"/>
          <w:b/>
          <w:bCs/>
          <w:color w:val="1A1A1A"/>
          <w:sz w:val="21"/>
          <w:szCs w:val="21"/>
        </w:rPr>
        <w:t xml:space="preserve">boundaries, learning systems, market access, shared infrastructure, and adaptability.</w:t>
      </w:r>
    </w:p>
    <w:p>
      <w:pPr>
        <w:spacing w:after="140" w:line="276"/>
        <w:jc w:val="both"/>
      </w:pPr>
      <w:r>
        <w:rPr>
          <w:rFonts w:ascii="Georgia" w:cs="Georgia" w:eastAsia="Georgia" w:hAnsi="Georgia"/>
          <w:color w:val="1A1A1A"/>
          <w:sz w:val="21"/>
          <w:szCs w:val="21"/>
        </w:rPr>
        <w:t xml:space="preserve">Over a two-year roadmap, GRIP commits to three flagship deliverables. Know them cold:</w:t>
      </w:r>
    </w:p>
    <w:tbl>
      <w:tblPr>
        <w:tblW w:type="dxa" w:w="9360"/>
        <w:tblBorders>
          <w:top w:val="single" w:color="C9D3E0" w:sz="2"/>
          <w:left w:val="none"/>
          <w:bottom w:val="single" w:color="C9D3E0" w:sz="2"/>
          <w:right w:val="none"/>
          <w:insideH w:val="single" w:color="C9D3E0" w:sz="2"/>
          <w:insideV w:val="single" w:color="C9D3E0" w:sz="2"/>
        </w:tblBorders>
      </w:tblPr>
      <w:tblGrid>
        <w:gridCol w:w="2500"/>
        <w:gridCol w:w="3800"/>
        <w:gridCol w:w="3060"/>
      </w:tblGrid>
      <w:tr>
        <w:trPr>
          <w:tblHeader/>
        </w:trPr>
        <w:tc>
          <w:tcPr>
            <w:tcW w:type="dxa" w:w="25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Deliverable</w:t>
            </w:r>
          </w:p>
        </w:tc>
        <w:tc>
          <w:tcPr>
            <w:tcW w:type="dxa" w:w="38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What it is</w:t>
            </w:r>
          </w:p>
        </w:tc>
        <w:tc>
          <w:tcPr>
            <w:tcW w:type="dxa" w:w="30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Relevance to your workstream</w:t>
            </w:r>
          </w:p>
        </w:tc>
      </w:tr>
      <w:tr>
        <w:tc>
          <w:tcPr>
            <w:tcW w:type="dxa" w:w="25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Global Regulatory Playbook</w:t>
            </w:r>
          </w:p>
        </w:tc>
        <w:tc>
          <w:tcPr>
            <w:tcW w:type="dxa" w:w="38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Real-world case studies, frameworks and tools for regulators adopting agile approaches.</w:t>
            </w:r>
          </w:p>
        </w:tc>
        <w:tc>
          <w:tcPr>
            <w:tcW w:type="dxa" w:w="30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template for the knowledge products your role must produce for the frontier.</w:t>
            </w:r>
          </w:p>
        </w:tc>
      </w:tr>
      <w:tr>
        <w:tc>
          <w:tcPr>
            <w:tcW w:type="dxa" w:w="25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Regulatory Future Readiness Index</w:t>
            </w:r>
          </w:p>
        </w:tc>
        <w:tc>
          <w:tcPr>
            <w:tcW w:type="dxa" w:w="38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benchmark of how prepared countries are to govern emerging technologies.</w:t>
            </w:r>
          </w:p>
        </w:tc>
        <w:tc>
          <w:tcPr>
            <w:tcW w:type="dxa" w:w="30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diagnostic you can extend into frontier domains and use to rank-motivate governments.</w:t>
            </w:r>
          </w:p>
        </w:tc>
      </w:tr>
      <w:tr>
        <w:tc>
          <w:tcPr>
            <w:tcW w:type="dxa" w:w="25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Global Regulatory Innovation Hub</w:t>
            </w:r>
          </w:p>
        </w:tc>
        <w:tc>
          <w:tcPr>
            <w:tcW w:type="dxa" w:w="38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pilot environment to test and refine regulation before scaling; plus a Regulatory Intelligence Hub and Regulatory Innovation Dialogues.</w:t>
            </w:r>
          </w:p>
        </w:tc>
        <w:tc>
          <w:tcPr>
            <w:tcW w:type="dxa" w:w="30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ready-made sandbox and convening mechanism for frontier-tech pilots.</w:t>
            </w:r>
          </w:p>
        </w:tc>
      </w:tr>
    </w:tbl>
    <w:p>
      <w:pPr>
        <w:spacing w:after="80"/>
      </w:pPr>
    </w:p>
    <w:p>
      <w:pPr>
        <w:spacing w:after="140" w:line="276"/>
        <w:jc w:val="both"/>
      </w:pPr>
      <w:r>
        <w:rPr>
          <w:rFonts w:ascii="Georgia" w:cs="Georgia" w:eastAsia="Georgia" w:hAnsi="Georgia"/>
          <w:color w:val="1A1A1A"/>
          <w:sz w:val="21"/>
          <w:szCs w:val="21"/>
        </w:rPr>
        <w:t xml:space="preserve">GRIP’s initial sector focus is </w:t>
      </w:r>
      <w:r>
        <w:rPr>
          <w:rFonts w:ascii="Georgia" w:cs="Georgia" w:eastAsia="Georgia" w:hAnsi="Georgia"/>
          <w:b/>
          <w:bCs/>
          <w:color w:val="1A1A1A"/>
          <w:sz w:val="21"/>
          <w:szCs w:val="21"/>
        </w:rPr>
        <w:t xml:space="preserve">AI, healthcare and digital finance</w:t>
      </w:r>
      <w:r>
        <w:rPr>
          <w:rFonts w:ascii="Georgia" w:cs="Georgia" w:eastAsia="Georgia" w:hAnsi="Georgia"/>
          <w:color w:val="1A1A1A"/>
          <w:sz w:val="21"/>
          <w:szCs w:val="21"/>
        </w:rPr>
        <w:t xml:space="preserve">. Your workstream is the move </w:t>
      </w:r>
      <w:r>
        <w:rPr>
          <w:rFonts w:ascii="Georgia" w:cs="Georgia" w:eastAsia="Georgia" w:hAnsi="Georgia"/>
          <w:i/>
          <w:iCs/>
          <w:color w:val="1A1A1A"/>
          <w:sz w:val="21"/>
          <w:szCs w:val="21"/>
        </w:rPr>
        <w:t xml:space="preserve">upstream</w:t>
      </w:r>
      <w:r>
        <w:rPr>
          <w:rFonts w:ascii="Georgia" w:cs="Georgia" w:eastAsia="Georgia" w:hAnsi="Georgia"/>
          <w:color w:val="1A1A1A"/>
          <w:sz w:val="21"/>
          <w:szCs w:val="21"/>
        </w:rPr>
        <w:t xml:space="preserve"> into the earlier-stage frontier domains where the rules barely exist. A candid delivery read to carry into the room: roughly midway through the roadmap, the report and the dialogues are live, but the Playbook and the Readiness Index appear to be still under construction — which is precisely why the role exists. Confirm the current status the week of the interview.</w:t>
      </w:r>
    </w:p>
    <w:p>
      <w:pPr>
        <w:pStyle w:val="Heading3"/>
        <w:spacing w:after="70" w:before="160"/>
      </w:pPr>
      <w:r>
        <w:rPr>
          <w:rFonts w:ascii="Calibri" w:cs="Calibri" w:eastAsia="Calibri" w:hAnsi="Calibri"/>
          <w:b/>
          <w:bCs/>
          <w:color w:val="1F2A44"/>
          <w:sz w:val="22"/>
          <w:szCs w:val="22"/>
        </w:rPr>
        <w:t xml:space="preserve">1.2 Where your role sits</w:t>
      </w:r>
    </w:p>
    <w:p>
      <w:pPr>
        <w:spacing w:after="140" w:line="276"/>
        <w:jc w:val="both"/>
      </w:pPr>
      <w:r>
        <w:rPr>
          <w:rFonts w:ascii="Georgia" w:cs="Georgia" w:eastAsia="Georgia" w:hAnsi="Georgia"/>
          <w:color w:val="1A1A1A"/>
          <w:sz w:val="21"/>
          <w:szCs w:val="21"/>
        </w:rPr>
        <w:t xml:space="preserve">The posting is </w:t>
      </w:r>
      <w:r>
        <w:rPr>
          <w:rFonts w:ascii="Georgia" w:cs="Georgia" w:eastAsia="Georgia" w:hAnsi="Georgia"/>
          <w:b/>
          <w:bCs/>
          <w:color w:val="1A1A1A"/>
          <w:sz w:val="21"/>
          <w:szCs w:val="21"/>
        </w:rPr>
        <w:t xml:space="preserve">Policy Lead, GRIP — Frontier Technology and Regulatory Innovation</w:t>
      </w:r>
      <w:r>
        <w:rPr>
          <w:rFonts w:ascii="Georgia" w:cs="Georgia" w:eastAsia="Georgia" w:hAnsi="Georgia"/>
          <w:color w:val="1A1A1A"/>
          <w:sz w:val="21"/>
          <w:szCs w:val="21"/>
        </w:rPr>
        <w:t xml:space="preserve">, temporary to May 2027, in Geneva, reporting to the </w:t>
      </w:r>
      <w:r>
        <w:rPr>
          <w:rFonts w:ascii="Georgia" w:cs="Georgia" w:eastAsia="Georgia" w:hAnsi="Georgia"/>
          <w:b/>
          <w:bCs/>
          <w:color w:val="1A1A1A"/>
          <w:sz w:val="21"/>
          <w:szCs w:val="21"/>
        </w:rPr>
        <w:t xml:space="preserve">Head of Digital Inclusion</w:t>
      </w:r>
      <w:r>
        <w:rPr>
          <w:rFonts w:ascii="Georgia" w:cs="Georgia" w:eastAsia="Georgia" w:hAnsi="Georgia"/>
          <w:color w:val="1A1A1A"/>
          <w:sz w:val="21"/>
          <w:szCs w:val="21"/>
        </w:rPr>
        <w:t xml:space="preserve">. You would build and lead a </w:t>
      </w:r>
      <w:r>
        <w:rPr>
          <w:rFonts w:ascii="Georgia" w:cs="Georgia" w:eastAsia="Georgia" w:hAnsi="Georgia"/>
          <w:i/>
          <w:iCs/>
          <w:color w:val="1A1A1A"/>
          <w:sz w:val="21"/>
          <w:szCs w:val="21"/>
        </w:rPr>
        <w:t xml:space="preserve">new</w:t>
      </w:r>
      <w:r>
        <w:rPr>
          <w:rFonts w:ascii="Georgia" w:cs="Georgia" w:eastAsia="Georgia" w:hAnsi="Georgia"/>
          <w:color w:val="1A1A1A"/>
          <w:sz w:val="21"/>
          <w:szCs w:val="21"/>
        </w:rPr>
        <w:t xml:space="preserve"> cross-cutting workstream — you are its founder-operator. The explicit brief: partner with the </w:t>
      </w:r>
      <w:r>
        <w:rPr>
          <w:rFonts w:ascii="Georgia" w:cs="Georgia" w:eastAsia="Georgia" w:hAnsi="Georgia"/>
          <w:b/>
          <w:bCs/>
          <w:color w:val="1A1A1A"/>
          <w:sz w:val="21"/>
          <w:szCs w:val="21"/>
        </w:rPr>
        <w:t xml:space="preserve">Centre for Frontier Technologies and Innovation (CFTI)</w:t>
      </w:r>
      <w:r>
        <w:rPr>
          <w:rFonts w:ascii="Georgia" w:cs="Georgia" w:eastAsia="Georgia" w:hAnsi="Georgia"/>
          <w:color w:val="1A1A1A"/>
          <w:sz w:val="21"/>
          <w:szCs w:val="21"/>
        </w:rPr>
        <w:t xml:space="preserve"> and the Forum’s technology initiatives (quantum, autonomous mobility and robotics, biotechnology, planetary systems, and future domains); develop innovative regulatory approaches that enable responsible innovation; create a </w:t>
      </w:r>
      <w:r>
        <w:rPr>
          <w:rFonts w:ascii="Georgia" w:cs="Georgia" w:eastAsia="Georgia" w:hAnsi="Georgia"/>
          <w:b/>
          <w:bCs/>
          <w:color w:val="1A1A1A"/>
          <w:sz w:val="21"/>
          <w:szCs w:val="21"/>
        </w:rPr>
        <w:t xml:space="preserve">scalable, replicable model</w:t>
      </w:r>
      <w:r>
        <w:rPr>
          <w:rFonts w:ascii="Georgia" w:cs="Georgia" w:eastAsia="Georgia" w:hAnsi="Georgia"/>
          <w:color w:val="1A1A1A"/>
          <w:sz w:val="21"/>
          <w:szCs w:val="21"/>
        </w:rPr>
        <w:t xml:space="preserve"> that bridges technology development and public policy; convene global leaders; produce knowledge products; and turn dialogue into implementation with governments, regulators, industry, academia and civil society — working in a matrix with the Centre for Cybersecurity and the Centre for AI Excellence, and with Forum communities such as Chief Legal Officers and Chief Compliance Officers.</w:t>
      </w:r>
    </w:p>
    <w:p>
      <w:pPr>
        <w:pStyle w:val="Heading3"/>
        <w:spacing w:after="70" w:before="160"/>
      </w:pPr>
      <w:r>
        <w:rPr>
          <w:rFonts w:ascii="Calibri" w:cs="Calibri" w:eastAsia="Calibri" w:hAnsi="Calibri"/>
          <w:b/>
          <w:bCs/>
          <w:color w:val="1F2A44"/>
          <w:sz w:val="22"/>
          <w:szCs w:val="22"/>
        </w:rPr>
        <w:t xml:space="preserve">1.3 CFTI and the C4IR network</w:t>
      </w:r>
    </w:p>
    <w:p>
      <w:pPr>
        <w:spacing w:after="140" w:line="276"/>
        <w:jc w:val="both"/>
      </w:pPr>
      <w:r>
        <w:rPr>
          <w:rFonts w:ascii="Georgia" w:cs="Georgia" w:eastAsia="Georgia" w:hAnsi="Georgia"/>
          <w:color w:val="1A1A1A"/>
          <w:sz w:val="21"/>
          <w:szCs w:val="21"/>
        </w:rPr>
        <w:t xml:space="preserve">The </w:t>
      </w:r>
      <w:r>
        <w:rPr>
          <w:rFonts w:ascii="Georgia" w:cs="Georgia" w:eastAsia="Georgia" w:hAnsi="Georgia"/>
          <w:b/>
          <w:bCs/>
          <w:color w:val="1A1A1A"/>
          <w:sz w:val="21"/>
          <w:szCs w:val="21"/>
        </w:rPr>
        <w:t xml:space="preserve">Centre for the Fourth Industrial Revolution (C4IR)</w:t>
      </w:r>
      <w:r>
        <w:rPr>
          <w:rFonts w:ascii="Georgia" w:cs="Georgia" w:eastAsia="Georgia" w:hAnsi="Georgia"/>
          <w:color w:val="1A1A1A"/>
          <w:sz w:val="21"/>
          <w:szCs w:val="21"/>
        </w:rPr>
        <w:t xml:space="preserve"> is the Forum’s platform for anticipating exponential technologies and fostering responsible innovation, operating as a </w:t>
      </w:r>
      <w:r>
        <w:rPr>
          <w:rFonts w:ascii="Georgia" w:cs="Georgia" w:eastAsia="Georgia" w:hAnsi="Georgia"/>
          <w:b/>
          <w:bCs/>
          <w:color w:val="1A1A1A"/>
          <w:sz w:val="21"/>
          <w:szCs w:val="21"/>
        </w:rPr>
        <w:t xml:space="preserve">global network of government- and non-profit-hosted centres</w:t>
      </w:r>
      <w:r>
        <w:rPr>
          <w:rFonts w:ascii="Georgia" w:cs="Georgia" w:eastAsia="Georgia" w:hAnsi="Georgia"/>
          <w:color w:val="1A1A1A"/>
          <w:sz w:val="21"/>
          <w:szCs w:val="21"/>
        </w:rPr>
        <w:t xml:space="preserve"> that give national “trailblazers” a trusted space to co-design and pilot governance approaches, then feed lessons back to the network. Centres span the United States, Germany, Saudi Arabia, Japan, India and others; in early 2026 the Forum signed agreements for five more, including an </w:t>
      </w:r>
      <w:r>
        <w:rPr>
          <w:rFonts w:ascii="Georgia" w:cs="Georgia" w:eastAsia="Georgia" w:hAnsi="Georgia"/>
          <w:b/>
          <w:bCs/>
          <w:color w:val="1A1A1A"/>
          <w:sz w:val="21"/>
          <w:szCs w:val="21"/>
        </w:rPr>
        <w:t xml:space="preserve">Abu Dhabi Centre for Frontier Technologies</w:t>
      </w:r>
      <w:r>
        <w:rPr>
          <w:rFonts w:ascii="Georgia" w:cs="Georgia" w:eastAsia="Georgia" w:hAnsi="Georgia"/>
          <w:color w:val="1A1A1A"/>
          <w:sz w:val="21"/>
          <w:szCs w:val="21"/>
        </w:rPr>
        <w:t xml:space="preserve"> focused on quantum, robotics, propulsion and space systems. For your workstream, the network is the delivery vehicle: prototype a governance approach in one centre, package it into a playbook, replicate it elsewhere — the “scalable, replicable model” the JD demands.</w:t>
      </w:r>
    </w:p>
    <w:p>
      <w:pPr>
        <w:pStyle w:val="Heading2"/>
        <w:spacing w:after="100" w:before="220"/>
      </w:pPr>
      <w:r>
        <w:rPr>
          <w:rFonts w:ascii="Calibri" w:cs="Calibri" w:eastAsia="Calibri" w:hAnsi="Calibri"/>
          <w:b/>
          <w:bCs/>
          <w:color w:val="2F5D8A"/>
          <w:sz w:val="25"/>
          <w:szCs w:val="25"/>
        </w:rPr>
        <w:t xml:space="preserve">1.4 The panel — a consultant panel — and what it tests</w:t>
      </w:r>
    </w:p>
    <w:p>
      <w:pPr>
        <w:spacing w:after="140" w:line="276"/>
        <w:jc w:val="both"/>
      </w:pPr>
      <w:r>
        <w:rPr>
          <w:rFonts w:ascii="Georgia" w:cs="Georgia" w:eastAsia="Georgia" w:hAnsi="Georgia"/>
          <w:color w:val="1A1A1A"/>
          <w:sz w:val="21"/>
          <w:szCs w:val="21"/>
        </w:rPr>
        <w:t xml:space="preserve">Your panel is composed of people with senior management-consulting backgrounds (McKinsey-partner calibre). This is the single most important fact about your preparation, and it changes the interview in four ways:</w:t>
      </w:r>
    </w:p>
    <w:p>
      <w:pPr>
        <w:pStyle w:val="ListParagraph"/>
        <w:numPr>
          <w:ilvl w:val="0"/>
          <w:numId w:val="1"/>
        </w:numPr>
        <w:spacing w:after="70" w:line="268"/>
      </w:pPr>
      <w:r>
        <w:rPr>
          <w:rFonts w:ascii="Georgia" w:cs="Georgia" w:eastAsia="Georgia" w:hAnsi="Georgia"/>
          <w:b/>
          <w:bCs/>
          <w:color w:val="1A1A1A"/>
          <w:sz w:val="21"/>
          <w:szCs w:val="21"/>
        </w:rPr>
        <w:t xml:space="preserve">They test structure over recall.</w:t>
      </w:r>
      <w:r>
        <w:rPr>
          <w:rFonts w:ascii="Georgia" w:cs="Georgia" w:eastAsia="Georgia" w:hAnsi="Georgia"/>
          <w:color w:val="1A1A1A"/>
          <w:sz w:val="21"/>
          <w:szCs w:val="21"/>
        </w:rPr>
        <w:t xml:space="preserve"> They will not be impressed that you </w:t>
      </w:r>
      <w:r>
        <w:rPr>
          <w:rFonts w:ascii="Georgia" w:cs="Georgia" w:eastAsia="Georgia" w:hAnsi="Georgia"/>
          <w:i/>
          <w:iCs/>
          <w:color w:val="1A1A1A"/>
          <w:sz w:val="21"/>
          <w:szCs w:val="21"/>
        </w:rPr>
        <w:t xml:space="preserve">know</w:t>
      </w:r>
      <w:r>
        <w:rPr>
          <w:rFonts w:ascii="Georgia" w:cs="Georgia" w:eastAsia="Georgia" w:hAnsi="Georgia"/>
          <w:color w:val="1A1A1A"/>
          <w:sz w:val="21"/>
          <w:szCs w:val="21"/>
        </w:rPr>
        <w:t xml:space="preserve"> the EU AI Act; they will watch </w:t>
      </w:r>
      <w:r>
        <w:rPr>
          <w:rFonts w:ascii="Georgia" w:cs="Georgia" w:eastAsia="Georgia" w:hAnsi="Georgia"/>
          <w:i/>
          <w:iCs/>
          <w:color w:val="1A1A1A"/>
          <w:sz w:val="21"/>
          <w:szCs w:val="21"/>
        </w:rPr>
        <w:t xml:space="preserve">how</w:t>
      </w:r>
      <w:r>
        <w:rPr>
          <w:rFonts w:ascii="Georgia" w:cs="Georgia" w:eastAsia="Georgia" w:hAnsi="Georgia"/>
          <w:color w:val="1A1A1A"/>
          <w:sz w:val="21"/>
          <w:szCs w:val="21"/>
        </w:rPr>
        <w:t xml:space="preserve"> you break down a messy question about it. Lead with a structure, then fill it.</w:t>
      </w:r>
    </w:p>
    <w:p>
      <w:pPr>
        <w:pStyle w:val="ListParagraph"/>
        <w:numPr>
          <w:ilvl w:val="0"/>
          <w:numId w:val="1"/>
        </w:numPr>
        <w:spacing w:after="70" w:line="268"/>
      </w:pPr>
      <w:r>
        <w:rPr>
          <w:rFonts w:ascii="Georgia" w:cs="Georgia" w:eastAsia="Georgia" w:hAnsi="Georgia"/>
          <w:b/>
          <w:bCs/>
          <w:color w:val="1A1A1A"/>
          <w:sz w:val="21"/>
          <w:szCs w:val="21"/>
        </w:rPr>
        <w:t xml:space="preserve">They test prioritisation and the 80/20.</w:t>
      </w:r>
      <w:r>
        <w:rPr>
          <w:rFonts w:ascii="Georgia" w:cs="Georgia" w:eastAsia="Georgia" w:hAnsi="Georgia"/>
          <w:color w:val="1A1A1A"/>
          <w:sz w:val="21"/>
          <w:szCs w:val="21"/>
        </w:rPr>
        <w:t xml:space="preserve"> They want to see you identify the two things that matter most out of ten, and say why — not an exhaustive list.</w:t>
      </w:r>
    </w:p>
    <w:p>
      <w:pPr>
        <w:pStyle w:val="ListParagraph"/>
        <w:numPr>
          <w:ilvl w:val="0"/>
          <w:numId w:val="1"/>
        </w:numPr>
        <w:spacing w:after="70" w:line="268"/>
      </w:pPr>
      <w:r>
        <w:rPr>
          <w:rFonts w:ascii="Georgia" w:cs="Georgia" w:eastAsia="Georgia" w:hAnsi="Georgia"/>
          <w:b/>
          <w:bCs/>
          <w:color w:val="1A1A1A"/>
          <w:sz w:val="21"/>
          <w:szCs w:val="21"/>
        </w:rPr>
        <w:t xml:space="preserve">They test hypothesis-driven thinking.</w:t>
      </w:r>
      <w:r>
        <w:rPr>
          <w:rFonts w:ascii="Georgia" w:cs="Georgia" w:eastAsia="Georgia" w:hAnsi="Georgia"/>
          <w:color w:val="1A1A1A"/>
          <w:sz w:val="21"/>
          <w:szCs w:val="21"/>
        </w:rPr>
        <w:t xml:space="preserve"> Consultants reason from a hypothesis they then test, rather than boiling the ocean. State your leading answer early, then pressure-test it.</w:t>
      </w:r>
    </w:p>
    <w:p>
      <w:pPr>
        <w:pStyle w:val="ListParagraph"/>
        <w:numPr>
          <w:ilvl w:val="0"/>
          <w:numId w:val="1"/>
        </w:numPr>
        <w:spacing w:after="70" w:line="268"/>
      </w:pPr>
      <w:r>
        <w:rPr>
          <w:rFonts w:ascii="Georgia" w:cs="Georgia" w:eastAsia="Georgia" w:hAnsi="Georgia"/>
          <w:b/>
          <w:bCs/>
          <w:color w:val="1A1A1A"/>
          <w:sz w:val="21"/>
          <w:szCs w:val="21"/>
        </w:rPr>
        <w:t xml:space="preserve">They test communication and presence.</w:t>
      </w:r>
      <w:r>
        <w:rPr>
          <w:rFonts w:ascii="Georgia" w:cs="Georgia" w:eastAsia="Georgia" w:hAnsi="Georgia"/>
          <w:color w:val="1A1A1A"/>
          <w:sz w:val="21"/>
          <w:szCs w:val="21"/>
        </w:rPr>
        <w:t xml:space="preserve"> Top-down, answer-first (the Pyramid Principle), crisp, quantified where useful. Half of a McKinsey-style interview is the Personal Experience Interview — behavioural, probed hard.</w:t>
      </w:r>
    </w:p>
    <w:tbl>
      <w:tblPr>
        <w:tblW w:type="dxa" w:w="9360"/>
        <w:tblBorders>
          <w:top w:val="single" w:color="C9D3E0" w:sz="2"/>
          <w:left w:val="none"/>
          <w:bottom w:val="single" w:color="C9D3E0" w:sz="2"/>
          <w:right w:val="none"/>
          <w:insideH w:val="single" w:color="C9D3E0" w:sz="2"/>
          <w:insideV w:val="single" w:color="C9D3E0" w:sz="2"/>
        </w:tblBorders>
      </w:tblPr>
      <w:tblGrid>
        <w:gridCol w:w="2400"/>
        <w:gridCol w:w="3560"/>
        <w:gridCol w:w="3400"/>
      </w:tblGrid>
      <w:tr>
        <w:trPr>
          <w:tblHeader/>
        </w:trPr>
        <w:tc>
          <w:tcPr>
            <w:tcW w:type="dxa" w:w="24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Panelist lens</w:t>
            </w:r>
          </w:p>
        </w:tc>
        <w:tc>
          <w:tcPr>
            <w:tcW w:type="dxa" w:w="35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What they probe</w:t>
            </w:r>
          </w:p>
        </w:tc>
        <w:tc>
          <w:tcPr>
            <w:tcW w:type="dxa" w:w="34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How to win them</w:t>
            </w:r>
          </w:p>
        </w:tc>
      </w:tr>
      <w:tr>
        <w:tc>
          <w:tcPr>
            <w:tcW w:type="dxa" w:w="24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strategist (your manager / GRIP lead)</w:t>
            </w:r>
          </w:p>
        </w:tc>
        <w:tc>
          <w:tcPr>
            <w:tcW w:type="dxa" w:w="35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Can you build a workstream from zero, run it in a matrix, make GRIP tangible for the frontier?</w:t>
            </w:r>
          </w:p>
        </w:tc>
        <w:tc>
          <w:tcPr>
            <w:tcW w:type="dxa" w:w="34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structured 100-day plan; GRIP’s three deliverables; the regulation-as-infrastructure thesis.</w:t>
            </w:r>
          </w:p>
        </w:tc>
      </w:tr>
      <w:tr>
        <w:tc>
          <w:tcPr>
            <w:tcW w:type="dxa" w:w="24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domain partner (CFTI / C4IR)</w:t>
            </w:r>
          </w:p>
        </w:tc>
        <w:tc>
          <w:tcPr>
            <w:tcW w:type="dxa" w:w="35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Frontier-tech fluency and respect for the technologists you’d partner with.</w:t>
            </w:r>
          </w:p>
        </w:tc>
        <w:tc>
          <w:tcPr>
            <w:tcW w:type="dxa" w:w="34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Each domain’s core governance dilemma; position as translator, not rival expert.</w:t>
            </w:r>
          </w:p>
        </w:tc>
      </w:tr>
      <w:tr>
        <w:tc>
          <w:tcPr>
            <w:tcW w:type="dxa" w:w="24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regulatory-innovation expert</w:t>
            </w:r>
          </w:p>
        </w:tc>
        <w:tc>
          <w:tcPr>
            <w:tcW w:type="dxa" w:w="35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Command of the toolkit — sandboxes, adaptive/outcome/risk-based, soft law.</w:t>
            </w:r>
          </w:p>
        </w:tc>
        <w:tc>
          <w:tcPr>
            <w:tcW w:type="dxa" w:w="34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Precise instruments plus real examples and their evidence and limits.</w:t>
            </w:r>
          </w:p>
        </w:tc>
      </w:tr>
      <w:tr>
        <w:tc>
          <w:tcPr>
            <w:tcW w:type="dxa" w:w="24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ex-consultant (any seat)</w:t>
            </w:r>
          </w:p>
        </w:tc>
        <w:tc>
          <w:tcPr>
            <w:tcW w:type="dxa" w:w="35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Structure, prioritisation, hypothesis, quantification, communication.</w:t>
            </w:r>
          </w:p>
        </w:tc>
        <w:tc>
          <w:tcPr>
            <w:tcW w:type="dxa" w:w="34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Answer-first, MECE structures, a number when it helps, a clear recommendation.</w:t>
            </w:r>
          </w:p>
        </w:tc>
      </w:tr>
    </w:tbl>
    <w:p>
      <w:pPr>
        <w:spacing w:after="80"/>
      </w:pPr>
    </w:p>
    <w:p>
      <w:pPr>
        <w:pStyle w:val="Heading3"/>
        <w:spacing w:after="70" w:before="160"/>
      </w:pPr>
      <w:r>
        <w:rPr>
          <w:rFonts w:ascii="Calibri" w:cs="Calibri" w:eastAsia="Calibri" w:hAnsi="Calibri"/>
          <w:b/>
          <w:bCs/>
          <w:color w:val="1F2A44"/>
          <w:sz w:val="22"/>
          <w:szCs w:val="22"/>
        </w:rPr>
        <w:t xml:space="preserve">1.5 Turning “adjacent” into an advantage</w:t>
      </w:r>
    </w:p>
    <w:p>
      <w:pPr>
        <w:spacing w:after="140" w:line="276"/>
        <w:jc w:val="both"/>
      </w:pPr>
      <w:r>
        <w:rPr>
          <w:rFonts w:ascii="Georgia" w:cs="Georgia" w:eastAsia="Georgia" w:hAnsi="Georgia"/>
          <w:color w:val="1A1A1A"/>
          <w:sz w:val="21"/>
          <w:szCs w:val="21"/>
        </w:rPr>
        <w:t xml:space="preserve">You come adjacent to deep frontier-tech expertise, and the panel will sense it. Convert the gap: </w:t>
      </w:r>
      <w:r>
        <w:rPr>
          <w:rFonts w:ascii="Georgia" w:cs="Georgia" w:eastAsia="Georgia" w:hAnsi="Georgia"/>
          <w:b/>
          <w:bCs/>
          <w:color w:val="1A1A1A"/>
          <w:sz w:val="21"/>
          <w:szCs w:val="21"/>
        </w:rPr>
        <w:t xml:space="preserve">own the translator role</w:t>
      </w:r>
      <w:r>
        <w:rPr>
          <w:rFonts w:ascii="Georgia" w:cs="Georgia" w:eastAsia="Georgia" w:hAnsi="Georgia"/>
          <w:color w:val="1A1A1A"/>
          <w:sz w:val="21"/>
          <w:szCs w:val="21"/>
        </w:rPr>
        <w:t xml:space="preserve"> (the Forum needs someone who moves between lab, ministry and boardroom, not another physicist); </w:t>
      </w:r>
      <w:r>
        <w:rPr>
          <w:rFonts w:ascii="Georgia" w:cs="Georgia" w:eastAsia="Georgia" w:hAnsi="Georgia"/>
          <w:b/>
          <w:bCs/>
          <w:color w:val="1A1A1A"/>
          <w:sz w:val="21"/>
          <w:szCs w:val="21"/>
        </w:rPr>
        <w:t xml:space="preserve">be genuinely expert in the craft</w:t>
      </w:r>
      <w:r>
        <w:rPr>
          <w:rFonts w:ascii="Georgia" w:cs="Georgia" w:eastAsia="Georgia" w:hAnsi="Georgia"/>
          <w:color w:val="1A1A1A"/>
          <w:sz w:val="21"/>
          <w:szCs w:val="21"/>
        </w:rPr>
        <w:t xml:space="preserve"> of regulatory innovation and in structured problem-solving — the actual job, and where an adjacent, consulting-literate candidate can out-prepare a domain specialist; and </w:t>
      </w:r>
      <w:r>
        <w:rPr>
          <w:rFonts w:ascii="Georgia" w:cs="Georgia" w:eastAsia="Georgia" w:hAnsi="Georgia"/>
          <w:b/>
          <w:bCs/>
          <w:color w:val="1A1A1A"/>
          <w:sz w:val="21"/>
          <w:szCs w:val="21"/>
        </w:rPr>
        <w:t xml:space="preserve">show pattern-transfer</w:t>
      </w:r>
      <w:r>
        <w:rPr>
          <w:rFonts w:ascii="Georgia" w:cs="Georgia" w:eastAsia="Georgia" w:hAnsi="Georgia"/>
          <w:color w:val="1A1A1A"/>
          <w:sz w:val="21"/>
          <w:szCs w:val="21"/>
        </w:rPr>
        <w:t xml:space="preserve"> — the reason one governance model travels from fintech to AI to biotech is that the regulatory patterns rhyme even when the science does not. Demonstrating that you see those patterns is exactly the scalable, replicable model the role wants.</w:t>
      </w: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2 · The Regulatory-Innovation Discipline</w:t>
      </w:r>
    </w:p>
    <w:p>
      <w:pPr>
        <w:spacing w:after="200" w:line="288"/>
      </w:pPr>
      <w:r>
        <w:rPr>
          <w:rFonts w:ascii="Georgia" w:cs="Georgia" w:eastAsia="Georgia" w:hAnsi="Georgia"/>
          <w:i/>
          <w:iCs/>
          <w:color w:val="55606E"/>
          <w:sz w:val="22"/>
          <w:szCs w:val="22"/>
        </w:rPr>
        <w:t xml:space="preserve">This is the deepest layer of the craft and the one an adjacent, consulting-literate candidate can most convincingly master. Treat it as a body of theory with its own instruments, evidence base, and design choices — not a bag of buzzwords.</w:t>
      </w:r>
    </w:p>
    <w:p>
      <w:pPr>
        <w:pStyle w:val="Heading2"/>
        <w:spacing w:after="100" w:before="220"/>
      </w:pPr>
      <w:r>
        <w:rPr>
          <w:rFonts w:ascii="Calibri" w:cs="Calibri" w:eastAsia="Calibri" w:hAnsi="Calibri"/>
          <w:b/>
          <w:bCs/>
          <w:color w:val="2F5D8A"/>
          <w:sz w:val="25"/>
          <w:szCs w:val="25"/>
        </w:rPr>
        <w:t xml:space="preserve">2.1 The problem space</w:t>
      </w:r>
    </w:p>
    <w:p>
      <w:pPr>
        <w:spacing w:after="140" w:line="276"/>
        <w:jc w:val="both"/>
      </w:pPr>
      <w:r>
        <w:rPr>
          <w:rFonts w:ascii="Georgia" w:cs="Georgia" w:eastAsia="Georgia" w:hAnsi="Georgia"/>
          <w:color w:val="1A1A1A"/>
          <w:sz w:val="21"/>
          <w:szCs w:val="21"/>
        </w:rPr>
        <w:t xml:space="preserve">Five linked ideas define the intellectual terrain. Naming them precisely signals that you know the literature.</w:t>
      </w:r>
    </w:p>
    <w:p>
      <w:pPr>
        <w:pStyle w:val="ListParagraph"/>
        <w:numPr>
          <w:ilvl w:val="0"/>
          <w:numId w:val="1"/>
        </w:numPr>
        <w:spacing w:after="70" w:line="268"/>
      </w:pPr>
      <w:r>
        <w:rPr>
          <w:rFonts w:ascii="Georgia" w:cs="Georgia" w:eastAsia="Georgia" w:hAnsi="Georgia"/>
          <w:b/>
          <w:bCs/>
          <w:color w:val="1A1A1A"/>
          <w:sz w:val="21"/>
          <w:szCs w:val="21"/>
        </w:rPr>
        <w:t xml:space="preserve">The pacing problem</w:t>
      </w:r>
      <w:r>
        <w:rPr>
          <w:rFonts w:ascii="Georgia" w:cs="Georgia" w:eastAsia="Georgia" w:hAnsi="Georgia"/>
          <w:color w:val="1A1A1A"/>
          <w:sz w:val="21"/>
          <w:szCs w:val="21"/>
        </w:rPr>
        <w:t xml:space="preserve"> (Marchant). Technology develops exponentially; law develops incrementally. The widening gap leaves citizens with outdated protections </w:t>
      </w:r>
      <w:r>
        <w:rPr>
          <w:rFonts w:ascii="Georgia" w:cs="Georgia" w:eastAsia="Georgia" w:hAnsi="Georgia"/>
          <w:i/>
          <w:iCs/>
          <w:color w:val="1A1A1A"/>
          <w:sz w:val="21"/>
          <w:szCs w:val="21"/>
        </w:rPr>
        <w:t xml:space="preserve">and</w:t>
      </w:r>
      <w:r>
        <w:rPr>
          <w:rFonts w:ascii="Georgia" w:cs="Georgia" w:eastAsia="Georgia" w:hAnsi="Georgia"/>
          <w:color w:val="1A1A1A"/>
          <w:sz w:val="21"/>
          <w:szCs w:val="21"/>
        </w:rPr>
        <w:t xml:space="preserve"> innovators with rules that do not fit — harm and lost opportunity at once.</w:t>
      </w:r>
    </w:p>
    <w:p>
      <w:pPr>
        <w:pStyle w:val="ListParagraph"/>
        <w:numPr>
          <w:ilvl w:val="0"/>
          <w:numId w:val="1"/>
        </w:numPr>
        <w:spacing w:after="70" w:line="268"/>
      </w:pPr>
      <w:r>
        <w:rPr>
          <w:rFonts w:ascii="Georgia" w:cs="Georgia" w:eastAsia="Georgia" w:hAnsi="Georgia"/>
          <w:b/>
          <w:bCs/>
          <w:color w:val="1A1A1A"/>
          <w:sz w:val="21"/>
          <w:szCs w:val="21"/>
        </w:rPr>
        <w:t xml:space="preserve">The Collingridge dilemma</w:t>
      </w:r>
      <w:r>
        <w:rPr>
          <w:rFonts w:ascii="Georgia" w:cs="Georgia" w:eastAsia="Georgia" w:hAnsi="Georgia"/>
          <w:color w:val="1A1A1A"/>
          <w:sz w:val="21"/>
          <w:szCs w:val="21"/>
        </w:rPr>
        <w:t xml:space="preserve"> (the dilemma of control). Early in a technology’s life it is easy to shape but hard to predict; by the time its impacts are clear, it is entrenched and hard to change. Anticipatory governance is the attempt to act in that early, uncertain window.</w:t>
      </w:r>
    </w:p>
    <w:p>
      <w:pPr>
        <w:pStyle w:val="ListParagraph"/>
        <w:numPr>
          <w:ilvl w:val="0"/>
          <w:numId w:val="1"/>
        </w:numPr>
        <w:spacing w:after="70" w:line="268"/>
      </w:pPr>
      <w:r>
        <w:rPr>
          <w:rFonts w:ascii="Georgia" w:cs="Georgia" w:eastAsia="Georgia" w:hAnsi="Georgia"/>
          <w:b/>
          <w:bCs/>
          <w:color w:val="1A1A1A"/>
          <w:sz w:val="21"/>
          <w:szCs w:val="21"/>
        </w:rPr>
        <w:t xml:space="preserve">Precaution vs. permissionless innovation.</w:t>
      </w:r>
      <w:r>
        <w:rPr>
          <w:rFonts w:ascii="Georgia" w:cs="Georgia" w:eastAsia="Georgia" w:hAnsi="Georgia"/>
          <w:color w:val="1A1A1A"/>
          <w:sz w:val="21"/>
          <w:szCs w:val="21"/>
        </w:rPr>
        <w:t xml:space="preserve"> The precautionary principle (dominant in the EU) requires proof of safety before deployment; permissionless innovation (historically dominant in the US) permits, then intervenes on evidence of harm. Most modern regulatory innovation tries to fuse the </w:t>
      </w:r>
      <w:r>
        <w:rPr>
          <w:rFonts w:ascii="Georgia" w:cs="Georgia" w:eastAsia="Georgia" w:hAnsi="Georgia"/>
          <w:i/>
          <w:iCs/>
          <w:color w:val="1A1A1A"/>
          <w:sz w:val="21"/>
          <w:szCs w:val="21"/>
        </w:rPr>
        <w:t xml:space="preserve">learning</w:t>
      </w:r>
      <w:r>
        <w:rPr>
          <w:rFonts w:ascii="Georgia" w:cs="Georgia" w:eastAsia="Georgia" w:hAnsi="Georgia"/>
          <w:color w:val="1A1A1A"/>
          <w:sz w:val="21"/>
          <w:szCs w:val="21"/>
        </w:rPr>
        <w:t xml:space="preserve"> of the second with the </w:t>
      </w:r>
      <w:r>
        <w:rPr>
          <w:rFonts w:ascii="Georgia" w:cs="Georgia" w:eastAsia="Georgia" w:hAnsi="Georgia"/>
          <w:i/>
          <w:iCs/>
          <w:color w:val="1A1A1A"/>
          <w:sz w:val="21"/>
          <w:szCs w:val="21"/>
        </w:rPr>
        <w:t xml:space="preserve">safety</w:t>
      </w:r>
      <w:r>
        <w:rPr>
          <w:rFonts w:ascii="Georgia" w:cs="Georgia" w:eastAsia="Georgia" w:hAnsi="Georgia"/>
          <w:color w:val="1A1A1A"/>
          <w:sz w:val="21"/>
          <w:szCs w:val="21"/>
        </w:rPr>
        <w:t xml:space="preserve"> of the first — which is what a sandbox is.</w:t>
      </w:r>
    </w:p>
    <w:p>
      <w:pPr>
        <w:pStyle w:val="ListParagraph"/>
        <w:numPr>
          <w:ilvl w:val="0"/>
          <w:numId w:val="1"/>
        </w:numPr>
        <w:spacing w:after="70" w:line="268"/>
      </w:pPr>
      <w:r>
        <w:rPr>
          <w:rFonts w:ascii="Georgia" w:cs="Georgia" w:eastAsia="Georgia" w:hAnsi="Georgia"/>
          <w:b/>
          <w:bCs/>
          <w:color w:val="1A1A1A"/>
          <w:sz w:val="21"/>
          <w:szCs w:val="21"/>
        </w:rPr>
        <w:t xml:space="preserve">The innovation principle</w:t>
      </w:r>
      <w:r>
        <w:rPr>
          <w:rFonts w:ascii="Georgia" w:cs="Georgia" w:eastAsia="Georgia" w:hAnsi="Georgia"/>
          <w:color w:val="1A1A1A"/>
          <w:sz w:val="21"/>
          <w:szCs w:val="21"/>
        </w:rPr>
        <w:t xml:space="preserve"> — the idea that regulators should explicitly weigh the cost to innovation of a proposed rule, as a counterweight to precaution. Contested, but increasingly cited in EU better-regulation debates.</w:t>
      </w:r>
    </w:p>
    <w:p>
      <w:pPr>
        <w:pStyle w:val="ListParagraph"/>
        <w:numPr>
          <w:ilvl w:val="0"/>
          <w:numId w:val="1"/>
        </w:numPr>
        <w:spacing w:after="70" w:line="268"/>
      </w:pPr>
      <w:r>
        <w:rPr>
          <w:rFonts w:ascii="Georgia" w:cs="Georgia" w:eastAsia="Georgia" w:hAnsi="Georgia"/>
          <w:b/>
          <w:bCs/>
          <w:color w:val="1A1A1A"/>
          <w:sz w:val="21"/>
          <w:szCs w:val="21"/>
        </w:rPr>
        <w:t xml:space="preserve">Regulatory Impact Assessment (RIA)</w:t>
      </w:r>
      <w:r>
        <w:rPr>
          <w:rFonts w:ascii="Georgia" w:cs="Georgia" w:eastAsia="Georgia" w:hAnsi="Georgia"/>
          <w:color w:val="1A1A1A"/>
          <w:sz w:val="21"/>
          <w:szCs w:val="21"/>
        </w:rPr>
        <w:t xml:space="preserve"> — the workhorse discipline of ex-ante appraisal (costs, benefits, alternatives) that turns regulation from assertion into evidence. The OECD is its custodian.</w:t>
      </w:r>
    </w:p>
    <w:p>
      <w:pPr>
        <w:pStyle w:val="Heading2"/>
        <w:spacing w:after="100" w:before="220"/>
      </w:pPr>
      <w:r>
        <w:rPr>
          <w:rFonts w:ascii="Calibri" w:cs="Calibri" w:eastAsia="Calibri" w:hAnsi="Calibri"/>
          <w:b/>
          <w:bCs/>
          <w:color w:val="2F5D8A"/>
          <w:sz w:val="25"/>
          <w:szCs w:val="25"/>
        </w:rPr>
        <w:t xml:space="preserve">2.2 The five principles of agile regulation</w:t>
      </w:r>
    </w:p>
    <w:p>
      <w:pPr>
        <w:spacing w:after="140" w:line="276"/>
        <w:jc w:val="both"/>
      </w:pPr>
      <w:r>
        <w:rPr>
          <w:rFonts w:ascii="Georgia" w:cs="Georgia" w:eastAsia="Georgia" w:hAnsi="Georgia"/>
          <w:color w:val="1A1A1A"/>
          <w:sz w:val="21"/>
          <w:szCs w:val="21"/>
        </w:rPr>
        <w:t xml:space="preserve">Five principles are the shared vocabulary of the field. They were crystallised by *</w:t>
      </w:r>
      <w:r>
        <w:rPr>
          <w:rFonts w:ascii="Georgia" w:cs="Georgia" w:eastAsia="Georgia" w:hAnsi="Georgia"/>
          <w:i/>
          <w:iCs/>
          <w:color w:val="1A1A1A"/>
          <w:sz w:val="21"/>
          <w:szCs w:val="21"/>
        </w:rPr>
        <w:t xml:space="preserve">Deloitte’s </w:t>
      </w:r>
      <w:r>
        <w:rPr>
          <w:rFonts w:ascii="Georgia" w:cs="Georgia" w:eastAsia="Georgia" w:hAnsi="Georgia"/>
          <w:color w:val="1A1A1A"/>
          <w:sz w:val="21"/>
          <w:szCs w:val="21"/>
        </w:rPr>
        <w:t xml:space="preserve">The Future of Regulation</w:t>
      </w:r>
      <w:r>
        <w:rPr>
          <w:rFonts w:ascii="Georgia" w:cs="Georgia" w:eastAsia="Georgia" w:hAnsi="Georgia"/>
          <w:i/>
          <w:iCs/>
          <w:color w:val="1A1A1A"/>
          <w:sz w:val="21"/>
          <w:szCs w:val="21"/>
        </w:rPr>
        <w:t xml:space="preserve"> (Eggers, Turley and Kishnani, 2018)</w:t>
      </w:r>
      <w:r>
        <w:rPr>
          <w:rFonts w:ascii="Georgia" w:cs="Georgia" w:eastAsia="Georgia" w:hAnsi="Georgia"/>
          <w:i/>
          <w:iCs/>
          <w:color w:val="1A1A1A"/>
          <w:sz w:val="21"/>
          <w:szCs w:val="21"/>
        </w:rPr>
        <w:t xml:space="preserve"> and echoed in the Forum’s </w:t>
      </w:r>
      <w:r>
        <w:rPr>
          <w:rFonts w:ascii="Georgia" w:cs="Georgia" w:eastAsia="Georgia" w:hAnsi="Georgia"/>
          <w:i/>
          <w:iCs/>
          <w:color w:val="1A1A1A"/>
          <w:sz w:val="21"/>
          <w:szCs w:val="21"/>
        </w:rPr>
        <w:t xml:space="preserve">“Agile Regulation for the Fourth Industrial Revolution: A Toolkit for Regulators” (2020)</w:t>
      </w:r>
      <w:r>
        <w:rPr>
          <w:rFonts w:ascii="Georgia" w:cs="Georgia" w:eastAsia="Georgia" w:hAnsi="Georgia"/>
          <w:color w:val="1A1A1A"/>
          <w:sz w:val="21"/>
          <w:szCs w:val="21"/>
        </w:rPr>
        <w:t xml:space="preserve">*. Attribute them accurately — knowing they are Deloitte’s framing adopted into Forum practice is itself a mark of fluency.</w:t>
      </w:r>
    </w:p>
    <w:tbl>
      <w:tblPr>
        <w:tblW w:type="dxa" w:w="9360"/>
        <w:tblBorders>
          <w:top w:val="single" w:color="C9D3E0" w:sz="2"/>
          <w:left w:val="none"/>
          <w:bottom w:val="single" w:color="C9D3E0" w:sz="2"/>
          <w:right w:val="none"/>
          <w:insideH w:val="single" w:color="C9D3E0" w:sz="2"/>
          <w:insideV w:val="single" w:color="C9D3E0" w:sz="2"/>
        </w:tblBorders>
      </w:tblPr>
      <w:tblGrid>
        <w:gridCol w:w="2050"/>
        <w:gridCol w:w="4050"/>
        <w:gridCol w:w="3260"/>
      </w:tblGrid>
      <w:tr>
        <w:trPr>
          <w:tblHeader/>
        </w:trPr>
        <w:tc>
          <w:tcPr>
            <w:tcW w:type="dxa" w:w="205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Principle</w:t>
            </w:r>
          </w:p>
        </w:tc>
        <w:tc>
          <w:tcPr>
            <w:tcW w:type="dxa" w:w="405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Meaning</w:t>
            </w:r>
          </w:p>
        </w:tc>
        <w:tc>
          <w:tcPr>
            <w:tcW w:type="dxa" w:w="32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Example</w:t>
            </w:r>
          </w:p>
        </w:tc>
      </w:tr>
      <w:tr>
        <w:tc>
          <w:tcPr>
            <w:tcW w:type="dxa" w:w="20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Adaptive regulation</w:t>
            </w:r>
          </w:p>
        </w:tc>
        <w:tc>
          <w:tcPr>
            <w:tcW w:type="dxa" w:w="40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“Regulate, monitor, iterate.” Rules are living instruments, revised as evidence accrues, with review clauses built in.</w:t>
            </w:r>
          </w:p>
        </w:tc>
        <w:tc>
          <w:tcPr>
            <w:tcW w:type="dxa" w:w="32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Sunset clauses; scheduled statutory reviews; iterative rulemaking.</w:t>
            </w:r>
          </w:p>
        </w:tc>
      </w:tr>
      <w:tr>
        <w:tc>
          <w:tcPr>
            <w:tcW w:type="dxa" w:w="20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Outcome-based regulation</w:t>
            </w:r>
          </w:p>
        </w:tc>
        <w:tc>
          <w:tcPr>
            <w:tcW w:type="dxa" w:w="40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Specify the outcome to achieve, not the technology or method to use.</w:t>
            </w:r>
          </w:p>
        </w:tc>
        <w:tc>
          <w:tcPr>
            <w:tcW w:type="dxa" w:w="32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“Systems must be safe/explainable” rather than “use algorithm X.”</w:t>
            </w:r>
          </w:p>
        </w:tc>
      </w:tr>
      <w:tr>
        <w:tc>
          <w:tcPr>
            <w:tcW w:type="dxa" w:w="20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Risk-based (risk-weighted) regulation</w:t>
            </w:r>
          </w:p>
        </w:tc>
        <w:tc>
          <w:tcPr>
            <w:tcW w:type="dxa" w:w="40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Concentrate regulatory effort where potential harm is greatest; light-touch where it is low.</w:t>
            </w:r>
          </w:p>
        </w:tc>
        <w:tc>
          <w:tcPr>
            <w:tcW w:type="dxa" w:w="32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EU AI Act’s tiers: unacceptable / high / limited / minimal.</w:t>
            </w:r>
          </w:p>
        </w:tc>
      </w:tr>
      <w:tr>
        <w:tc>
          <w:tcPr>
            <w:tcW w:type="dxa" w:w="20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Collaborative regulation</w:t>
            </w:r>
          </w:p>
        </w:tc>
        <w:tc>
          <w:tcPr>
            <w:tcW w:type="dxa" w:w="40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 and self-regulation with industry; alignment across regulators and borders.</w:t>
            </w:r>
          </w:p>
        </w:tc>
        <w:tc>
          <w:tcPr>
            <w:tcW w:type="dxa" w:w="32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Codes of practice; standards recognised by regulators.</w:t>
            </w:r>
          </w:p>
        </w:tc>
      </w:tr>
      <w:tr>
        <w:tc>
          <w:tcPr>
            <w:tcW w:type="dxa" w:w="20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Regulatory sandboxes</w:t>
            </w:r>
          </w:p>
        </w:tc>
        <w:tc>
          <w:tcPr>
            <w:tcW w:type="dxa" w:w="40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Controlled, time-limited testing with real users under supervision and relaxed rules.</w:t>
            </w:r>
          </w:p>
        </w:tc>
        <w:tc>
          <w:tcPr>
            <w:tcW w:type="dxa" w:w="32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UK FCA fintech sandbox; EU AI Act national sandboxes.</w:t>
            </w:r>
          </w:p>
        </w:tc>
      </w:tr>
    </w:tbl>
    <w:p>
      <w:pPr>
        <w:spacing w:after="80"/>
      </w:pPr>
    </w:p>
    <w:p>
      <w:pPr>
        <w:spacing w:after="140" w:line="276"/>
        <w:jc w:val="both"/>
      </w:pPr>
      <w:r>
        <w:rPr>
          <w:rFonts w:ascii="Georgia" w:cs="Georgia" w:eastAsia="Georgia" w:hAnsi="Georgia"/>
          <w:color w:val="1A1A1A"/>
          <w:sz w:val="21"/>
          <w:szCs w:val="21"/>
        </w:rPr>
        <w:t xml:space="preserve">Around the five sit the rest of the toolkit, worth naming to show range: </w:t>
      </w:r>
      <w:r>
        <w:rPr>
          <w:rFonts w:ascii="Georgia" w:cs="Georgia" w:eastAsia="Georgia" w:hAnsi="Georgia"/>
          <w:b/>
          <w:bCs/>
          <w:color w:val="1A1A1A"/>
          <w:sz w:val="21"/>
          <w:szCs w:val="21"/>
        </w:rPr>
        <w:t xml:space="preserve">experimental regulation</w:t>
      </w:r>
      <w:r>
        <w:rPr>
          <w:rFonts w:ascii="Georgia" w:cs="Georgia" w:eastAsia="Georgia" w:hAnsi="Georgia"/>
          <w:color w:val="1A1A1A"/>
          <w:sz w:val="21"/>
          <w:szCs w:val="21"/>
        </w:rPr>
        <w:t xml:space="preserve"> (regulators and firms jointly run trials), </w:t>
      </w:r>
      <w:r>
        <w:rPr>
          <w:rFonts w:ascii="Georgia" w:cs="Georgia" w:eastAsia="Georgia" w:hAnsi="Georgia"/>
          <w:b/>
          <w:bCs/>
          <w:color w:val="1A1A1A"/>
          <w:sz w:val="21"/>
          <w:szCs w:val="21"/>
        </w:rPr>
        <w:t xml:space="preserve">data-driven regulation</w:t>
      </w:r>
      <w:r>
        <w:rPr>
          <w:rFonts w:ascii="Georgia" w:cs="Georgia" w:eastAsia="Georgia" w:hAnsi="Georgia"/>
          <w:color w:val="1A1A1A"/>
          <w:sz w:val="21"/>
          <w:szCs w:val="21"/>
        </w:rPr>
        <w:t xml:space="preserve"> (real-time, data-led supervision), </w:t>
      </w:r>
      <w:r>
        <w:rPr>
          <w:rFonts w:ascii="Georgia" w:cs="Georgia" w:eastAsia="Georgia" w:hAnsi="Georgia"/>
          <w:b/>
          <w:bCs/>
          <w:color w:val="1A1A1A"/>
          <w:sz w:val="21"/>
          <w:szCs w:val="21"/>
        </w:rPr>
        <w:t xml:space="preserve">self- and co-regulation</w:t>
      </w:r>
      <w:r>
        <w:rPr>
          <w:rFonts w:ascii="Georgia" w:cs="Georgia" w:eastAsia="Georgia" w:hAnsi="Georgia"/>
          <w:color w:val="1A1A1A"/>
          <w:sz w:val="21"/>
          <w:szCs w:val="21"/>
        </w:rPr>
        <w:t xml:space="preserve"> (industry-led governance recognised by the state), </w:t>
      </w:r>
      <w:r>
        <w:rPr>
          <w:rFonts w:ascii="Georgia" w:cs="Georgia" w:eastAsia="Georgia" w:hAnsi="Georgia"/>
          <w:b/>
          <w:bCs/>
          <w:color w:val="1A1A1A"/>
          <w:sz w:val="21"/>
          <w:szCs w:val="21"/>
        </w:rPr>
        <w:t xml:space="preserve">joined-up regulation</w:t>
      </w:r>
      <w:r>
        <w:rPr>
          <w:rFonts w:ascii="Georgia" w:cs="Georgia" w:eastAsia="Georgia" w:hAnsi="Georgia"/>
          <w:color w:val="1A1A1A"/>
          <w:sz w:val="21"/>
          <w:szCs w:val="21"/>
        </w:rPr>
        <w:t xml:space="preserve"> (one-stop shops across agencies), and </w:t>
      </w:r>
      <w:r>
        <w:rPr>
          <w:rFonts w:ascii="Georgia" w:cs="Georgia" w:eastAsia="Georgia" w:hAnsi="Georgia"/>
          <w:b/>
          <w:bCs/>
          <w:color w:val="1A1A1A"/>
          <w:sz w:val="21"/>
          <w:szCs w:val="21"/>
        </w:rPr>
        <w:t xml:space="preserve">international regulatory cooperation</w:t>
      </w:r>
      <w:r>
        <w:rPr>
          <w:rFonts w:ascii="Georgia" w:cs="Georgia" w:eastAsia="Georgia" w:hAnsi="Georgia"/>
          <w:color w:val="1A1A1A"/>
          <w:sz w:val="21"/>
          <w:szCs w:val="21"/>
        </w:rPr>
        <w:t xml:space="preserve">.</w:t>
      </w:r>
    </w:p>
    <w:p>
      <w:pPr>
        <w:pStyle w:val="Heading2"/>
        <w:spacing w:after="100" w:before="220"/>
      </w:pPr>
      <w:r>
        <w:rPr>
          <w:rFonts w:ascii="Calibri" w:cs="Calibri" w:eastAsia="Calibri" w:hAnsi="Calibri"/>
          <w:b/>
          <w:bCs/>
          <w:color w:val="2F5D8A"/>
          <w:sz w:val="25"/>
          <w:szCs w:val="25"/>
        </w:rPr>
        <w:t xml:space="preserve">2.3 Regulatory sandboxes — the flagship instrument, in depth</w:t>
      </w:r>
    </w:p>
    <w:p>
      <w:pPr>
        <w:spacing w:after="140" w:line="276"/>
        <w:jc w:val="both"/>
      </w:pPr>
      <w:r>
        <w:rPr>
          <w:rFonts w:ascii="Georgia" w:cs="Georgia" w:eastAsia="Georgia" w:hAnsi="Georgia"/>
          <w:color w:val="1A1A1A"/>
          <w:sz w:val="21"/>
          <w:szCs w:val="21"/>
        </w:rPr>
        <w:t xml:space="preserve">The sandbox is the single most important instrument to discuss fluently: it is the field’s signature idea and GRIP’s own “Innovation Hub.” A regulatory sandbox is a </w:t>
      </w:r>
      <w:r>
        <w:rPr>
          <w:rFonts w:ascii="Georgia" w:cs="Georgia" w:eastAsia="Georgia" w:hAnsi="Georgia"/>
          <w:b/>
          <w:bCs/>
          <w:color w:val="1A1A1A"/>
          <w:sz w:val="21"/>
          <w:szCs w:val="21"/>
        </w:rPr>
        <w:t xml:space="preserve">controlled, time-limited environment in which firms test new products, services or business models with real customers, under close supervision, with certain rules relaxed or waived and with safeguards</w:t>
      </w:r>
      <w:r>
        <w:rPr>
          <w:rFonts w:ascii="Georgia" w:cs="Georgia" w:eastAsia="Georgia" w:hAnsi="Georgia"/>
          <w:color w:val="1A1A1A"/>
          <w:sz w:val="21"/>
          <w:szCs w:val="21"/>
        </w:rPr>
        <w:t xml:space="preserve"> (participant caps, disclosure, insurance, exit plans).</w:t>
      </w:r>
    </w:p>
    <w:p>
      <w:pPr>
        <w:pStyle w:val="Heading3"/>
        <w:spacing w:after="70" w:before="160"/>
      </w:pPr>
      <w:r>
        <w:rPr>
          <w:rFonts w:ascii="Calibri" w:cs="Calibri" w:eastAsia="Calibri" w:hAnsi="Calibri"/>
          <w:b/>
          <w:bCs/>
          <w:color w:val="1F2A44"/>
          <w:sz w:val="22"/>
          <w:szCs w:val="22"/>
        </w:rPr>
        <w:t xml:space="preserve">Origin, spread and the numbers</w:t>
      </w:r>
    </w:p>
    <w:p>
      <w:pPr>
        <w:pStyle w:val="ListParagraph"/>
        <w:numPr>
          <w:ilvl w:val="0"/>
          <w:numId w:val="1"/>
        </w:numPr>
        <w:spacing w:after="70" w:line="268"/>
      </w:pPr>
      <w:r>
        <w:rPr>
          <w:rFonts w:ascii="Georgia" w:cs="Georgia" w:eastAsia="Georgia" w:hAnsi="Georgia"/>
          <w:b/>
          <w:bCs/>
          <w:color w:val="1A1A1A"/>
          <w:sz w:val="21"/>
          <w:szCs w:val="21"/>
        </w:rPr>
        <w:t xml:space="preserve">Origin:</w:t>
      </w:r>
      <w:r>
        <w:rPr>
          <w:rFonts w:ascii="Georgia" w:cs="Georgia" w:eastAsia="Georgia" w:hAnsi="Georgia"/>
          <w:color w:val="1A1A1A"/>
          <w:sz w:val="21"/>
          <w:szCs w:val="21"/>
        </w:rPr>
        <w:t xml:space="preserve"> pioneered by the UK’s Financial Conduct Authority (FCA) for fintech in </w:t>
      </w:r>
      <w:r>
        <w:rPr>
          <w:rFonts w:ascii="Georgia" w:cs="Georgia" w:eastAsia="Georgia" w:hAnsi="Georgia"/>
          <w:b/>
          <w:bCs/>
          <w:color w:val="1A1A1A"/>
          <w:sz w:val="21"/>
          <w:szCs w:val="21"/>
        </w:rPr>
        <w:t xml:space="preserve">2016</w:t>
      </w:r>
      <w:r>
        <w:rPr>
          <w:rFonts w:ascii="Georgia" w:cs="Georgia" w:eastAsia="Georgia" w:hAnsi="Georgia"/>
          <w:color w:val="1A1A1A"/>
          <w:sz w:val="21"/>
          <w:szCs w:val="21"/>
        </w:rPr>
        <w:t xml:space="preserve">; now “a decade on,” the model has diffused across finance, energy, health, mobility and data.</w:t>
      </w:r>
    </w:p>
    <w:p>
      <w:pPr>
        <w:pStyle w:val="ListParagraph"/>
        <w:numPr>
          <w:ilvl w:val="0"/>
          <w:numId w:val="1"/>
        </w:numPr>
        <w:spacing w:after="70" w:line="268"/>
      </w:pPr>
      <w:r>
        <w:rPr>
          <w:rFonts w:ascii="Georgia" w:cs="Georgia" w:eastAsia="Georgia" w:hAnsi="Georgia"/>
          <w:b/>
          <w:bCs/>
          <w:color w:val="1A1A1A"/>
          <w:sz w:val="21"/>
          <w:szCs w:val="21"/>
        </w:rPr>
        <w:t xml:space="preserve">Scale:</w:t>
      </w:r>
      <w:r>
        <w:rPr>
          <w:rFonts w:ascii="Georgia" w:cs="Georgia" w:eastAsia="Georgia" w:hAnsi="Georgia"/>
          <w:color w:val="1A1A1A"/>
          <w:sz w:val="21"/>
          <w:szCs w:val="21"/>
        </w:rPr>
        <w:t xml:space="preserve"> by 2025 there were </w:t>
      </w:r>
      <w:r>
        <w:rPr>
          <w:rFonts w:ascii="Georgia" w:cs="Georgia" w:eastAsia="Georgia" w:hAnsi="Georgia"/>
          <w:b/>
          <w:bCs/>
          <w:color w:val="1A1A1A"/>
          <w:sz w:val="21"/>
          <w:szCs w:val="21"/>
        </w:rPr>
        <w:t xml:space="preserve">60+ sandboxes</w:t>
      </w:r>
      <w:r>
        <w:rPr>
          <w:rFonts w:ascii="Georgia" w:cs="Georgia" w:eastAsia="Georgia" w:hAnsi="Georgia"/>
          <w:color w:val="1A1A1A"/>
          <w:sz w:val="21"/>
          <w:szCs w:val="21"/>
        </w:rPr>
        <w:t xml:space="preserve"> touching data, AI or technology worldwide, of which roughly </w:t>
      </w:r>
      <w:r>
        <w:rPr>
          <w:rFonts w:ascii="Georgia" w:cs="Georgia" w:eastAsia="Georgia" w:hAnsi="Georgia"/>
          <w:b/>
          <w:bCs/>
          <w:color w:val="1A1A1A"/>
          <w:sz w:val="21"/>
          <w:szCs w:val="21"/>
        </w:rPr>
        <w:t xml:space="preserve">31 are national AI-focused</w:t>
      </w:r>
      <w:r>
        <w:rPr>
          <w:rFonts w:ascii="Georgia" w:cs="Georgia" w:eastAsia="Georgia" w:hAnsi="Georgia"/>
          <w:color w:val="1A1A1A"/>
          <w:sz w:val="21"/>
          <w:szCs w:val="21"/>
        </w:rPr>
        <w:t xml:space="preserve"> sandboxes (Datasphere Initiative). Jurisdictions include the UK, Singapore, the UAE, Brazil, France, Kenya and Utah (US).</w:t>
      </w:r>
    </w:p>
    <w:p>
      <w:pPr>
        <w:pStyle w:val="ListParagraph"/>
        <w:numPr>
          <w:ilvl w:val="0"/>
          <w:numId w:val="1"/>
        </w:numPr>
        <w:spacing w:after="70" w:line="268"/>
      </w:pPr>
      <w:r>
        <w:rPr>
          <w:rFonts w:ascii="Georgia" w:cs="Georgia" w:eastAsia="Georgia" w:hAnsi="Georgia"/>
          <w:b/>
          <w:bCs/>
          <w:color w:val="1A1A1A"/>
          <w:sz w:val="21"/>
          <w:szCs w:val="21"/>
        </w:rPr>
        <w:t xml:space="preserve">Evidence it works — cautiously:</w:t>
      </w:r>
      <w:r>
        <w:rPr>
          <w:rFonts w:ascii="Georgia" w:cs="Georgia" w:eastAsia="Georgia" w:hAnsi="Georgia"/>
          <w:color w:val="1A1A1A"/>
          <w:sz w:val="21"/>
          <w:szCs w:val="21"/>
        </w:rPr>
        <w:t xml:space="preserve"> the best-identified study finds the UK FCA sandbox </w:t>
      </w:r>
      <w:r>
        <w:rPr>
          <w:rFonts w:ascii="Georgia" w:cs="Georgia" w:eastAsia="Georgia" w:hAnsi="Georgia"/>
          <w:b/>
          <w:bCs/>
          <w:color w:val="1A1A1A"/>
          <w:sz w:val="21"/>
          <w:szCs w:val="21"/>
        </w:rPr>
        <w:t xml:space="preserve">increased participants’ capital raised by ~15%</w:t>
      </w:r>
      <w:r>
        <w:rPr>
          <w:rFonts w:ascii="Georgia" w:cs="Georgia" w:eastAsia="Georgia" w:hAnsi="Georgia"/>
          <w:color w:val="1A1A1A"/>
          <w:sz w:val="21"/>
          <w:szCs w:val="21"/>
        </w:rPr>
        <w:t xml:space="preserve"> and </w:t>
      </w:r>
      <w:r>
        <w:rPr>
          <w:rFonts w:ascii="Georgia" w:cs="Georgia" w:eastAsia="Georgia" w:hAnsi="Georgia"/>
          <w:b/>
          <w:bCs/>
          <w:color w:val="1A1A1A"/>
          <w:sz w:val="21"/>
          <w:szCs w:val="21"/>
        </w:rPr>
        <w:t xml:space="preserve">raised the probability of raising capital by ~50%</w:t>
      </w:r>
      <w:r>
        <w:rPr>
          <w:rFonts w:ascii="Georgia" w:cs="Georgia" w:eastAsia="Georgia" w:hAnsi="Georgia"/>
          <w:color w:val="1A1A1A"/>
          <w:sz w:val="21"/>
          <w:szCs w:val="21"/>
        </w:rPr>
        <w:t xml:space="preserve">, with positive correlation between sandboxes and fintech investment inflows.</w:t>
      </w:r>
    </w:p>
    <w:p>
      <w:pPr>
        <w:pStyle w:val="ListParagraph"/>
        <w:numPr>
          <w:ilvl w:val="0"/>
          <w:numId w:val="1"/>
        </w:numPr>
        <w:spacing w:after="70" w:line="268"/>
      </w:pPr>
      <w:r>
        <w:rPr>
          <w:rFonts w:ascii="Georgia" w:cs="Georgia" w:eastAsia="Georgia" w:hAnsi="Georgia"/>
          <w:b/>
          <w:bCs/>
          <w:color w:val="1A1A1A"/>
          <w:sz w:val="21"/>
          <w:szCs w:val="21"/>
        </w:rPr>
        <w:t xml:space="preserve">Evidence it is oversold:</w:t>
      </w:r>
      <w:r>
        <w:rPr>
          <w:rFonts w:ascii="Georgia" w:cs="Georgia" w:eastAsia="Georgia" w:hAnsi="Georgia"/>
          <w:color w:val="1A1A1A"/>
          <w:sz w:val="21"/>
          <w:szCs w:val="21"/>
        </w:rPr>
        <w:t xml:space="preserve"> a decade on there is still no academic consensus that sandboxes improve the broader enterprise of regulation; the identified benefits accrue mainly to </w:t>
      </w:r>
      <w:r>
        <w:rPr>
          <w:rFonts w:ascii="Georgia" w:cs="Georgia" w:eastAsia="Georgia" w:hAnsi="Georgia"/>
          <w:i/>
          <w:iCs/>
          <w:color w:val="1A1A1A"/>
          <w:sz w:val="21"/>
          <w:szCs w:val="21"/>
        </w:rPr>
        <w:t xml:space="preserve">participating firms</w:t>
      </w:r>
      <w:r>
        <w:rPr>
          <w:rFonts w:ascii="Georgia" w:cs="Georgia" w:eastAsia="Georgia" w:hAnsi="Georgia"/>
          <w:color w:val="1A1A1A"/>
          <w:sz w:val="21"/>
          <w:szCs w:val="21"/>
        </w:rPr>
        <w:t xml:space="preserve">, not to the regulatory system or consumers at large.</w:t>
      </w:r>
    </w:p>
    <w:p>
      <w:pPr>
        <w:pStyle w:val="Heading3"/>
        <w:spacing w:after="70" w:before="160"/>
      </w:pPr>
      <w:r>
        <w:rPr>
          <w:rFonts w:ascii="Calibri" w:cs="Calibri" w:eastAsia="Calibri" w:hAnsi="Calibri"/>
          <w:b/>
          <w:bCs/>
          <w:color w:val="1F2A44"/>
          <w:sz w:val="22"/>
          <w:szCs w:val="22"/>
        </w:rPr>
        <w:t xml:space="preserve">Design choices (what you actually decide when you build one)</w:t>
      </w:r>
    </w:p>
    <w:p>
      <w:pPr>
        <w:spacing w:after="140" w:line="276"/>
        <w:jc w:val="both"/>
      </w:pPr>
      <w:r>
        <w:rPr>
          <w:rFonts w:ascii="Georgia" w:cs="Georgia" w:eastAsia="Georgia" w:hAnsi="Georgia"/>
          <w:color w:val="1A1A1A"/>
          <w:sz w:val="21"/>
          <w:szCs w:val="21"/>
        </w:rPr>
        <w:t xml:space="preserve">Sound like a practitioner by naming the design levers: </w:t>
      </w:r>
      <w:r>
        <w:rPr>
          <w:rFonts w:ascii="Georgia" w:cs="Georgia" w:eastAsia="Georgia" w:hAnsi="Georgia"/>
          <w:b/>
          <w:bCs/>
          <w:color w:val="1A1A1A"/>
          <w:sz w:val="21"/>
          <w:szCs w:val="21"/>
        </w:rPr>
        <w:t xml:space="preserve">eligibility</w:t>
      </w:r>
      <w:r>
        <w:rPr>
          <w:rFonts w:ascii="Georgia" w:cs="Georgia" w:eastAsia="Georgia" w:hAnsi="Georgia"/>
          <w:color w:val="1A1A1A"/>
          <w:sz w:val="21"/>
          <w:szCs w:val="21"/>
        </w:rPr>
        <w:t xml:space="preserve"> (which firms/technologies), </w:t>
      </w:r>
      <w:r>
        <w:rPr>
          <w:rFonts w:ascii="Georgia" w:cs="Georgia" w:eastAsia="Georgia" w:hAnsi="Georgia"/>
          <w:b/>
          <w:bCs/>
          <w:color w:val="1A1A1A"/>
          <w:sz w:val="21"/>
          <w:szCs w:val="21"/>
        </w:rPr>
        <w:t xml:space="preserve">scope of relaxation</w:t>
      </w:r>
      <w:r>
        <w:rPr>
          <w:rFonts w:ascii="Georgia" w:cs="Georgia" w:eastAsia="Georgia" w:hAnsi="Georgia"/>
          <w:color w:val="1A1A1A"/>
          <w:sz w:val="21"/>
          <w:szCs w:val="21"/>
        </w:rPr>
        <w:t xml:space="preserve"> (which rules waived, which never), </w:t>
      </w:r>
      <w:r>
        <w:rPr>
          <w:rFonts w:ascii="Georgia" w:cs="Georgia" w:eastAsia="Georgia" w:hAnsi="Georgia"/>
          <w:b/>
          <w:bCs/>
          <w:color w:val="1A1A1A"/>
          <w:sz w:val="21"/>
          <w:szCs w:val="21"/>
        </w:rPr>
        <w:t xml:space="preserve">safeguards</w:t>
      </w:r>
      <w:r>
        <w:rPr>
          <w:rFonts w:ascii="Georgia" w:cs="Georgia" w:eastAsia="Georgia" w:hAnsi="Georgia"/>
          <w:color w:val="1A1A1A"/>
          <w:sz w:val="21"/>
          <w:szCs w:val="21"/>
        </w:rPr>
        <w:t xml:space="preserve"> (caps, disclosure, insurance, kill-switches), </w:t>
      </w:r>
      <w:r>
        <w:rPr>
          <w:rFonts w:ascii="Georgia" w:cs="Georgia" w:eastAsia="Georgia" w:hAnsi="Georgia"/>
          <w:b/>
          <w:bCs/>
          <w:color w:val="1A1A1A"/>
          <w:sz w:val="21"/>
          <w:szCs w:val="21"/>
        </w:rPr>
        <w:t xml:space="preserve">duration and cohorts</w:t>
      </w:r>
      <w:r>
        <w:rPr>
          <w:rFonts w:ascii="Georgia" w:cs="Georgia" w:eastAsia="Georgia" w:hAnsi="Georgia"/>
          <w:color w:val="1A1A1A"/>
          <w:sz w:val="21"/>
          <w:szCs w:val="21"/>
        </w:rPr>
        <w:t xml:space="preserve"> (fixed windows vs rolling), </w:t>
      </w:r>
      <w:r>
        <w:rPr>
          <w:rFonts w:ascii="Georgia" w:cs="Georgia" w:eastAsia="Georgia" w:hAnsi="Georgia"/>
          <w:b/>
          <w:bCs/>
          <w:color w:val="1A1A1A"/>
          <w:sz w:val="21"/>
          <w:szCs w:val="21"/>
        </w:rPr>
        <w:t xml:space="preserve">supervisory intensity</w:t>
      </w:r>
      <w:r>
        <w:rPr>
          <w:rFonts w:ascii="Georgia" w:cs="Georgia" w:eastAsia="Georgia" w:hAnsi="Georgia"/>
          <w:color w:val="1A1A1A"/>
          <w:sz w:val="21"/>
          <w:szCs w:val="21"/>
        </w:rPr>
        <w:t xml:space="preserve">, </w:t>
      </w:r>
      <w:r>
        <w:rPr>
          <w:rFonts w:ascii="Georgia" w:cs="Georgia" w:eastAsia="Georgia" w:hAnsi="Georgia"/>
          <w:b/>
          <w:bCs/>
          <w:color w:val="1A1A1A"/>
          <w:sz w:val="21"/>
          <w:szCs w:val="21"/>
        </w:rPr>
        <w:t xml:space="preserve">exit/graduation path</w:t>
      </w:r>
      <w:r>
        <w:rPr>
          <w:rFonts w:ascii="Georgia" w:cs="Georgia" w:eastAsia="Georgia" w:hAnsi="Georgia"/>
          <w:color w:val="1A1A1A"/>
          <w:sz w:val="21"/>
          <w:szCs w:val="21"/>
        </w:rPr>
        <w:t xml:space="preserve"> (how a tested innovation moves to permanent rules), and </w:t>
      </w:r>
      <w:r>
        <w:rPr>
          <w:rFonts w:ascii="Georgia" w:cs="Georgia" w:eastAsia="Georgia" w:hAnsi="Georgia"/>
          <w:b/>
          <w:bCs/>
          <w:color w:val="1A1A1A"/>
          <w:sz w:val="21"/>
          <w:szCs w:val="21"/>
        </w:rPr>
        <w:t xml:space="preserve">cross-border design</w:t>
      </w:r>
      <w:r>
        <w:rPr>
          <w:rFonts w:ascii="Georgia" w:cs="Georgia" w:eastAsia="Georgia" w:hAnsi="Georgia"/>
          <w:color w:val="1A1A1A"/>
          <w:sz w:val="21"/>
          <w:szCs w:val="21"/>
        </w:rPr>
        <w:t xml:space="preserve"> (single vs multi-regulator). The EU AI Act </w:t>
      </w:r>
      <w:r>
        <w:rPr>
          <w:rFonts w:ascii="Georgia" w:cs="Georgia" w:eastAsia="Georgia" w:hAnsi="Georgia"/>
          <w:b/>
          <w:bCs/>
          <w:color w:val="1A1A1A"/>
          <w:sz w:val="21"/>
          <w:szCs w:val="21"/>
        </w:rPr>
        <w:t xml:space="preserve">mandates that every member state establish at least one AI regulatory sandbox by 2 August 2026</w:t>
      </w:r>
      <w:r>
        <w:rPr>
          <w:rFonts w:ascii="Georgia" w:cs="Georgia" w:eastAsia="Georgia" w:hAnsi="Georgia"/>
          <w:color w:val="1A1A1A"/>
          <w:sz w:val="21"/>
          <w:szCs w:val="21"/>
        </w:rPr>
        <w:t xml:space="preserve"> (Articles 57–58) — a concrete, current fact to deploy.</w:t>
      </w:r>
    </w:p>
    <w:p>
      <w:pPr>
        <w:pStyle w:val="Heading3"/>
        <w:spacing w:after="70" w:before="160"/>
      </w:pPr>
      <w:r>
        <w:rPr>
          <w:rFonts w:ascii="Calibri" w:cs="Calibri" w:eastAsia="Calibri" w:hAnsi="Calibri"/>
          <w:b/>
          <w:bCs/>
          <w:color w:val="1F2A44"/>
          <w:sz w:val="22"/>
          <w:szCs w:val="22"/>
        </w:rPr>
        <w:t xml:space="preserve">The honest critiques (say these unprompted — it signals maturity)</w:t>
      </w:r>
    </w:p>
    <w:p>
      <w:pPr>
        <w:pStyle w:val="ListParagraph"/>
        <w:numPr>
          <w:ilvl w:val="0"/>
          <w:numId w:val="1"/>
        </w:numPr>
        <w:spacing w:after="70" w:line="268"/>
      </w:pPr>
      <w:r>
        <w:rPr>
          <w:rFonts w:ascii="Georgia" w:cs="Georgia" w:eastAsia="Georgia" w:hAnsi="Georgia"/>
          <w:b/>
          <w:bCs/>
          <w:color w:val="1A1A1A"/>
          <w:sz w:val="21"/>
          <w:szCs w:val="21"/>
        </w:rPr>
        <w:t xml:space="preserve">The sandbox paradox / regulatory privilege:</w:t>
      </w:r>
      <w:r>
        <w:rPr>
          <w:rFonts w:ascii="Georgia" w:cs="Georgia" w:eastAsia="Georgia" w:hAnsi="Georgia"/>
          <w:color w:val="1A1A1A"/>
          <w:sz w:val="21"/>
          <w:szCs w:val="21"/>
        </w:rPr>
        <w:t xml:space="preserve"> relaxing rules for sandbox entrants can create unequal treatment — participants face different liability for comparable conduct — advantaging insiders and well-resourced incumbents.</w:t>
      </w:r>
    </w:p>
    <w:p>
      <w:pPr>
        <w:pStyle w:val="ListParagraph"/>
        <w:numPr>
          <w:ilvl w:val="0"/>
          <w:numId w:val="1"/>
        </w:numPr>
        <w:spacing w:after="70" w:line="268"/>
      </w:pPr>
      <w:r>
        <w:rPr>
          <w:rFonts w:ascii="Georgia" w:cs="Georgia" w:eastAsia="Georgia" w:hAnsi="Georgia"/>
          <w:b/>
          <w:bCs/>
          <w:color w:val="1A1A1A"/>
          <w:sz w:val="21"/>
          <w:szCs w:val="21"/>
        </w:rPr>
        <w:t xml:space="preserve">The graduation problem:</w:t>
      </w:r>
      <w:r>
        <w:rPr>
          <w:rFonts w:ascii="Georgia" w:cs="Georgia" w:eastAsia="Georgia" w:hAnsi="Georgia"/>
          <w:color w:val="1A1A1A"/>
          <w:sz w:val="21"/>
          <w:szCs w:val="21"/>
        </w:rPr>
        <w:t xml:space="preserve"> sandboxes generate learning that does not automatically become rules; without a codification plan the lessons evaporate.</w:t>
      </w:r>
    </w:p>
    <w:p>
      <w:pPr>
        <w:pStyle w:val="ListParagraph"/>
        <w:numPr>
          <w:ilvl w:val="0"/>
          <w:numId w:val="1"/>
        </w:numPr>
        <w:spacing w:after="70" w:line="268"/>
      </w:pPr>
      <w:r>
        <w:rPr>
          <w:rFonts w:ascii="Georgia" w:cs="Georgia" w:eastAsia="Georgia" w:hAnsi="Georgia"/>
          <w:b/>
          <w:bCs/>
          <w:color w:val="1A1A1A"/>
          <w:sz w:val="21"/>
          <w:szCs w:val="21"/>
        </w:rPr>
        <w:t xml:space="preserve">The triple challenge for AI sandboxes</w:t>
      </w:r>
      <w:r>
        <w:rPr>
          <w:rFonts w:ascii="Georgia" w:cs="Georgia" w:eastAsia="Georgia" w:hAnsi="Georgia"/>
          <w:color w:val="1A1A1A"/>
          <w:sz w:val="21"/>
          <w:szCs w:val="21"/>
        </w:rPr>
        <w:t xml:space="preserve"> (capacity, coordination, attractiveness): regulators often lack the technical capacity to run them, member states struggle to coordinate, and the most capable AI firms may not find them attractive enough to join.</w:t>
      </w:r>
    </w:p>
    <w:p>
      <w:pPr>
        <w:pStyle w:val="ListParagraph"/>
        <w:numPr>
          <w:ilvl w:val="0"/>
          <w:numId w:val="1"/>
        </w:numPr>
        <w:spacing w:after="70" w:line="268"/>
      </w:pPr>
      <w:r>
        <w:rPr>
          <w:rFonts w:ascii="Georgia" w:cs="Georgia" w:eastAsia="Georgia" w:hAnsi="Georgia"/>
          <w:b/>
          <w:bCs/>
          <w:color w:val="1A1A1A"/>
          <w:sz w:val="21"/>
          <w:szCs w:val="21"/>
        </w:rPr>
        <w:t xml:space="preserve">PR risk:</w:t>
      </w:r>
      <w:r>
        <w:rPr>
          <w:rFonts w:ascii="Georgia" w:cs="Georgia" w:eastAsia="Georgia" w:hAnsi="Georgia"/>
          <w:color w:val="1A1A1A"/>
          <w:sz w:val="21"/>
          <w:szCs w:val="21"/>
        </w:rPr>
        <w:t xml:space="preserve"> a sandbox with no supervisory capacity behind it becomes a marketing exercise rather than a learning engine.</w:t>
      </w:r>
    </w:p>
    <w:tbl>
      <w:tblPr>
        <w:tblW w:type="pct" w:w="100%"/>
        <w:tblBorders>
          <w:top w:val="single" w:color="2F5D8A" w:sz="4"/>
          <w:left w:val="single" w:color="2F5D8A" w:sz="24"/>
          <w:bottom w:val="single" w:color="2F5D8A" w:sz="4"/>
          <w:right w:val="single" w:color="2F5D8A" w:sz="4"/>
          <w:insideH w:val="none"/>
          <w:insideV w:val="none"/>
        </w:tblBorders>
      </w:tblPr>
      <w:tblGrid>
        <w:gridCol w:w="9360"/>
      </w:tblGrid>
      <w:tr>
        <w:tc>
          <w:tcPr>
            <w:tcW w:type="dxa" w:w="9360"/>
            <w:shd w:fill="EEF3F9" w:val="clear"/>
            <w:tcMar>
              <w:top w:type="dxa" w:w="120"/>
              <w:left w:type="dxa" w:w="200"/>
              <w:bottom w:type="dxa" w:w="120"/>
              <w:right w:type="dxa" w:w="200"/>
            </w:tcMar>
          </w:tcPr>
          <w:p>
            <w:pPr>
              <w:spacing w:after="0" w:line="264"/>
            </w:pPr>
            <w:r>
              <w:rPr>
                <w:rFonts w:ascii="Georgia" w:cs="Georgia" w:eastAsia="Georgia" w:hAnsi="Georgia"/>
                <w:b/>
                <w:bCs/>
                <w:color w:val="1F2A44"/>
                <w:sz w:val="20"/>
                <w:szCs w:val="20"/>
              </w:rPr>
              <w:t xml:space="preserve">The one-line judgement to deliver:</w:t>
            </w:r>
            <w:r>
              <w:rPr>
                <w:rFonts w:ascii="Georgia" w:cs="Georgia" w:eastAsia="Georgia" w:hAnsi="Georgia"/>
                <w:color w:val="1F2A44"/>
                <w:sz w:val="20"/>
                <w:szCs w:val="20"/>
              </w:rPr>
              <w:t xml:space="preserve"> “A sandbox is an experiment, not an answer. Its value is the learning loop back to the rulebook — so I never propose one without a codification plan, real supervisory capacity, and safeguards against turning a regulatory relaxation into a competitive privilege.”</w:t>
            </w:r>
          </w:p>
        </w:tc>
      </w:tr>
    </w:tbl>
    <w:p>
      <w:pPr>
        <w:spacing w:after="80"/>
      </w:pPr>
    </w:p>
    <w:p>
      <w:pPr>
        <w:pStyle w:val="Heading2"/>
        <w:spacing w:after="100" w:before="220"/>
      </w:pPr>
      <w:r>
        <w:rPr>
          <w:rFonts w:ascii="Calibri" w:cs="Calibri" w:eastAsia="Calibri" w:hAnsi="Calibri"/>
          <w:b/>
          <w:bCs/>
          <w:color w:val="2F5D8A"/>
          <w:sz w:val="25"/>
          <w:szCs w:val="25"/>
        </w:rPr>
        <w:t xml:space="preserve">2.4 Anticipatory and adaptive governance</w:t>
      </w:r>
    </w:p>
    <w:p>
      <w:pPr>
        <w:spacing w:after="140" w:line="276"/>
        <w:jc w:val="both"/>
      </w:pPr>
      <w:r>
        <w:rPr>
          <w:rFonts w:ascii="Georgia" w:cs="Georgia" w:eastAsia="Georgia" w:hAnsi="Georgia"/>
          <w:color w:val="1A1A1A"/>
          <w:sz w:val="21"/>
          <w:szCs w:val="21"/>
        </w:rPr>
        <w:t xml:space="preserve">If the sandbox is the instrument, </w:t>
      </w:r>
      <w:r>
        <w:rPr>
          <w:rFonts w:ascii="Georgia" w:cs="Georgia" w:eastAsia="Georgia" w:hAnsi="Georgia"/>
          <w:b/>
          <w:bCs/>
          <w:color w:val="1A1A1A"/>
          <w:sz w:val="21"/>
          <w:szCs w:val="21"/>
        </w:rPr>
        <w:t xml:space="preserve">anticipatory governance</w:t>
      </w:r>
      <w:r>
        <w:rPr>
          <w:rFonts w:ascii="Georgia" w:cs="Georgia" w:eastAsia="Georgia" w:hAnsi="Georgia"/>
          <w:color w:val="1A1A1A"/>
          <w:sz w:val="21"/>
          <w:szCs w:val="21"/>
        </w:rPr>
        <w:t xml:space="preserve"> is the mindset. The current framing describes a culture built on three capabilities:</w:t>
      </w:r>
    </w:p>
    <w:p>
      <w:pPr>
        <w:pStyle w:val="ListParagraph"/>
        <w:numPr>
          <w:ilvl w:val="0"/>
          <w:numId w:val="2"/>
        </w:numPr>
        <w:spacing w:after="70" w:line="268"/>
      </w:pPr>
      <w:r>
        <w:rPr>
          <w:rFonts w:ascii="Georgia" w:cs="Georgia" w:eastAsia="Georgia" w:hAnsi="Georgia"/>
          <w:b/>
          <w:bCs/>
          <w:color w:val="1A1A1A"/>
          <w:sz w:val="21"/>
          <w:szCs w:val="21"/>
        </w:rPr>
        <w:t xml:space="preserve">Regulatory foresight</w:t>
      </w:r>
      <w:r>
        <w:rPr>
          <w:rFonts w:ascii="Georgia" w:cs="Georgia" w:eastAsia="Georgia" w:hAnsi="Georgia"/>
          <w:color w:val="1A1A1A"/>
          <w:sz w:val="21"/>
          <w:szCs w:val="21"/>
        </w:rPr>
        <w:t xml:space="preserve"> — systematic horizon-scanning and scenario work to see technologies coming (the antidote to the Collingridge dilemma).</w:t>
      </w:r>
    </w:p>
    <w:p>
      <w:pPr>
        <w:pStyle w:val="ListParagraph"/>
        <w:numPr>
          <w:ilvl w:val="0"/>
          <w:numId w:val="2"/>
        </w:numPr>
        <w:spacing w:after="70" w:line="268"/>
      </w:pPr>
      <w:r>
        <w:rPr>
          <w:rFonts w:ascii="Georgia" w:cs="Georgia" w:eastAsia="Georgia" w:hAnsi="Georgia"/>
          <w:b/>
          <w:bCs/>
          <w:color w:val="1A1A1A"/>
          <w:sz w:val="21"/>
          <w:szCs w:val="21"/>
        </w:rPr>
        <w:t xml:space="preserve">Regulatory experimentation</w:t>
      </w:r>
      <w:r>
        <w:rPr>
          <w:rFonts w:ascii="Georgia" w:cs="Georgia" w:eastAsia="Georgia" w:hAnsi="Georgia"/>
          <w:color w:val="1A1A1A"/>
          <w:sz w:val="21"/>
          <w:szCs w:val="21"/>
        </w:rPr>
        <w:t xml:space="preserve"> — sandboxes, pilots, testbeds and living labs that generate real-world evidence before rules are fixed.</w:t>
      </w:r>
    </w:p>
    <w:p>
      <w:pPr>
        <w:pStyle w:val="ListParagraph"/>
        <w:numPr>
          <w:ilvl w:val="0"/>
          <w:numId w:val="2"/>
        </w:numPr>
        <w:spacing w:after="70" w:line="268"/>
      </w:pPr>
      <w:r>
        <w:rPr>
          <w:rFonts w:ascii="Georgia" w:cs="Georgia" w:eastAsia="Georgia" w:hAnsi="Georgia"/>
          <w:b/>
          <w:bCs/>
          <w:color w:val="1A1A1A"/>
          <w:sz w:val="21"/>
          <w:szCs w:val="21"/>
        </w:rPr>
        <w:t xml:space="preserve">Regulatory learning</w:t>
      </w:r>
      <w:r>
        <w:rPr>
          <w:rFonts w:ascii="Georgia" w:cs="Georgia" w:eastAsia="Georgia" w:hAnsi="Georgia"/>
          <w:color w:val="1A1A1A"/>
          <w:sz w:val="21"/>
          <w:szCs w:val="21"/>
        </w:rPr>
        <w:t xml:space="preserve"> — institutionalised feedback loops that turn that evidence back into revised rules (the “adaptive” half).</w:t>
      </w:r>
    </w:p>
    <w:p>
      <w:pPr>
        <w:spacing w:after="140" w:line="276"/>
        <w:jc w:val="both"/>
      </w:pPr>
      <w:r>
        <w:rPr>
          <w:rFonts w:ascii="Georgia" w:cs="Georgia" w:eastAsia="Georgia" w:hAnsi="Georgia"/>
          <w:color w:val="1A1A1A"/>
          <w:sz w:val="21"/>
          <w:szCs w:val="21"/>
        </w:rPr>
        <w:t xml:space="preserve">The mechanisms that operationalise this: </w:t>
      </w:r>
      <w:r>
        <w:rPr>
          <w:rFonts w:ascii="Georgia" w:cs="Georgia" w:eastAsia="Georgia" w:hAnsi="Georgia"/>
          <w:b/>
          <w:bCs/>
          <w:color w:val="1A1A1A"/>
          <w:sz w:val="21"/>
          <w:szCs w:val="21"/>
        </w:rPr>
        <w:t xml:space="preserve">sunset clauses</w:t>
      </w:r>
      <w:r>
        <w:rPr>
          <w:rFonts w:ascii="Georgia" w:cs="Georgia" w:eastAsia="Georgia" w:hAnsi="Georgia"/>
          <w:color w:val="1A1A1A"/>
          <w:sz w:val="21"/>
          <w:szCs w:val="21"/>
        </w:rPr>
        <w:t xml:space="preserve">, </w:t>
      </w:r>
      <w:r>
        <w:rPr>
          <w:rFonts w:ascii="Georgia" w:cs="Georgia" w:eastAsia="Georgia" w:hAnsi="Georgia"/>
          <w:b/>
          <w:bCs/>
          <w:color w:val="1A1A1A"/>
          <w:sz w:val="21"/>
          <w:szCs w:val="21"/>
        </w:rPr>
        <w:t xml:space="preserve">mandatory post-implementation review</w:t>
      </w:r>
      <w:r>
        <w:rPr>
          <w:rFonts w:ascii="Georgia" w:cs="Georgia" w:eastAsia="Georgia" w:hAnsi="Georgia"/>
          <w:color w:val="1A1A1A"/>
          <w:sz w:val="21"/>
          <w:szCs w:val="21"/>
        </w:rPr>
        <w:t xml:space="preserve">, </w:t>
      </w:r>
      <w:r>
        <w:rPr>
          <w:rFonts w:ascii="Georgia" w:cs="Georgia" w:eastAsia="Georgia" w:hAnsi="Georgia"/>
          <w:b/>
          <w:bCs/>
          <w:color w:val="1A1A1A"/>
          <w:sz w:val="21"/>
          <w:szCs w:val="21"/>
        </w:rPr>
        <w:t xml:space="preserve">iterative / staged rulemaking</w:t>
      </w:r>
      <w:r>
        <w:rPr>
          <w:rFonts w:ascii="Georgia" w:cs="Georgia" w:eastAsia="Georgia" w:hAnsi="Georgia"/>
          <w:color w:val="1A1A1A"/>
          <w:sz w:val="21"/>
          <w:szCs w:val="21"/>
        </w:rPr>
        <w:t xml:space="preserve">, </w:t>
      </w:r>
      <w:r>
        <w:rPr>
          <w:rFonts w:ascii="Georgia" w:cs="Georgia" w:eastAsia="Georgia" w:hAnsi="Georgia"/>
          <w:b/>
          <w:bCs/>
          <w:color w:val="1A1A1A"/>
          <w:sz w:val="21"/>
          <w:szCs w:val="21"/>
        </w:rPr>
        <w:t xml:space="preserve">regulatory impact assessment</w:t>
      </w:r>
      <w:r>
        <w:rPr>
          <w:rFonts w:ascii="Georgia" w:cs="Georgia" w:eastAsia="Georgia" w:hAnsi="Georgia"/>
          <w:color w:val="1A1A1A"/>
          <w:sz w:val="21"/>
          <w:szCs w:val="21"/>
        </w:rPr>
        <w:t xml:space="preserve">, and </w:t>
      </w:r>
      <w:r>
        <w:rPr>
          <w:rFonts w:ascii="Georgia" w:cs="Georgia" w:eastAsia="Georgia" w:hAnsi="Georgia"/>
          <w:b/>
          <w:bCs/>
          <w:color w:val="1A1A1A"/>
          <w:sz w:val="21"/>
          <w:szCs w:val="21"/>
        </w:rPr>
        <w:t xml:space="preserve">living guidance</w:t>
      </w:r>
      <w:r>
        <w:rPr>
          <w:rFonts w:ascii="Georgia" w:cs="Georgia" w:eastAsia="Georgia" w:hAnsi="Georgia"/>
          <w:color w:val="1A1A1A"/>
          <w:sz w:val="21"/>
          <w:szCs w:val="21"/>
        </w:rPr>
        <w:t xml:space="preserve"> updated more like software than statute. The OECD’s 2025 work on “steering AI’s future” through </w:t>
      </w:r>
      <w:r>
        <w:rPr>
          <w:rFonts w:ascii="Georgia" w:cs="Georgia" w:eastAsia="Georgia" w:hAnsi="Georgia"/>
          <w:b/>
          <w:bCs/>
          <w:color w:val="1A1A1A"/>
          <w:sz w:val="21"/>
          <w:szCs w:val="21"/>
        </w:rPr>
        <w:t xml:space="preserve">anticipatory governance</w:t>
      </w:r>
      <w:r>
        <w:rPr>
          <w:rFonts w:ascii="Georgia" w:cs="Georgia" w:eastAsia="Georgia" w:hAnsi="Georgia"/>
          <w:color w:val="1A1A1A"/>
          <w:sz w:val="21"/>
          <w:szCs w:val="21"/>
        </w:rPr>
        <w:t xml:space="preserve"> is the reference text to cite.</w:t>
      </w:r>
    </w:p>
    <w:p>
      <w:pPr>
        <w:pStyle w:val="Heading2"/>
        <w:spacing w:after="100" w:before="220"/>
      </w:pPr>
      <w:r>
        <w:rPr>
          <w:rFonts w:ascii="Calibri" w:cs="Calibri" w:eastAsia="Calibri" w:hAnsi="Calibri"/>
          <w:b/>
          <w:bCs/>
          <w:color w:val="2F5D8A"/>
          <w:sz w:val="25"/>
          <w:szCs w:val="25"/>
        </w:rPr>
        <w:t xml:space="preserve">2.5 Outcome-based and risk-based regulation</w:t>
      </w:r>
    </w:p>
    <w:p>
      <w:pPr>
        <w:spacing w:after="140" w:line="276"/>
        <w:jc w:val="both"/>
      </w:pPr>
      <w:r>
        <w:rPr>
          <w:rFonts w:ascii="Georgia" w:cs="Georgia" w:eastAsia="Georgia" w:hAnsi="Georgia"/>
          <w:b/>
          <w:bCs/>
          <w:color w:val="1A1A1A"/>
          <w:sz w:val="21"/>
          <w:szCs w:val="21"/>
        </w:rPr>
        <w:t xml:space="preserve">Outcome-based regulation</w:t>
      </w:r>
      <w:r>
        <w:rPr>
          <w:rFonts w:ascii="Georgia" w:cs="Georgia" w:eastAsia="Georgia" w:hAnsi="Georgia"/>
          <w:color w:val="1A1A1A"/>
          <w:sz w:val="21"/>
          <w:szCs w:val="21"/>
        </w:rPr>
        <w:t xml:space="preserve"> specifies the end (safety, explainability, non-discrimination) and leaves the means to the innovator — durable against technological change because it does not encode a particular technology. Its risk is enforceability: outcomes must be measurable and auditable, or the rule is toothless. </w:t>
      </w:r>
      <w:r>
        <w:rPr>
          <w:rFonts w:ascii="Georgia" w:cs="Georgia" w:eastAsia="Georgia" w:hAnsi="Georgia"/>
          <w:b/>
          <w:bCs/>
          <w:color w:val="1A1A1A"/>
          <w:sz w:val="21"/>
          <w:szCs w:val="21"/>
        </w:rPr>
        <w:t xml:space="preserve">Risk-based regulation</w:t>
      </w:r>
      <w:r>
        <w:rPr>
          <w:rFonts w:ascii="Georgia" w:cs="Georgia" w:eastAsia="Georgia" w:hAnsi="Georgia"/>
          <w:color w:val="1A1A1A"/>
          <w:sz w:val="21"/>
          <w:szCs w:val="21"/>
        </w:rPr>
        <w:t xml:space="preserve"> concentrates scarce regulatory effort where harm is greatest; the canonical implementation is the </w:t>
      </w:r>
      <w:r>
        <w:rPr>
          <w:rFonts w:ascii="Georgia" w:cs="Georgia" w:eastAsia="Georgia" w:hAnsi="Georgia"/>
          <w:b/>
          <w:bCs/>
          <w:color w:val="1A1A1A"/>
          <w:sz w:val="21"/>
          <w:szCs w:val="21"/>
        </w:rPr>
        <w:t xml:space="preserve">EU AI Act’s four tiers</w:t>
      </w:r>
      <w:r>
        <w:rPr>
          <w:rFonts w:ascii="Georgia" w:cs="Georgia" w:eastAsia="Georgia" w:hAnsi="Georgia"/>
          <w:color w:val="1A1A1A"/>
          <w:sz w:val="21"/>
          <w:szCs w:val="21"/>
        </w:rPr>
        <w:t xml:space="preserve"> — </w:t>
      </w:r>
      <w:r>
        <w:rPr>
          <w:rFonts w:ascii="Georgia" w:cs="Georgia" w:eastAsia="Georgia" w:hAnsi="Georgia"/>
          <w:i/>
          <w:iCs/>
          <w:color w:val="1A1A1A"/>
          <w:sz w:val="21"/>
          <w:szCs w:val="21"/>
        </w:rPr>
        <w:t xml:space="preserve">unacceptable</w:t>
      </w:r>
      <w:r>
        <w:rPr>
          <w:rFonts w:ascii="Georgia" w:cs="Georgia" w:eastAsia="Georgia" w:hAnsi="Georgia"/>
          <w:color w:val="1A1A1A"/>
          <w:sz w:val="21"/>
          <w:szCs w:val="21"/>
        </w:rPr>
        <w:t xml:space="preserve"> (prohibited), </w:t>
      </w:r>
      <w:r>
        <w:rPr>
          <w:rFonts w:ascii="Georgia" w:cs="Georgia" w:eastAsia="Georgia" w:hAnsi="Georgia"/>
          <w:i/>
          <w:iCs/>
          <w:color w:val="1A1A1A"/>
          <w:sz w:val="21"/>
          <w:szCs w:val="21"/>
        </w:rPr>
        <w:t xml:space="preserve">high-risk</w:t>
      </w:r>
      <w:r>
        <w:rPr>
          <w:rFonts w:ascii="Georgia" w:cs="Georgia" w:eastAsia="Georgia" w:hAnsi="Georgia"/>
          <w:color w:val="1A1A1A"/>
          <w:sz w:val="21"/>
          <w:szCs w:val="21"/>
        </w:rPr>
        <w:t xml:space="preserve"> (conformity assessment, documentation, human oversight), </w:t>
      </w:r>
      <w:r>
        <w:rPr>
          <w:rFonts w:ascii="Georgia" w:cs="Georgia" w:eastAsia="Georgia" w:hAnsi="Georgia"/>
          <w:i/>
          <w:iCs/>
          <w:color w:val="1A1A1A"/>
          <w:sz w:val="21"/>
          <w:szCs w:val="21"/>
        </w:rPr>
        <w:t xml:space="preserve">limited</w:t>
      </w:r>
      <w:r>
        <w:rPr>
          <w:rFonts w:ascii="Georgia" w:cs="Georgia" w:eastAsia="Georgia" w:hAnsi="Georgia"/>
          <w:color w:val="1A1A1A"/>
          <w:sz w:val="21"/>
          <w:szCs w:val="21"/>
        </w:rPr>
        <w:t xml:space="preserve"> (transparency duties), and </w:t>
      </w:r>
      <w:r>
        <w:rPr>
          <w:rFonts w:ascii="Georgia" w:cs="Georgia" w:eastAsia="Georgia" w:hAnsi="Georgia"/>
          <w:i/>
          <w:iCs/>
          <w:color w:val="1A1A1A"/>
          <w:sz w:val="21"/>
          <w:szCs w:val="21"/>
        </w:rPr>
        <w:t xml:space="preserve">minimal</w:t>
      </w:r>
      <w:r>
        <w:rPr>
          <w:rFonts w:ascii="Georgia" w:cs="Georgia" w:eastAsia="Georgia" w:hAnsi="Georgia"/>
          <w:color w:val="1A1A1A"/>
          <w:sz w:val="21"/>
          <w:szCs w:val="21"/>
        </w:rPr>
        <w:t xml:space="preserve"> (unregulated). The design challenge is </w:t>
      </w:r>
      <w:r>
        <w:rPr>
          <w:rFonts w:ascii="Georgia" w:cs="Georgia" w:eastAsia="Georgia" w:hAnsi="Georgia"/>
          <w:i/>
          <w:iCs/>
          <w:color w:val="1A1A1A"/>
          <w:sz w:val="21"/>
          <w:szCs w:val="21"/>
        </w:rPr>
        <w:t xml:space="preserve">classification</w:t>
      </w:r>
      <w:r>
        <w:rPr>
          <w:rFonts w:ascii="Georgia" w:cs="Georgia" w:eastAsia="Georgia" w:hAnsi="Georgia"/>
          <w:color w:val="1A1A1A"/>
          <w:sz w:val="21"/>
          <w:szCs w:val="21"/>
        </w:rPr>
        <w:t xml:space="preserve">: everything turns on which tier a system lands in, and gaming the boundary is the predictable failure mode.</w:t>
      </w:r>
    </w:p>
    <w:p>
      <w:pPr>
        <w:pStyle w:val="Heading2"/>
        <w:spacing w:after="100" w:before="220"/>
      </w:pPr>
      <w:r>
        <w:rPr>
          <w:rFonts w:ascii="Calibri" w:cs="Calibri" w:eastAsia="Calibri" w:hAnsi="Calibri"/>
          <w:b/>
          <w:bCs/>
          <w:color w:val="2F5D8A"/>
          <w:sz w:val="25"/>
          <w:szCs w:val="25"/>
        </w:rPr>
        <w:t xml:space="preserve">2.6 Standards and soft law</w:t>
      </w:r>
    </w:p>
    <w:p>
      <w:pPr>
        <w:spacing w:after="140" w:line="276"/>
        <w:jc w:val="both"/>
      </w:pPr>
      <w:r>
        <w:rPr>
          <w:rFonts w:ascii="Georgia" w:cs="Georgia" w:eastAsia="Georgia" w:hAnsi="Georgia"/>
          <w:color w:val="1A1A1A"/>
          <w:sz w:val="21"/>
          <w:szCs w:val="21"/>
        </w:rPr>
        <w:t xml:space="preserve">Soft law is how you govern at the speed of technology. It spans </w:t>
      </w:r>
      <w:r>
        <w:rPr>
          <w:rFonts w:ascii="Georgia" w:cs="Georgia" w:eastAsia="Georgia" w:hAnsi="Georgia"/>
          <w:b/>
          <w:bCs/>
          <w:color w:val="1A1A1A"/>
          <w:sz w:val="21"/>
          <w:szCs w:val="21"/>
        </w:rPr>
        <w:t xml:space="preserve">technical standards</w:t>
      </w:r>
      <w:r>
        <w:rPr>
          <w:rFonts w:ascii="Georgia" w:cs="Georgia" w:eastAsia="Georgia" w:hAnsi="Georgia"/>
          <w:color w:val="1A1A1A"/>
          <w:sz w:val="21"/>
          <w:szCs w:val="21"/>
        </w:rPr>
        <w:t xml:space="preserve"> (ISO, IEC, IEEE, CEN-CENELEC), </w:t>
      </w:r>
      <w:r>
        <w:rPr>
          <w:rFonts w:ascii="Georgia" w:cs="Georgia" w:eastAsia="Georgia" w:hAnsi="Georgia"/>
          <w:b/>
          <w:bCs/>
          <w:color w:val="1A1A1A"/>
          <w:sz w:val="21"/>
          <w:szCs w:val="21"/>
        </w:rPr>
        <w:t xml:space="preserve">codes of practice</w:t>
      </w:r>
      <w:r>
        <w:rPr>
          <w:rFonts w:ascii="Georgia" w:cs="Georgia" w:eastAsia="Georgia" w:hAnsi="Georgia"/>
          <w:color w:val="1A1A1A"/>
          <w:sz w:val="21"/>
          <w:szCs w:val="21"/>
        </w:rPr>
        <w:t xml:space="preserve">, </w:t>
      </w:r>
      <w:r>
        <w:rPr>
          <w:rFonts w:ascii="Georgia" w:cs="Georgia" w:eastAsia="Georgia" w:hAnsi="Georgia"/>
          <w:b/>
          <w:bCs/>
          <w:color w:val="1A1A1A"/>
          <w:sz w:val="21"/>
          <w:szCs w:val="21"/>
        </w:rPr>
        <w:t xml:space="preserve">principles and guidelines</w:t>
      </w:r>
      <w:r>
        <w:rPr>
          <w:rFonts w:ascii="Georgia" w:cs="Georgia" w:eastAsia="Georgia" w:hAnsi="Georgia"/>
          <w:color w:val="1A1A1A"/>
          <w:sz w:val="21"/>
          <w:szCs w:val="21"/>
        </w:rPr>
        <w:t xml:space="preserve">, and </w:t>
      </w:r>
      <w:r>
        <w:rPr>
          <w:rFonts w:ascii="Georgia" w:cs="Georgia" w:eastAsia="Georgia" w:hAnsi="Georgia"/>
          <w:b/>
          <w:bCs/>
          <w:color w:val="1A1A1A"/>
          <w:sz w:val="21"/>
          <w:szCs w:val="21"/>
        </w:rPr>
        <w:t xml:space="preserve">voluntary commitments</w:t>
      </w:r>
      <w:r>
        <w:rPr>
          <w:rFonts w:ascii="Georgia" w:cs="Georgia" w:eastAsia="Georgia" w:hAnsi="Georgia"/>
          <w:color w:val="1A1A1A"/>
          <w:sz w:val="21"/>
          <w:szCs w:val="21"/>
        </w:rPr>
        <w:t xml:space="preserve">. Two moves make you sound expert:</w:t>
      </w:r>
    </w:p>
    <w:p>
      <w:pPr>
        <w:pStyle w:val="ListParagraph"/>
        <w:numPr>
          <w:ilvl w:val="0"/>
          <w:numId w:val="1"/>
        </w:numPr>
        <w:spacing w:after="70" w:line="268"/>
      </w:pPr>
      <w:r>
        <w:rPr>
          <w:rFonts w:ascii="Georgia" w:cs="Georgia" w:eastAsia="Georgia" w:hAnsi="Georgia"/>
          <w:color w:val="1A1A1A"/>
          <w:sz w:val="21"/>
          <w:szCs w:val="21"/>
        </w:rPr>
        <w:t xml:space="preserve">*</w:t>
      </w:r>
      <w:r>
        <w:rPr>
          <w:rFonts w:ascii="Georgia" w:cs="Georgia" w:eastAsia="Georgia" w:hAnsi="Georgia"/>
          <w:i/>
          <w:iCs/>
          <w:color w:val="1A1A1A"/>
          <w:sz w:val="21"/>
          <w:szCs w:val="21"/>
        </w:rPr>
        <w:t xml:space="preserve">Distinguish </w:t>
      </w:r>
      <w:r>
        <w:rPr>
          <w:rFonts w:ascii="Georgia" w:cs="Georgia" w:eastAsia="Georgia" w:hAnsi="Georgia"/>
          <w:color w:val="1A1A1A"/>
          <w:sz w:val="21"/>
          <w:szCs w:val="21"/>
        </w:rPr>
        <w:t xml:space="preserve">de jure</w:t>
      </w:r>
      <w:r>
        <w:rPr>
          <w:rFonts w:ascii="Georgia" w:cs="Georgia" w:eastAsia="Georgia" w:hAnsi="Georgia"/>
          <w:i/>
          <w:iCs/>
          <w:color w:val="1A1A1A"/>
          <w:sz w:val="21"/>
          <w:szCs w:val="21"/>
        </w:rPr>
        <w:t xml:space="preserve"> from </w:t>
      </w:r>
      <w:r>
        <w:rPr>
          <w:rFonts w:ascii="Georgia" w:cs="Georgia" w:eastAsia="Georgia" w:hAnsi="Georgia"/>
          <w:color w:val="1A1A1A"/>
          <w:sz w:val="21"/>
          <w:szCs w:val="21"/>
        </w:rPr>
        <w:t xml:space="preserve">de facto</w:t>
      </w:r>
      <w:r>
        <w:rPr>
          <w:rFonts w:ascii="Georgia" w:cs="Georgia" w:eastAsia="Georgia" w:hAnsi="Georgia"/>
          <w:i/>
          <w:iCs/>
          <w:color w:val="1A1A1A"/>
          <w:sz w:val="21"/>
          <w:szCs w:val="21"/>
        </w:rPr>
        <w:t xml:space="preserve"> standards</w:t>
      </w:r>
      <w:r>
        <w:rPr>
          <w:rFonts w:ascii="Georgia" w:cs="Georgia" w:eastAsia="Georgia" w:hAnsi="Georgia"/>
          <w:i/>
          <w:iCs/>
          <w:color w:val="1A1A1A"/>
          <w:sz w:val="21"/>
          <w:szCs w:val="21"/>
        </w:rPr>
        <w:t xml:space="preserve"> — those set by formal bodies vs those that win in the market — and note that regulators increasingly </w:t>
      </w:r>
      <w:r>
        <w:rPr>
          <w:rFonts w:ascii="Georgia" w:cs="Georgia" w:eastAsia="Georgia" w:hAnsi="Georgia"/>
          <w:color w:val="1A1A1A"/>
          <w:sz w:val="21"/>
          <w:szCs w:val="21"/>
        </w:rPr>
        <w:t xml:space="preserve">reference</w:t>
      </w:r>
      <w:r>
        <w:rPr>
          <w:rFonts w:ascii="Georgia" w:cs="Georgia" w:eastAsia="Georgia" w:hAnsi="Georgia"/>
          <w:i/>
          <w:iCs/>
          <w:color w:val="1A1A1A"/>
          <w:sz w:val="21"/>
          <w:szCs w:val="21"/>
        </w:rPr>
        <w:t xml:space="preserve"> standards to give soft law teeth. The EU’s </w:t>
      </w:r>
      <w:r>
        <w:rPr>
          <w:rFonts w:ascii="Georgia" w:cs="Georgia" w:eastAsia="Georgia" w:hAnsi="Georgia"/>
          <w:i/>
          <w:iCs/>
          <w:color w:val="1A1A1A"/>
          <w:sz w:val="21"/>
          <w:szCs w:val="21"/>
        </w:rPr>
        <w:t xml:space="preserve">“New Approach”</w:t>
      </w:r>
      <w:r>
        <w:rPr>
          <w:rFonts w:ascii="Georgia" w:cs="Georgia" w:eastAsia="Georgia" w:hAnsi="Georgia"/>
          <w:color w:val="1A1A1A"/>
          <w:sz w:val="21"/>
          <w:szCs w:val="21"/>
        </w:rPr>
        <w:t xml:space="preserve">* (legislation sets essential requirements; harmonised standards provide the technical detail) is the template, and it is exactly how the AI Act relies on CEN-CENELEC standards.</w:t>
      </w:r>
    </w:p>
    <w:p>
      <w:pPr>
        <w:pStyle w:val="ListParagraph"/>
        <w:numPr>
          <w:ilvl w:val="0"/>
          <w:numId w:val="1"/>
        </w:numPr>
        <w:spacing w:after="70" w:line="268"/>
      </w:pPr>
      <w:r>
        <w:rPr>
          <w:rFonts w:ascii="Georgia" w:cs="Georgia" w:eastAsia="Georgia" w:hAnsi="Georgia"/>
          <w:b/>
          <w:bCs/>
          <w:color w:val="1A1A1A"/>
          <w:sz w:val="21"/>
          <w:szCs w:val="21"/>
        </w:rPr>
        <w:t xml:space="preserve">Name the soft-law-to-hard-law pipeline.</w:t>
      </w:r>
      <w:r>
        <w:rPr>
          <w:rFonts w:ascii="Georgia" w:cs="Georgia" w:eastAsia="Georgia" w:hAnsi="Georgia"/>
          <w:color w:val="1A1A1A"/>
          <w:sz w:val="21"/>
          <w:szCs w:val="21"/>
        </w:rPr>
        <w:t xml:space="preserve"> Principles and codes are often the R&amp;D phase for binding law: the OECD AI Principles → national statutes; the EU’s voluntary </w:t>
      </w:r>
      <w:r>
        <w:rPr>
          <w:rFonts w:ascii="Georgia" w:cs="Georgia" w:eastAsia="Georgia" w:hAnsi="Georgia"/>
          <w:b/>
          <w:bCs/>
          <w:color w:val="1A1A1A"/>
          <w:sz w:val="21"/>
          <w:szCs w:val="21"/>
        </w:rPr>
        <w:t xml:space="preserve">GPAI Code of Practice (July 2025)</w:t>
      </w:r>
      <w:r>
        <w:rPr>
          <w:rFonts w:ascii="Georgia" w:cs="Georgia" w:eastAsia="Georgia" w:hAnsi="Georgia"/>
          <w:color w:val="1A1A1A"/>
          <w:sz w:val="21"/>
          <w:szCs w:val="21"/>
        </w:rPr>
        <w:t xml:space="preserve"> → the binding AI Act obligations it operationalises. Soft law buys time and builds consensus while hard law catches up — and it is weakest exactly where the downside is catastrophic and actors have incentives to defect (bio-risk), which is where you argue agility must yield to precaution.</w:t>
      </w:r>
    </w:p>
    <w:p>
      <w:pPr>
        <w:pStyle w:val="Heading2"/>
        <w:spacing w:after="100" w:before="220"/>
      </w:pPr>
      <w:r>
        <w:rPr>
          <w:rFonts w:ascii="Calibri" w:cs="Calibri" w:eastAsia="Calibri" w:hAnsi="Calibri"/>
          <w:b/>
          <w:bCs/>
          <w:color w:val="2F5D8A"/>
          <w:sz w:val="25"/>
          <w:szCs w:val="25"/>
        </w:rPr>
        <w:t xml:space="preserve">2.7 RegTech and SupTech</w:t>
      </w:r>
    </w:p>
    <w:p>
      <w:pPr>
        <w:spacing w:after="140" w:line="276"/>
        <w:jc w:val="both"/>
      </w:pPr>
      <w:r>
        <w:rPr>
          <w:rFonts w:ascii="Georgia" w:cs="Georgia" w:eastAsia="Georgia" w:hAnsi="Georgia"/>
          <w:b/>
          <w:bCs/>
          <w:color w:val="1A1A1A"/>
          <w:sz w:val="21"/>
          <w:szCs w:val="21"/>
        </w:rPr>
        <w:t xml:space="preserve">RegTech</w:t>
      </w:r>
      <w:r>
        <w:rPr>
          <w:rFonts w:ascii="Georgia" w:cs="Georgia" w:eastAsia="Georgia" w:hAnsi="Georgia"/>
          <w:color w:val="1A1A1A"/>
          <w:sz w:val="21"/>
          <w:szCs w:val="21"/>
        </w:rPr>
        <w:t xml:space="preserve"> is technology that helps the regulated comply (automated reporting, KYC/AML, monitoring). </w:t>
      </w:r>
      <w:r>
        <w:rPr>
          <w:rFonts w:ascii="Georgia" w:cs="Georgia" w:eastAsia="Georgia" w:hAnsi="Georgia"/>
          <w:b/>
          <w:bCs/>
          <w:color w:val="1A1A1A"/>
          <w:sz w:val="21"/>
          <w:szCs w:val="21"/>
        </w:rPr>
        <w:t xml:space="preserve">SupTech</w:t>
      </w:r>
      <w:r>
        <w:rPr>
          <w:rFonts w:ascii="Georgia" w:cs="Georgia" w:eastAsia="Georgia" w:hAnsi="Georgia"/>
          <w:color w:val="1A1A1A"/>
          <w:sz w:val="21"/>
          <w:szCs w:val="21"/>
        </w:rPr>
        <w:t xml:space="preserve"> is technology that helps the </w:t>
      </w:r>
      <w:r>
        <w:rPr>
          <w:rFonts w:ascii="Georgia" w:cs="Georgia" w:eastAsia="Georgia" w:hAnsi="Georgia"/>
          <w:i/>
          <w:iCs/>
          <w:color w:val="1A1A1A"/>
          <w:sz w:val="21"/>
          <w:szCs w:val="21"/>
        </w:rPr>
        <w:t xml:space="preserve">supervisor</w:t>
      </w:r>
      <w:r>
        <w:rPr>
          <w:rFonts w:ascii="Georgia" w:cs="Georgia" w:eastAsia="Georgia" w:hAnsi="Georgia"/>
          <w:color w:val="1A1A1A"/>
          <w:sz w:val="21"/>
          <w:szCs w:val="21"/>
        </w:rPr>
        <w:t xml:space="preserve"> regulate (real-time data feeds, machine-readable rules, algorithmic market surveillance). The frontier concept to cite is </w:t>
      </w:r>
      <w:r>
        <w:rPr>
          <w:rFonts w:ascii="Georgia" w:cs="Georgia" w:eastAsia="Georgia" w:hAnsi="Georgia"/>
          <w:b/>
          <w:bCs/>
          <w:color w:val="1A1A1A"/>
          <w:sz w:val="21"/>
          <w:szCs w:val="21"/>
        </w:rPr>
        <w:t xml:space="preserve">machine-readable and machine-executable regulation</w:t>
      </w:r>
      <w:r>
        <w:rPr>
          <w:rFonts w:ascii="Georgia" w:cs="Georgia" w:eastAsia="Georgia" w:hAnsi="Georgia"/>
          <w:color w:val="1A1A1A"/>
          <w:sz w:val="21"/>
          <w:szCs w:val="21"/>
        </w:rPr>
        <w:t xml:space="preserve"> — rules published as code so compliance can be automated and supervision made continuous rather than periodic. This is the natural bridge between “regulatory innovation” and the frontier technologies themselves, and a credible plank for any modernisation agenda.</w:t>
      </w:r>
    </w:p>
    <w:p>
      <w:pPr>
        <w:pStyle w:val="Heading2"/>
        <w:spacing w:after="100" w:before="220"/>
      </w:pPr>
      <w:r>
        <w:rPr>
          <w:rFonts w:ascii="Calibri" w:cs="Calibri" w:eastAsia="Calibri" w:hAnsi="Calibri"/>
          <w:b/>
          <w:bCs/>
          <w:color w:val="2F5D8A"/>
          <w:sz w:val="25"/>
          <w:szCs w:val="25"/>
        </w:rPr>
        <w:t xml:space="preserve">2.8 International regulatory cooperation</w:t>
      </w:r>
    </w:p>
    <w:p>
      <w:pPr>
        <w:spacing w:after="140" w:line="276"/>
        <w:jc w:val="both"/>
      </w:pPr>
      <w:r>
        <w:rPr>
          <w:rFonts w:ascii="Georgia" w:cs="Georgia" w:eastAsia="Georgia" w:hAnsi="Georgia"/>
          <w:color w:val="1A1A1A"/>
          <w:sz w:val="21"/>
          <w:szCs w:val="21"/>
        </w:rPr>
        <w:t xml:space="preserve">Because frontier technologies are borderless and your mandate is cross-jurisdictional, the international layer is central. The vocabulary: </w:t>
      </w:r>
      <w:r>
        <w:rPr>
          <w:rFonts w:ascii="Georgia" w:cs="Georgia" w:eastAsia="Georgia" w:hAnsi="Georgia"/>
          <w:b/>
          <w:bCs/>
          <w:color w:val="1A1A1A"/>
          <w:sz w:val="21"/>
          <w:szCs w:val="21"/>
        </w:rPr>
        <w:t xml:space="preserve">mutual recognition</w:t>
      </w:r>
      <w:r>
        <w:rPr>
          <w:rFonts w:ascii="Georgia" w:cs="Georgia" w:eastAsia="Georgia" w:hAnsi="Georgia"/>
          <w:color w:val="1A1A1A"/>
          <w:sz w:val="21"/>
          <w:szCs w:val="21"/>
        </w:rPr>
        <w:t xml:space="preserve"> (accept each other’s conformity assessments), </w:t>
      </w:r>
      <w:r>
        <w:rPr>
          <w:rFonts w:ascii="Georgia" w:cs="Georgia" w:eastAsia="Georgia" w:hAnsi="Georgia"/>
          <w:b/>
          <w:bCs/>
          <w:color w:val="1A1A1A"/>
          <w:sz w:val="21"/>
          <w:szCs w:val="21"/>
        </w:rPr>
        <w:t xml:space="preserve">regulatory interoperability</w:t>
      </w:r>
      <w:r>
        <w:rPr>
          <w:rFonts w:ascii="Georgia" w:cs="Georgia" w:eastAsia="Georgia" w:hAnsi="Georgia"/>
          <w:color w:val="1A1A1A"/>
          <w:sz w:val="21"/>
          <w:szCs w:val="21"/>
        </w:rPr>
        <w:t xml:space="preserve"> (rules different in form but compatible in effect), </w:t>
      </w:r>
      <w:r>
        <w:rPr>
          <w:rFonts w:ascii="Georgia" w:cs="Georgia" w:eastAsia="Georgia" w:hAnsi="Georgia"/>
          <w:b/>
          <w:bCs/>
          <w:color w:val="1A1A1A"/>
          <w:sz w:val="21"/>
          <w:szCs w:val="21"/>
        </w:rPr>
        <w:t xml:space="preserve">regulatory diplomacy</w:t>
      </w:r>
      <w:r>
        <w:rPr>
          <w:rFonts w:ascii="Georgia" w:cs="Georgia" w:eastAsia="Georgia" w:hAnsi="Georgia"/>
          <w:color w:val="1A1A1A"/>
          <w:sz w:val="21"/>
          <w:szCs w:val="21"/>
        </w:rPr>
        <w:t xml:space="preserve">, </w:t>
      </w:r>
      <w:r>
        <w:rPr>
          <w:rFonts w:ascii="Georgia" w:cs="Georgia" w:eastAsia="Georgia" w:hAnsi="Georgia"/>
          <w:b/>
          <w:bCs/>
          <w:color w:val="1A1A1A"/>
          <w:sz w:val="21"/>
          <w:szCs w:val="21"/>
        </w:rPr>
        <w:t xml:space="preserve">minimum common standards</w:t>
      </w:r>
      <w:r>
        <w:rPr>
          <w:rFonts w:ascii="Georgia" w:cs="Georgia" w:eastAsia="Georgia" w:hAnsi="Georgia"/>
          <w:color w:val="1A1A1A"/>
          <w:sz w:val="21"/>
          <w:szCs w:val="21"/>
        </w:rPr>
        <w:t xml:space="preserve">, and </w:t>
      </w:r>
      <w:r>
        <w:rPr>
          <w:rFonts w:ascii="Georgia" w:cs="Georgia" w:eastAsia="Georgia" w:hAnsi="Georgia"/>
          <w:b/>
          <w:bCs/>
          <w:color w:val="1A1A1A"/>
          <w:sz w:val="21"/>
          <w:szCs w:val="21"/>
        </w:rPr>
        <w:t xml:space="preserve">plurilateral coordination</w:t>
      </w:r>
      <w:r>
        <w:rPr>
          <w:rFonts w:ascii="Georgia" w:cs="Georgia" w:eastAsia="Georgia" w:hAnsi="Georgia"/>
          <w:color w:val="1A1A1A"/>
          <w:sz w:val="21"/>
          <w:szCs w:val="21"/>
        </w:rPr>
        <w:t xml:space="preserve"> (coalitions of the willing where universal treaties stall). The OECD is the reference institution for the discipline of international regulatory co-operation (IRC); the G7, G20 and standards bodies are the practical venues.</w:t>
      </w:r>
    </w:p>
    <w:p>
      <w:pPr>
        <w:pStyle w:val="Heading2"/>
        <w:spacing w:after="100" w:before="220"/>
      </w:pPr>
      <w:r>
        <w:rPr>
          <w:rFonts w:ascii="Calibri" w:cs="Calibri" w:eastAsia="Calibri" w:hAnsi="Calibri"/>
          <w:b/>
          <w:bCs/>
          <w:color w:val="2F5D8A"/>
          <w:sz w:val="25"/>
          <w:szCs w:val="25"/>
        </w:rPr>
        <w:t xml:space="preserve">2.9 Regulatory maturity and readiness models</w:t>
      </w:r>
    </w:p>
    <w:p>
      <w:pPr>
        <w:spacing w:after="140" w:line="276"/>
        <w:jc w:val="both"/>
      </w:pPr>
      <w:r>
        <w:rPr>
          <w:rFonts w:ascii="Georgia" w:cs="Georgia" w:eastAsia="Georgia" w:hAnsi="Georgia"/>
          <w:color w:val="1A1A1A"/>
          <w:sz w:val="21"/>
          <w:szCs w:val="21"/>
        </w:rPr>
        <w:t xml:space="preserve">This section is the hinge to the transformation lens your panel prizes (Section 6). Just as manufacturers are scored on a maturity curve, governments are increasingly scored on their </w:t>
      </w:r>
      <w:r>
        <w:rPr>
          <w:rFonts w:ascii="Georgia" w:cs="Georgia" w:eastAsia="Georgia" w:hAnsi="Georgia"/>
          <w:i/>
          <w:iCs/>
          <w:color w:val="1A1A1A"/>
          <w:sz w:val="21"/>
          <w:szCs w:val="21"/>
        </w:rPr>
        <w:t xml:space="preserve">readiness to govern</w:t>
      </w:r>
      <w:r>
        <w:rPr>
          <w:rFonts w:ascii="Georgia" w:cs="Georgia" w:eastAsia="Georgia" w:hAnsi="Georgia"/>
          <w:color w:val="1A1A1A"/>
          <w:sz w:val="21"/>
          <w:szCs w:val="21"/>
        </w:rPr>
        <w:t xml:space="preserve"> emerging technology. Know the instruments:</w:t>
      </w:r>
    </w:p>
    <w:p>
      <w:pPr>
        <w:pStyle w:val="ListParagraph"/>
        <w:numPr>
          <w:ilvl w:val="0"/>
          <w:numId w:val="1"/>
        </w:numPr>
        <w:spacing w:after="70" w:line="268"/>
      </w:pPr>
      <w:r>
        <w:rPr>
          <w:rFonts w:ascii="Georgia" w:cs="Georgia" w:eastAsia="Georgia" w:hAnsi="Georgia"/>
          <w:b/>
          <w:bCs/>
          <w:color w:val="1A1A1A"/>
          <w:sz w:val="21"/>
          <w:szCs w:val="21"/>
        </w:rPr>
        <w:t xml:space="preserve">GRIP’s own Regulatory Future Readiness Index</w:t>
      </w:r>
      <w:r>
        <w:rPr>
          <w:rFonts w:ascii="Georgia" w:cs="Georgia" w:eastAsia="Georgia" w:hAnsi="Georgia"/>
          <w:color w:val="1A1A1A"/>
          <w:sz w:val="21"/>
          <w:szCs w:val="21"/>
        </w:rPr>
        <w:t xml:space="preserve"> — benchmarks countries’ preparedness to govern emerging technology (dimensions still being finalised; expect capability, agility, institutional and international-cooperation axes).</w:t>
      </w:r>
    </w:p>
    <w:p>
      <w:pPr>
        <w:pStyle w:val="ListParagraph"/>
        <w:numPr>
          <w:ilvl w:val="0"/>
          <w:numId w:val="1"/>
        </w:numPr>
        <w:spacing w:after="70" w:line="268"/>
      </w:pPr>
      <w:r>
        <w:rPr>
          <w:rFonts w:ascii="Georgia" w:cs="Georgia" w:eastAsia="Georgia" w:hAnsi="Georgia"/>
          <w:b/>
          <w:bCs/>
          <w:color w:val="1A1A1A"/>
          <w:sz w:val="21"/>
          <w:szCs w:val="21"/>
        </w:rPr>
        <w:t xml:space="preserve">OECD.AI Index</w:t>
      </w:r>
      <w:r>
        <w:rPr>
          <w:rFonts w:ascii="Georgia" w:cs="Georgia" w:eastAsia="Georgia" w:hAnsi="Georgia"/>
          <w:color w:val="1A1A1A"/>
          <w:sz w:val="21"/>
          <w:szCs w:val="21"/>
        </w:rPr>
        <w:t xml:space="preserve"> — organises national AI readiness around R&amp;D, infrastructure, governance, accessibility and policy environment.</w:t>
      </w:r>
    </w:p>
    <w:p>
      <w:pPr>
        <w:pStyle w:val="ListParagraph"/>
        <w:numPr>
          <w:ilvl w:val="0"/>
          <w:numId w:val="1"/>
        </w:numPr>
        <w:spacing w:after="70" w:line="268"/>
      </w:pPr>
      <w:r>
        <w:rPr>
          <w:rFonts w:ascii="Georgia" w:cs="Georgia" w:eastAsia="Georgia" w:hAnsi="Georgia"/>
          <w:b/>
          <w:bCs/>
          <w:color w:val="1A1A1A"/>
          <w:sz w:val="21"/>
          <w:szCs w:val="21"/>
        </w:rPr>
        <w:t xml:space="preserve">Oxford Insights Government AI Readiness Index</w:t>
      </w:r>
      <w:r>
        <w:rPr>
          <w:rFonts w:ascii="Georgia" w:cs="Georgia" w:eastAsia="Georgia" w:hAnsi="Georgia"/>
          <w:color w:val="1A1A1A"/>
          <w:sz w:val="21"/>
          <w:szCs w:val="21"/>
        </w:rPr>
        <w:t xml:space="preserve"> — scores governments on government, technology-sector and data-and-infrastructure pillars.</w:t>
      </w:r>
    </w:p>
    <w:p>
      <w:pPr>
        <w:pStyle w:val="ListParagraph"/>
        <w:numPr>
          <w:ilvl w:val="0"/>
          <w:numId w:val="1"/>
        </w:numPr>
        <w:spacing w:after="70" w:line="268"/>
      </w:pPr>
      <w:r>
        <w:rPr>
          <w:rFonts w:ascii="Georgia" w:cs="Georgia" w:eastAsia="Georgia" w:hAnsi="Georgia"/>
          <w:b/>
          <w:bCs/>
          <w:color w:val="1A1A1A"/>
          <w:sz w:val="21"/>
          <w:szCs w:val="21"/>
        </w:rPr>
        <w:t xml:space="preserve">OECD indicators of regulatory management systems (iREG)</w:t>
      </w:r>
      <w:r>
        <w:rPr>
          <w:rFonts w:ascii="Georgia" w:cs="Georgia" w:eastAsia="Georgia" w:hAnsi="Georgia"/>
          <w:color w:val="1A1A1A"/>
          <w:sz w:val="21"/>
          <w:szCs w:val="21"/>
        </w:rPr>
        <w:t xml:space="preserve"> — measure the quality of a country’s RIA, stakeholder-engagement and ex-post-review machinery.</w:t>
      </w:r>
    </w:p>
    <w:p>
      <w:pPr>
        <w:spacing w:after="140" w:line="276"/>
        <w:jc w:val="both"/>
      </w:pPr>
      <w:r>
        <w:rPr>
          <w:rFonts w:ascii="Georgia" w:cs="Georgia" w:eastAsia="Georgia" w:hAnsi="Georgia"/>
          <w:color w:val="1A1A1A"/>
          <w:sz w:val="21"/>
          <w:szCs w:val="21"/>
        </w:rPr>
        <w:t xml:space="preserve">The strategic point: a readiness index is not just measurement — it is a </w:t>
      </w:r>
      <w:r>
        <w:rPr>
          <w:rFonts w:ascii="Georgia" w:cs="Georgia" w:eastAsia="Georgia" w:hAnsi="Georgia"/>
          <w:i/>
          <w:iCs/>
          <w:color w:val="1A1A1A"/>
          <w:sz w:val="21"/>
          <w:szCs w:val="21"/>
        </w:rPr>
        <w:t xml:space="preserve">convening and motivation</w:t>
      </w:r>
      <w:r>
        <w:rPr>
          <w:rFonts w:ascii="Georgia" w:cs="Georgia" w:eastAsia="Georgia" w:hAnsi="Georgia"/>
          <w:color w:val="1A1A1A"/>
          <w:sz w:val="21"/>
          <w:szCs w:val="21"/>
        </w:rPr>
        <w:t xml:space="preserve"> device. Benchmarking creates competitive pressure to improve and gives you a reason to bring governments to the table. This is the diagnostic front-end of a regulatory transformation.</w:t>
      </w:r>
    </w:p>
    <w:p>
      <w:pPr>
        <w:pStyle w:val="Heading2"/>
        <w:spacing w:after="100" w:before="220"/>
      </w:pPr>
      <w:r>
        <w:rPr>
          <w:rFonts w:ascii="Calibri" w:cs="Calibri" w:eastAsia="Calibri" w:hAnsi="Calibri"/>
          <w:b/>
          <w:bCs/>
          <w:color w:val="2F5D8A"/>
          <w:sz w:val="25"/>
          <w:szCs w:val="25"/>
        </w:rPr>
        <w:t xml:space="preserve">2.10 Choosing the instrument, and naming the trade-offs</w:t>
      </w:r>
    </w:p>
    <w:tbl>
      <w:tblPr>
        <w:tblW w:type="dxa" w:w="9360"/>
        <w:tblBorders>
          <w:top w:val="single" w:color="C9D3E0" w:sz="2"/>
          <w:left w:val="none"/>
          <w:bottom w:val="single" w:color="C9D3E0" w:sz="2"/>
          <w:right w:val="none"/>
          <w:insideH w:val="single" w:color="C9D3E0" w:sz="2"/>
          <w:insideV w:val="single" w:color="C9D3E0" w:sz="2"/>
        </w:tblBorders>
      </w:tblPr>
      <w:tblGrid>
        <w:gridCol w:w="3100"/>
        <w:gridCol w:w="3100"/>
        <w:gridCol w:w="3160"/>
      </w:tblGrid>
      <w:tr>
        <w:trPr>
          <w:tblHeader/>
        </w:trPr>
        <w:tc>
          <w:tcPr>
            <w:tcW w:type="dxa" w:w="31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When the situation is…</w:t>
            </w:r>
          </w:p>
        </w:tc>
        <w:tc>
          <w:tcPr>
            <w:tcW w:type="dxa" w:w="31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Reach for…</w:t>
            </w:r>
          </w:p>
        </w:tc>
        <w:tc>
          <w:tcPr>
            <w:tcW w:type="dxa" w:w="31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Because…</w:t>
            </w:r>
          </w:p>
        </w:tc>
      </w:tr>
      <w:tr>
        <w:tc>
          <w:tcPr>
            <w:tcW w:type="dxa" w:w="31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High uncertainty, need evidence fast</w:t>
            </w:r>
          </w:p>
        </w:tc>
        <w:tc>
          <w:tcPr>
            <w:tcW w:type="dxa" w:w="31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Sandbox / pilot / testbed</w:t>
            </w:r>
          </w:p>
        </w:tc>
        <w:tc>
          <w:tcPr>
            <w:tcW w:type="dxa" w:w="31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Generates real-world data without premature rules.</w:t>
            </w:r>
          </w:p>
        </w:tc>
      </w:tr>
      <w:tr>
        <w:tc>
          <w:tcPr>
            <w:tcW w:type="dxa" w:w="31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Fast-moving tech, static rules would date</w:t>
            </w:r>
          </w:p>
        </w:tc>
        <w:tc>
          <w:tcPr>
            <w:tcW w:type="dxa" w:w="31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Outcome-based + adaptive rules</w:t>
            </w:r>
          </w:p>
        </w:tc>
        <w:tc>
          <w:tcPr>
            <w:tcW w:type="dxa" w:w="31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Specifies ends not means; built to be revised.</w:t>
            </w:r>
          </w:p>
        </w:tc>
      </w:tr>
      <w:tr>
        <w:tc>
          <w:tcPr>
            <w:tcW w:type="dxa" w:w="31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Uneven risk across use-cases</w:t>
            </w:r>
          </w:p>
        </w:tc>
        <w:tc>
          <w:tcPr>
            <w:tcW w:type="dxa" w:w="31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Risk-based tiering</w:t>
            </w:r>
          </w:p>
        </w:tc>
        <w:tc>
          <w:tcPr>
            <w:tcW w:type="dxa" w:w="31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Concentrates scarce effort where harm is greatest.</w:t>
            </w:r>
          </w:p>
        </w:tc>
      </w:tr>
      <w:tr>
        <w:tc>
          <w:tcPr>
            <w:tcW w:type="dxa" w:w="31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Global technology, national regulators</w:t>
            </w:r>
          </w:p>
        </w:tc>
        <w:tc>
          <w:tcPr>
            <w:tcW w:type="dxa" w:w="31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Standards + international cooperation</w:t>
            </w:r>
          </w:p>
        </w:tc>
        <w:tc>
          <w:tcPr>
            <w:tcW w:type="dxa" w:w="31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Soft law and interoperability move faster than treaties.</w:t>
            </w:r>
          </w:p>
        </w:tc>
      </w:tr>
      <w:tr>
        <w:tc>
          <w:tcPr>
            <w:tcW w:type="dxa" w:w="31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Consensus not yet mature</w:t>
            </w:r>
          </w:p>
        </w:tc>
        <w:tc>
          <w:tcPr>
            <w:tcW w:type="dxa" w:w="31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Principles / codes of practice</w:t>
            </w:r>
          </w:p>
        </w:tc>
        <w:tc>
          <w:tcPr>
            <w:tcW w:type="dxa" w:w="31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Build alignment now; harden into law later.</w:t>
            </w:r>
          </w:p>
        </w:tc>
      </w:tr>
      <w:tr>
        <w:tc>
          <w:tcPr>
            <w:tcW w:type="dxa" w:w="31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Catastrophic, irreversible downside</w:t>
            </w:r>
          </w:p>
        </w:tc>
        <w:tc>
          <w:tcPr>
            <w:tcW w:type="dxa" w:w="31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Hard rules + precaution</w:t>
            </w:r>
          </w:p>
        </w:tc>
        <w:tc>
          <w:tcPr>
            <w:tcW w:type="dxa" w:w="31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Agility must yield where a single failure is unacceptable.</w:t>
            </w:r>
          </w:p>
        </w:tc>
      </w:tr>
    </w:tbl>
    <w:p>
      <w:pPr>
        <w:spacing w:after="80"/>
      </w:pPr>
    </w:p>
    <w:tbl>
      <w:tblPr>
        <w:tblW w:type="pct" w:w="100%"/>
        <w:tblBorders>
          <w:top w:val="single" w:color="2F5D8A" w:sz="4"/>
          <w:left w:val="single" w:color="2F5D8A" w:sz="24"/>
          <w:bottom w:val="single" w:color="2F5D8A" w:sz="4"/>
          <w:right w:val="single" w:color="2F5D8A" w:sz="4"/>
          <w:insideH w:val="none"/>
          <w:insideV w:val="none"/>
        </w:tblBorders>
      </w:tblPr>
      <w:tblGrid>
        <w:gridCol w:w="9360"/>
      </w:tblGrid>
      <w:tr>
        <w:tc>
          <w:tcPr>
            <w:tcW w:type="dxa" w:w="9360"/>
            <w:shd w:fill="EEF3F9" w:val="clear"/>
            <w:tcMar>
              <w:top w:type="dxa" w:w="120"/>
              <w:left w:type="dxa" w:w="200"/>
              <w:bottom w:type="dxa" w:w="120"/>
              <w:right w:type="dxa" w:w="200"/>
            </w:tcMar>
          </w:tcPr>
          <w:p>
            <w:pPr>
              <w:spacing w:after="0" w:line="264"/>
            </w:pPr>
            <w:r>
              <w:rPr>
                <w:rFonts w:ascii="Georgia" w:cs="Georgia" w:eastAsia="Georgia" w:hAnsi="Georgia"/>
                <w:b/>
                <w:bCs/>
                <w:color w:val="1F2A44"/>
                <w:sz w:val="20"/>
                <w:szCs w:val="20"/>
              </w:rPr>
              <w:t xml:space="preserve">The three trade-offs to name aloud in any case:</w:t>
            </w:r>
            <w:r>
              <w:rPr>
                <w:rFonts w:ascii="Georgia" w:cs="Georgia" w:eastAsia="Georgia" w:hAnsi="Georgia"/>
                <w:color w:val="1F2A44"/>
                <w:sz w:val="20"/>
                <w:szCs w:val="20"/>
              </w:rPr>
              <w:t xml:space="preserve"> innovation vs. protection (permissiveness vs. safety); speed vs. legitimacy (agile rules vs. democratic due process); flexibility vs. certainty (adaptive rules vs. the predictability business needs to invest). Good regulatory innovation </w:t>
            </w:r>
            <w:r>
              <w:rPr>
                <w:rFonts w:ascii="Georgia" w:cs="Georgia" w:eastAsia="Georgia" w:hAnsi="Georgia"/>
                <w:i/>
                <w:iCs/>
                <w:color w:val="1F2A44"/>
                <w:sz w:val="20"/>
                <w:szCs w:val="20"/>
              </w:rPr>
              <w:t xml:space="preserve">manages</w:t>
            </w:r>
            <w:r>
              <w:rPr>
                <w:rFonts w:ascii="Georgia" w:cs="Georgia" w:eastAsia="Georgia" w:hAnsi="Georgia"/>
                <w:color w:val="1F2A44"/>
                <w:sz w:val="20"/>
                <w:szCs w:val="20"/>
              </w:rPr>
              <w:t xml:space="preserve"> these tensions; it does not pretend they are absent.</w:t>
            </w:r>
          </w:p>
        </w:tc>
      </w:tr>
    </w:tbl>
    <w:p>
      <w:pPr>
        <w:spacing w:after="80"/>
      </w:pP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3 · The Frontier-Technology Domains</w:t>
      </w:r>
    </w:p>
    <w:p>
      <w:pPr>
        <w:spacing w:after="200" w:line="288"/>
      </w:pPr>
      <w:r>
        <w:rPr>
          <w:rFonts w:ascii="Georgia" w:cs="Georgia" w:eastAsia="Georgia" w:hAnsi="Georgia"/>
          <w:i/>
          <w:iCs/>
          <w:color w:val="55606E"/>
          <w:sz w:val="22"/>
          <w:szCs w:val="22"/>
        </w:rPr>
        <w:t xml:space="preserve">You will not be the deepest expert on any of these. You must hold, for each, a real technology primer, the state of the art, the key players, the single core governance dilemma, the regulatory landscape by jurisdiction, and the open questions — enough to reason intelligently under case pressure and to earn a technologist’s respect.</w:t>
      </w:r>
    </w:p>
    <w:p>
      <w:pPr>
        <w:spacing w:after="140" w:line="276"/>
        <w:jc w:val="both"/>
      </w:pPr>
      <w:r>
        <w:rPr>
          <w:rFonts w:ascii="Georgia" w:cs="Georgia" w:eastAsia="Georgia" w:hAnsi="Georgia"/>
          <w:color w:val="1A1A1A"/>
          <w:sz w:val="21"/>
          <w:szCs w:val="21"/>
        </w:rPr>
        <w:t xml:space="preserve">Apply the same seven-part scan to each domain so your knowledge is structured and recallable: </w:t>
      </w:r>
      <w:r>
        <w:rPr>
          <w:rFonts w:ascii="Georgia" w:cs="Georgia" w:eastAsia="Georgia" w:hAnsi="Georgia"/>
          <w:b/>
          <w:bCs/>
          <w:color w:val="1A1A1A"/>
          <w:sz w:val="21"/>
          <w:szCs w:val="21"/>
        </w:rPr>
        <w:t xml:space="preserve">(1) what it is (the primer); (2) state of the art and scale; (3) key players; (4) the core governance dilemma; (5) the regulatory landscape; (6) standards and bodies; (7) open questions and the toolkit angle.</w:t>
      </w:r>
      <w:r>
        <w:rPr>
          <w:rFonts w:ascii="Georgia" w:cs="Georgia" w:eastAsia="Georgia" w:hAnsi="Georgia"/>
          <w:color w:val="1A1A1A"/>
          <w:sz w:val="21"/>
          <w:szCs w:val="21"/>
        </w:rPr>
        <w:t xml:space="preserve"> The dilemmas are the payload — lead with them in any case.</w:t>
      </w:r>
    </w:p>
    <w:p>
      <w:pPr>
        <w:pStyle w:val="Heading2"/>
        <w:spacing w:after="100" w:before="220"/>
      </w:pPr>
      <w:r>
        <w:rPr>
          <w:rFonts w:ascii="Calibri" w:cs="Calibri" w:eastAsia="Calibri" w:hAnsi="Calibri"/>
          <w:b/>
          <w:bCs/>
          <w:color w:val="2F5D8A"/>
          <w:sz w:val="25"/>
          <w:szCs w:val="25"/>
        </w:rPr>
        <w:t xml:space="preserve">3.1 Artificial Intelligence and Foundation Models</w:t>
      </w:r>
    </w:p>
    <w:p>
      <w:pPr>
        <w:pStyle w:val="Heading3"/>
        <w:spacing w:after="70" w:before="160"/>
      </w:pPr>
      <w:r>
        <w:rPr>
          <w:rFonts w:ascii="Calibri" w:cs="Calibri" w:eastAsia="Calibri" w:hAnsi="Calibri"/>
          <w:b/>
          <w:bCs/>
          <w:color w:val="1F2A44"/>
          <w:sz w:val="22"/>
          <w:szCs w:val="22"/>
        </w:rPr>
        <w:t xml:space="preserve">The primer</w:t>
      </w:r>
    </w:p>
    <w:p>
      <w:pPr>
        <w:spacing w:after="140" w:line="276"/>
        <w:jc w:val="both"/>
      </w:pPr>
      <w:r>
        <w:rPr>
          <w:rFonts w:ascii="Georgia" w:cs="Georgia" w:eastAsia="Georgia" w:hAnsi="Georgia"/>
          <w:color w:val="1A1A1A"/>
          <w:sz w:val="21"/>
          <w:szCs w:val="21"/>
        </w:rPr>
        <w:t xml:space="preserve">Modern AI is dominated by </w:t>
      </w:r>
      <w:r>
        <w:rPr>
          <w:rFonts w:ascii="Georgia" w:cs="Georgia" w:eastAsia="Georgia" w:hAnsi="Georgia"/>
          <w:b/>
          <w:bCs/>
          <w:color w:val="1A1A1A"/>
          <w:sz w:val="21"/>
          <w:szCs w:val="21"/>
        </w:rPr>
        <w:t xml:space="preserve">machine learning</w:t>
      </w:r>
      <w:r>
        <w:rPr>
          <w:rFonts w:ascii="Georgia" w:cs="Georgia" w:eastAsia="Georgia" w:hAnsi="Georgia"/>
          <w:color w:val="1A1A1A"/>
          <w:sz w:val="21"/>
          <w:szCs w:val="21"/>
        </w:rPr>
        <w:t xml:space="preserve"> — systems that learn patterns from data rather than following hand-coded rules — and specifically by </w:t>
      </w:r>
      <w:r>
        <w:rPr>
          <w:rFonts w:ascii="Georgia" w:cs="Georgia" w:eastAsia="Georgia" w:hAnsi="Georgia"/>
          <w:b/>
          <w:bCs/>
          <w:color w:val="1A1A1A"/>
          <w:sz w:val="21"/>
          <w:szCs w:val="21"/>
        </w:rPr>
        <w:t xml:space="preserve">deep learning</w:t>
      </w:r>
      <w:r>
        <w:rPr>
          <w:rFonts w:ascii="Georgia" w:cs="Georgia" w:eastAsia="Georgia" w:hAnsi="Georgia"/>
          <w:color w:val="1A1A1A"/>
          <w:sz w:val="21"/>
          <w:szCs w:val="21"/>
        </w:rPr>
        <w:t xml:space="preserve"> using neural networks. The centre of gravity is the </w:t>
      </w:r>
      <w:r>
        <w:rPr>
          <w:rFonts w:ascii="Georgia" w:cs="Georgia" w:eastAsia="Georgia" w:hAnsi="Georgia"/>
          <w:b/>
          <w:bCs/>
          <w:color w:val="1A1A1A"/>
          <w:sz w:val="21"/>
          <w:szCs w:val="21"/>
        </w:rPr>
        <w:t xml:space="preserve">foundation model</w:t>
      </w:r>
      <w:r>
        <w:rPr>
          <w:rFonts w:ascii="Georgia" w:cs="Georgia" w:eastAsia="Georgia" w:hAnsi="Georgia"/>
          <w:color w:val="1A1A1A"/>
          <w:sz w:val="21"/>
          <w:szCs w:val="21"/>
        </w:rPr>
        <w:t xml:space="preserve"> (or </w:t>
      </w:r>
      <w:r>
        <w:rPr>
          <w:rFonts w:ascii="Georgia" w:cs="Georgia" w:eastAsia="Georgia" w:hAnsi="Georgia"/>
          <w:b/>
          <w:bCs/>
          <w:color w:val="1A1A1A"/>
          <w:sz w:val="21"/>
          <w:szCs w:val="21"/>
        </w:rPr>
        <w:t xml:space="preserve">general-purpose AI</w:t>
      </w:r>
      <w:r>
        <w:rPr>
          <w:rFonts w:ascii="Georgia" w:cs="Georgia" w:eastAsia="Georgia" w:hAnsi="Georgia"/>
          <w:color w:val="1A1A1A"/>
          <w:sz w:val="21"/>
          <w:szCs w:val="21"/>
        </w:rPr>
        <w:t xml:space="preserve">, GPAI in EU terminology): a very large model, typically a </w:t>
      </w:r>
      <w:r>
        <w:rPr>
          <w:rFonts w:ascii="Georgia" w:cs="Georgia" w:eastAsia="Georgia" w:hAnsi="Georgia"/>
          <w:b/>
          <w:bCs/>
          <w:color w:val="1A1A1A"/>
          <w:sz w:val="21"/>
          <w:szCs w:val="21"/>
        </w:rPr>
        <w:t xml:space="preserve">transformer</w:t>
      </w:r>
      <w:r>
        <w:rPr>
          <w:rFonts w:ascii="Georgia" w:cs="Georgia" w:eastAsia="Georgia" w:hAnsi="Georgia"/>
          <w:color w:val="1A1A1A"/>
          <w:sz w:val="21"/>
          <w:szCs w:val="21"/>
        </w:rPr>
        <w:t xml:space="preserve">, pre-trained on broad data via self-supervision and then adaptable to many downstream tasks. </w:t>
      </w:r>
      <w:r>
        <w:rPr>
          <w:rFonts w:ascii="Georgia" w:cs="Georgia" w:eastAsia="Georgia" w:hAnsi="Georgia"/>
          <w:b/>
          <w:bCs/>
          <w:color w:val="1A1A1A"/>
          <w:sz w:val="21"/>
          <w:szCs w:val="21"/>
        </w:rPr>
        <w:t xml:space="preserve">Large language models (LLMs)</w:t>
      </w:r>
      <w:r>
        <w:rPr>
          <w:rFonts w:ascii="Georgia" w:cs="Georgia" w:eastAsia="Georgia" w:hAnsi="Georgia"/>
          <w:color w:val="1A1A1A"/>
          <w:sz w:val="21"/>
          <w:szCs w:val="21"/>
        </w:rPr>
        <w:t xml:space="preserve"> are the best-known class. The current frontier is </w:t>
      </w:r>
      <w:r>
        <w:rPr>
          <w:rFonts w:ascii="Georgia" w:cs="Georgia" w:eastAsia="Georgia" w:hAnsi="Georgia"/>
          <w:b/>
          <w:bCs/>
          <w:color w:val="1A1A1A"/>
          <w:sz w:val="21"/>
          <w:szCs w:val="21"/>
        </w:rPr>
        <w:t xml:space="preserve">agentic AI</w:t>
      </w:r>
      <w:r>
        <w:rPr>
          <w:rFonts w:ascii="Georgia" w:cs="Georgia" w:eastAsia="Georgia" w:hAnsi="Georgia"/>
          <w:color w:val="1A1A1A"/>
          <w:sz w:val="21"/>
          <w:szCs w:val="21"/>
        </w:rPr>
        <w:t xml:space="preserve"> — models that plan and take actions through tools, not just generate text — and </w:t>
      </w:r>
      <w:r>
        <w:rPr>
          <w:rFonts w:ascii="Georgia" w:cs="Georgia" w:eastAsia="Georgia" w:hAnsi="Georgia"/>
          <w:b/>
          <w:bCs/>
          <w:color w:val="1A1A1A"/>
          <w:sz w:val="21"/>
          <w:szCs w:val="21"/>
        </w:rPr>
        <w:t xml:space="preserve">multimodal</w:t>
      </w:r>
      <w:r>
        <w:rPr>
          <w:rFonts w:ascii="Georgia" w:cs="Georgia" w:eastAsia="Georgia" w:hAnsi="Georgia"/>
          <w:color w:val="1A1A1A"/>
          <w:sz w:val="21"/>
          <w:szCs w:val="21"/>
        </w:rPr>
        <w:t xml:space="preserve"> models spanning text, image, audio and video. Key technical concepts an expert uses: </w:t>
      </w:r>
      <w:r>
        <w:rPr>
          <w:rFonts w:ascii="Georgia" w:cs="Georgia" w:eastAsia="Georgia" w:hAnsi="Georgia"/>
          <w:b/>
          <w:bCs/>
          <w:color w:val="1A1A1A"/>
          <w:sz w:val="21"/>
          <w:szCs w:val="21"/>
        </w:rPr>
        <w:t xml:space="preserve">training vs. inference</w:t>
      </w:r>
      <w:r>
        <w:rPr>
          <w:rFonts w:ascii="Georgia" w:cs="Georgia" w:eastAsia="Georgia" w:hAnsi="Georgia"/>
          <w:color w:val="1A1A1A"/>
          <w:sz w:val="21"/>
          <w:szCs w:val="21"/>
        </w:rPr>
        <w:t xml:space="preserve">, </w:t>
      </w:r>
      <w:r>
        <w:rPr>
          <w:rFonts w:ascii="Georgia" w:cs="Georgia" w:eastAsia="Georgia" w:hAnsi="Georgia"/>
          <w:b/>
          <w:bCs/>
          <w:color w:val="1A1A1A"/>
          <w:sz w:val="21"/>
          <w:szCs w:val="21"/>
        </w:rPr>
        <w:t xml:space="preserve">compute</w:t>
      </w:r>
      <w:r>
        <w:rPr>
          <w:rFonts w:ascii="Georgia" w:cs="Georgia" w:eastAsia="Georgia" w:hAnsi="Georgia"/>
          <w:color w:val="1A1A1A"/>
          <w:sz w:val="21"/>
          <w:szCs w:val="21"/>
        </w:rPr>
        <w:t xml:space="preserve"> (measured in FLOPs), </w:t>
      </w:r>
      <w:r>
        <w:rPr>
          <w:rFonts w:ascii="Georgia" w:cs="Georgia" w:eastAsia="Georgia" w:hAnsi="Georgia"/>
          <w:b/>
          <w:bCs/>
          <w:color w:val="1A1A1A"/>
          <w:sz w:val="21"/>
          <w:szCs w:val="21"/>
        </w:rPr>
        <w:t xml:space="preserve">fine-tuning</w:t>
      </w:r>
      <w:r>
        <w:rPr>
          <w:rFonts w:ascii="Georgia" w:cs="Georgia" w:eastAsia="Georgia" w:hAnsi="Georgia"/>
          <w:color w:val="1A1A1A"/>
          <w:sz w:val="21"/>
          <w:szCs w:val="21"/>
        </w:rPr>
        <w:t xml:space="preserve">, </w:t>
      </w:r>
      <w:r>
        <w:rPr>
          <w:rFonts w:ascii="Georgia" w:cs="Georgia" w:eastAsia="Georgia" w:hAnsi="Georgia"/>
          <w:b/>
          <w:bCs/>
          <w:color w:val="1A1A1A"/>
          <w:sz w:val="21"/>
          <w:szCs w:val="21"/>
        </w:rPr>
        <w:t xml:space="preserve">RAG</w:t>
      </w:r>
      <w:r>
        <w:rPr>
          <w:rFonts w:ascii="Georgia" w:cs="Georgia" w:eastAsia="Georgia" w:hAnsi="Georgia"/>
          <w:color w:val="1A1A1A"/>
          <w:sz w:val="21"/>
          <w:szCs w:val="21"/>
        </w:rPr>
        <w:t xml:space="preserve"> (retrieval-augmented generation), </w:t>
      </w:r>
      <w:r>
        <w:rPr>
          <w:rFonts w:ascii="Georgia" w:cs="Georgia" w:eastAsia="Georgia" w:hAnsi="Georgia"/>
          <w:b/>
          <w:bCs/>
          <w:color w:val="1A1A1A"/>
          <w:sz w:val="21"/>
          <w:szCs w:val="21"/>
        </w:rPr>
        <w:t xml:space="preserve">RLHF</w:t>
      </w:r>
      <w:r>
        <w:rPr>
          <w:rFonts w:ascii="Georgia" w:cs="Georgia" w:eastAsia="Georgia" w:hAnsi="Georgia"/>
          <w:color w:val="1A1A1A"/>
          <w:sz w:val="21"/>
          <w:szCs w:val="21"/>
        </w:rPr>
        <w:t xml:space="preserve"> (reinforcement learning from human feedback), </w:t>
      </w:r>
      <w:r>
        <w:rPr>
          <w:rFonts w:ascii="Georgia" w:cs="Georgia" w:eastAsia="Georgia" w:hAnsi="Georgia"/>
          <w:b/>
          <w:bCs/>
          <w:color w:val="1A1A1A"/>
          <w:sz w:val="21"/>
          <w:szCs w:val="21"/>
        </w:rPr>
        <w:t xml:space="preserve">evaluations/“evals”</w:t>
      </w:r>
      <w:r>
        <w:rPr>
          <w:rFonts w:ascii="Georgia" w:cs="Georgia" w:eastAsia="Georgia" w:hAnsi="Georgia"/>
          <w:color w:val="1A1A1A"/>
          <w:sz w:val="21"/>
          <w:szCs w:val="21"/>
        </w:rPr>
        <w:t xml:space="preserve"> and </w:t>
      </w:r>
      <w:r>
        <w:rPr>
          <w:rFonts w:ascii="Georgia" w:cs="Georgia" w:eastAsia="Georgia" w:hAnsi="Georgia"/>
          <w:b/>
          <w:bCs/>
          <w:color w:val="1A1A1A"/>
          <w:sz w:val="21"/>
          <w:szCs w:val="21"/>
        </w:rPr>
        <w:t xml:space="preserve">red-teaming</w:t>
      </w:r>
      <w:r>
        <w:rPr>
          <w:rFonts w:ascii="Georgia" w:cs="Georgia" w:eastAsia="Georgia" w:hAnsi="Georgia"/>
          <w:color w:val="1A1A1A"/>
          <w:sz w:val="21"/>
          <w:szCs w:val="21"/>
        </w:rPr>
        <w:t xml:space="preserve">, </w:t>
      </w:r>
      <w:r>
        <w:rPr>
          <w:rFonts w:ascii="Georgia" w:cs="Georgia" w:eastAsia="Georgia" w:hAnsi="Georgia"/>
          <w:b/>
          <w:bCs/>
          <w:color w:val="1A1A1A"/>
          <w:sz w:val="21"/>
          <w:szCs w:val="21"/>
        </w:rPr>
        <w:t xml:space="preserve">hallucination</w:t>
      </w:r>
      <w:r>
        <w:rPr>
          <w:rFonts w:ascii="Georgia" w:cs="Georgia" w:eastAsia="Georgia" w:hAnsi="Georgia"/>
          <w:color w:val="1A1A1A"/>
          <w:sz w:val="21"/>
          <w:szCs w:val="21"/>
        </w:rPr>
        <w:t xml:space="preserve">, and </w:t>
      </w:r>
      <w:r>
        <w:rPr>
          <w:rFonts w:ascii="Georgia" w:cs="Georgia" w:eastAsia="Georgia" w:hAnsi="Georgia"/>
          <w:b/>
          <w:bCs/>
          <w:color w:val="1A1A1A"/>
          <w:sz w:val="21"/>
          <w:szCs w:val="21"/>
        </w:rPr>
        <w:t xml:space="preserve">alignment</w:t>
      </w:r>
      <w:r>
        <w:rPr>
          <w:rFonts w:ascii="Georgia" w:cs="Georgia" w:eastAsia="Georgia" w:hAnsi="Georgia"/>
          <w:color w:val="1A1A1A"/>
          <w:sz w:val="21"/>
          <w:szCs w:val="21"/>
        </w:rPr>
        <w:t xml:space="preserve">.</w:t>
      </w:r>
    </w:p>
    <w:p>
      <w:pPr>
        <w:pStyle w:val="Heading3"/>
        <w:spacing w:after="70" w:before="160"/>
      </w:pPr>
      <w:r>
        <w:rPr>
          <w:rFonts w:ascii="Calibri" w:cs="Calibri" w:eastAsia="Calibri" w:hAnsi="Calibri"/>
          <w:b/>
          <w:bCs/>
          <w:color w:val="1F2A44"/>
          <w:sz w:val="22"/>
          <w:szCs w:val="22"/>
        </w:rPr>
        <w:t xml:space="preserve">State of the art and scale</w:t>
      </w:r>
    </w:p>
    <w:p>
      <w:pPr>
        <w:spacing w:after="140" w:line="276"/>
        <w:jc w:val="both"/>
      </w:pPr>
      <w:r>
        <w:rPr>
          <w:rFonts w:ascii="Georgia" w:cs="Georgia" w:eastAsia="Georgia" w:hAnsi="Georgia"/>
          <w:color w:val="1A1A1A"/>
          <w:sz w:val="21"/>
          <w:szCs w:val="21"/>
        </w:rPr>
        <w:t xml:space="preserve">Capability is advancing faster than the science of </w:t>
      </w:r>
      <w:r>
        <w:rPr>
          <w:rFonts w:ascii="Georgia" w:cs="Georgia" w:eastAsia="Georgia" w:hAnsi="Georgia"/>
          <w:i/>
          <w:iCs/>
          <w:color w:val="1A1A1A"/>
          <w:sz w:val="21"/>
          <w:szCs w:val="21"/>
        </w:rPr>
        <w:t xml:space="preserve">evaluating</w:t>
      </w:r>
      <w:r>
        <w:rPr>
          <w:rFonts w:ascii="Georgia" w:cs="Georgia" w:eastAsia="Georgia" w:hAnsi="Georgia"/>
          <w:color w:val="1A1A1A"/>
          <w:sz w:val="21"/>
          <w:szCs w:val="21"/>
        </w:rPr>
        <w:t xml:space="preserve"> capability — the root of the governance problem. The AI market is the largest of the frontier domains (hundreds of billions of dollars and rising steeply), development is concentrated in a handful of US and Chinese labs, and </w:t>
      </w:r>
      <w:r>
        <w:rPr>
          <w:rFonts w:ascii="Georgia" w:cs="Georgia" w:eastAsia="Georgia" w:hAnsi="Georgia"/>
          <w:b/>
          <w:bCs/>
          <w:color w:val="1A1A1A"/>
          <w:sz w:val="21"/>
          <w:szCs w:val="21"/>
        </w:rPr>
        <w:t xml:space="preserve">compute, data and capital</w:t>
      </w:r>
      <w:r>
        <w:rPr>
          <w:rFonts w:ascii="Georgia" w:cs="Georgia" w:eastAsia="Georgia" w:hAnsi="Georgia"/>
          <w:color w:val="1A1A1A"/>
          <w:sz w:val="21"/>
          <w:szCs w:val="21"/>
        </w:rPr>
        <w:t xml:space="preserve"> are the binding constraints, which is why </w:t>
      </w:r>
      <w:r>
        <w:rPr>
          <w:rFonts w:ascii="Georgia" w:cs="Georgia" w:eastAsia="Georgia" w:hAnsi="Georgia"/>
          <w:i/>
          <w:iCs/>
          <w:color w:val="1A1A1A"/>
          <w:sz w:val="21"/>
          <w:szCs w:val="21"/>
        </w:rPr>
        <w:t xml:space="preserve">compute governance</w:t>
      </w:r>
      <w:r>
        <w:rPr>
          <w:rFonts w:ascii="Georgia" w:cs="Georgia" w:eastAsia="Georgia" w:hAnsi="Georgia"/>
          <w:color w:val="1A1A1A"/>
          <w:sz w:val="21"/>
          <w:szCs w:val="21"/>
        </w:rPr>
        <w:t xml:space="preserve"> has become a policy lever in its own right.</w:t>
      </w:r>
    </w:p>
    <w:p>
      <w:pPr>
        <w:pStyle w:val="Heading3"/>
        <w:spacing w:after="70" w:before="160"/>
      </w:pPr>
      <w:r>
        <w:rPr>
          <w:rFonts w:ascii="Calibri" w:cs="Calibri" w:eastAsia="Calibri" w:hAnsi="Calibri"/>
          <w:b/>
          <w:bCs/>
          <w:color w:val="1F2A44"/>
          <w:sz w:val="22"/>
          <w:szCs w:val="22"/>
        </w:rPr>
        <w:t xml:space="preserve">Key players</w:t>
      </w:r>
    </w:p>
    <w:p>
      <w:pPr>
        <w:spacing w:after="140" w:line="276"/>
        <w:jc w:val="both"/>
      </w:pPr>
      <w:r>
        <w:rPr>
          <w:rFonts w:ascii="Georgia" w:cs="Georgia" w:eastAsia="Georgia" w:hAnsi="Georgia"/>
          <w:color w:val="1A1A1A"/>
          <w:sz w:val="21"/>
          <w:szCs w:val="21"/>
        </w:rPr>
        <w:t xml:space="preserve">Frontier labs (OpenAI, Anthropic, Google DeepMind, Meta, xAI, Mistral; in China, DeepSeek, Alibaba, Zhipu), compute providers (NVIDIA, the hyperscalers), and on the governance side the </w:t>
      </w:r>
      <w:r>
        <w:rPr>
          <w:rFonts w:ascii="Georgia" w:cs="Georgia" w:eastAsia="Georgia" w:hAnsi="Georgia"/>
          <w:b/>
          <w:bCs/>
          <w:color w:val="1A1A1A"/>
          <w:sz w:val="21"/>
          <w:szCs w:val="21"/>
        </w:rPr>
        <w:t xml:space="preserve">EU AI Office</w:t>
      </w:r>
      <w:r>
        <w:rPr>
          <w:rFonts w:ascii="Georgia" w:cs="Georgia" w:eastAsia="Georgia" w:hAnsi="Georgia"/>
          <w:color w:val="1A1A1A"/>
          <w:sz w:val="21"/>
          <w:szCs w:val="21"/>
        </w:rPr>
        <w:t xml:space="preserve">, </w:t>
      </w:r>
      <w:r>
        <w:rPr>
          <w:rFonts w:ascii="Georgia" w:cs="Georgia" w:eastAsia="Georgia" w:hAnsi="Georgia"/>
          <w:b/>
          <w:bCs/>
          <w:color w:val="1A1A1A"/>
          <w:sz w:val="21"/>
          <w:szCs w:val="21"/>
        </w:rPr>
        <w:t xml:space="preserve">NIST</w:t>
      </w:r>
      <w:r>
        <w:rPr>
          <w:rFonts w:ascii="Georgia" w:cs="Georgia" w:eastAsia="Georgia" w:hAnsi="Georgia"/>
          <w:color w:val="1A1A1A"/>
          <w:sz w:val="21"/>
          <w:szCs w:val="21"/>
        </w:rPr>
        <w:t xml:space="preserve"> (and its US AI Safety/■ Standards work), the </w:t>
      </w:r>
      <w:r>
        <w:rPr>
          <w:rFonts w:ascii="Georgia" w:cs="Georgia" w:eastAsia="Georgia" w:hAnsi="Georgia"/>
          <w:b/>
          <w:bCs/>
          <w:color w:val="1A1A1A"/>
          <w:sz w:val="21"/>
          <w:szCs w:val="21"/>
        </w:rPr>
        <w:t xml:space="preserve">UK AI Security Institute</w:t>
      </w:r>
      <w:r>
        <w:rPr>
          <w:rFonts w:ascii="Georgia" w:cs="Georgia" w:eastAsia="Georgia" w:hAnsi="Georgia"/>
          <w:color w:val="1A1A1A"/>
          <w:sz w:val="21"/>
          <w:szCs w:val="21"/>
        </w:rPr>
        <w:t xml:space="preserve">, the </w:t>
      </w:r>
      <w:r>
        <w:rPr>
          <w:rFonts w:ascii="Georgia" w:cs="Georgia" w:eastAsia="Georgia" w:hAnsi="Georgia"/>
          <w:b/>
          <w:bCs/>
          <w:color w:val="1A1A1A"/>
          <w:sz w:val="21"/>
          <w:szCs w:val="21"/>
        </w:rPr>
        <w:t xml:space="preserve">OECD.AI</w:t>
      </w:r>
      <w:r>
        <w:rPr>
          <w:rFonts w:ascii="Georgia" w:cs="Georgia" w:eastAsia="Georgia" w:hAnsi="Georgia"/>
          <w:color w:val="1A1A1A"/>
          <w:sz w:val="21"/>
          <w:szCs w:val="21"/>
        </w:rPr>
        <w:t xml:space="preserve"> observatory, and the network of national </w:t>
      </w:r>
      <w:r>
        <w:rPr>
          <w:rFonts w:ascii="Georgia" w:cs="Georgia" w:eastAsia="Georgia" w:hAnsi="Georgia"/>
          <w:b/>
          <w:bCs/>
          <w:color w:val="1A1A1A"/>
          <w:sz w:val="21"/>
          <w:szCs w:val="21"/>
        </w:rPr>
        <w:t xml:space="preserve">AI Safety/Security Institutes</w:t>
      </w:r>
      <w:r>
        <w:rPr>
          <w:rFonts w:ascii="Georgia" w:cs="Georgia" w:eastAsia="Georgia" w:hAnsi="Georgia"/>
          <w:color w:val="1A1A1A"/>
          <w:sz w:val="21"/>
          <w:szCs w:val="21"/>
        </w:rPr>
        <w:t xml:space="preserve">.</w:t>
      </w:r>
    </w:p>
    <w:p>
      <w:pPr>
        <w:pStyle w:val="Heading3"/>
        <w:spacing w:after="70" w:before="160"/>
      </w:pPr>
      <w:r>
        <w:rPr>
          <w:rFonts w:ascii="Calibri" w:cs="Calibri" w:eastAsia="Calibri" w:hAnsi="Calibri"/>
          <w:b/>
          <w:bCs/>
          <w:color w:val="1F2A44"/>
          <w:sz w:val="22"/>
          <w:szCs w:val="22"/>
        </w:rPr>
        <w:t xml:space="preserve">Core governance dilemma</w:t>
      </w:r>
    </w:p>
    <w:p>
      <w:pPr>
        <w:spacing w:after="140" w:line="276"/>
        <w:jc w:val="both"/>
      </w:pPr>
      <w:r>
        <w:rPr>
          <w:rFonts w:ascii="Georgia" w:cs="Georgia" w:eastAsia="Georgia" w:hAnsi="Georgia"/>
          <w:b/>
          <w:bCs/>
          <w:color w:val="1A1A1A"/>
          <w:sz w:val="21"/>
          <w:szCs w:val="21"/>
        </w:rPr>
        <w:t xml:space="preserve">How do you regulate a general-purpose technology whose risks are emergent, whose own developers cannot fully predict its capabilities, and whose development is concentrated in a few firms — without freezing innovation or licensing harm?</w:t>
      </w:r>
      <w:r>
        <w:rPr>
          <w:rFonts w:ascii="Georgia" w:cs="Georgia" w:eastAsia="Georgia" w:hAnsi="Georgia"/>
          <w:color w:val="1A1A1A"/>
          <w:sz w:val="21"/>
          <w:szCs w:val="21"/>
        </w:rPr>
        <w:t xml:space="preserve"> The recurring sub-tension: govern the </w:t>
      </w:r>
      <w:r>
        <w:rPr>
          <w:rFonts w:ascii="Georgia" w:cs="Georgia" w:eastAsia="Georgia" w:hAnsi="Georgia"/>
          <w:b/>
          <w:bCs/>
          <w:color w:val="1A1A1A"/>
          <w:sz w:val="21"/>
          <w:szCs w:val="21"/>
        </w:rPr>
        <w:t xml:space="preserve">model</w:t>
      </w:r>
      <w:r>
        <w:rPr>
          <w:rFonts w:ascii="Georgia" w:cs="Georgia" w:eastAsia="Georgia" w:hAnsi="Georgia"/>
          <w:color w:val="1A1A1A"/>
          <w:sz w:val="21"/>
          <w:szCs w:val="21"/>
        </w:rPr>
        <w:t xml:space="preserve"> (at the foundation layer) or the </w:t>
      </w:r>
      <w:r>
        <w:rPr>
          <w:rFonts w:ascii="Georgia" w:cs="Georgia" w:eastAsia="Georgia" w:hAnsi="Georgia"/>
          <w:b/>
          <w:bCs/>
          <w:color w:val="1A1A1A"/>
          <w:sz w:val="21"/>
          <w:szCs w:val="21"/>
        </w:rPr>
        <w:t xml:space="preserve">use</w:t>
      </w:r>
      <w:r>
        <w:rPr>
          <w:rFonts w:ascii="Georgia" w:cs="Georgia" w:eastAsia="Georgia" w:hAnsi="Georgia"/>
          <w:color w:val="1A1A1A"/>
          <w:sz w:val="21"/>
          <w:szCs w:val="21"/>
        </w:rPr>
        <w:t xml:space="preserve"> (at the application layer).</w:t>
      </w:r>
    </w:p>
    <w:p>
      <w:pPr>
        <w:pStyle w:val="Heading3"/>
        <w:spacing w:after="70" w:before="160"/>
      </w:pPr>
      <w:r>
        <w:rPr>
          <w:rFonts w:ascii="Calibri" w:cs="Calibri" w:eastAsia="Calibri" w:hAnsi="Calibri"/>
          <w:b/>
          <w:bCs/>
          <w:color w:val="1F2A44"/>
          <w:sz w:val="22"/>
          <w:szCs w:val="22"/>
        </w:rPr>
        <w:t xml:space="preserve">Regulatory landscape</w:t>
      </w:r>
    </w:p>
    <w:p>
      <w:pPr>
        <w:pStyle w:val="ListParagraph"/>
        <w:numPr>
          <w:ilvl w:val="0"/>
          <w:numId w:val="1"/>
        </w:numPr>
        <w:spacing w:after="70" w:line="268"/>
      </w:pPr>
      <w:r>
        <w:rPr>
          <w:rFonts w:ascii="Georgia" w:cs="Georgia" w:eastAsia="Georgia" w:hAnsi="Georgia"/>
          <w:b/>
          <w:bCs/>
          <w:color w:val="1A1A1A"/>
          <w:sz w:val="21"/>
          <w:szCs w:val="21"/>
        </w:rPr>
        <w:t xml:space="preserve">EU — the AI Act:</w:t>
      </w:r>
      <w:r>
        <w:rPr>
          <w:rFonts w:ascii="Georgia" w:cs="Georgia" w:eastAsia="Georgia" w:hAnsi="Georgia"/>
          <w:color w:val="1A1A1A"/>
          <w:sz w:val="21"/>
          <w:szCs w:val="21"/>
        </w:rPr>
        <w:t xml:space="preserve"> the first comprehensive horizontal AI law; in force since August 2024, phasing in — prohibited practices and AI-literacy duties (Feb 2025), </w:t>
      </w:r>
      <w:r>
        <w:rPr>
          <w:rFonts w:ascii="Georgia" w:cs="Georgia" w:eastAsia="Georgia" w:hAnsi="Georgia"/>
          <w:b/>
          <w:bCs/>
          <w:color w:val="1A1A1A"/>
          <w:sz w:val="21"/>
          <w:szCs w:val="21"/>
        </w:rPr>
        <w:t xml:space="preserve">GPAI-model obligations (Aug 2025)</w:t>
      </w:r>
      <w:r>
        <w:rPr>
          <w:rFonts w:ascii="Georgia" w:cs="Georgia" w:eastAsia="Georgia" w:hAnsi="Georgia"/>
          <w:color w:val="1A1A1A"/>
          <w:sz w:val="21"/>
          <w:szCs w:val="21"/>
        </w:rPr>
        <w:t xml:space="preserve">, most high-risk rules (Aug 2026), full application (2027). Risk-tiered (unacceptable/high/limited/minimal). GPAI models with </w:t>
      </w:r>
      <w:r>
        <w:rPr>
          <w:rFonts w:ascii="Georgia" w:cs="Georgia" w:eastAsia="Georgia" w:hAnsi="Georgia"/>
          <w:b/>
          <w:bCs/>
          <w:color w:val="1A1A1A"/>
          <w:sz w:val="21"/>
          <w:szCs w:val="21"/>
        </w:rPr>
        <w:t xml:space="preserve">systemic risk</w:t>
      </w:r>
      <w:r>
        <w:rPr>
          <w:rFonts w:ascii="Georgia" w:cs="Georgia" w:eastAsia="Georgia" w:hAnsi="Georgia"/>
          <w:color w:val="1A1A1A"/>
          <w:sz w:val="21"/>
          <w:szCs w:val="21"/>
        </w:rPr>
        <w:t xml:space="preserve"> (a compute threshold of 10^25 FLOPs is the presumptive trigger) face extra duties — model evaluation, adversarial testing, serious-incident reporting to the AI Office, and cybersecurity — supported by a voluntary </w:t>
      </w:r>
      <w:r>
        <w:rPr>
          <w:rFonts w:ascii="Georgia" w:cs="Georgia" w:eastAsia="Georgia" w:hAnsi="Georgia"/>
          <w:b/>
          <w:bCs/>
          <w:color w:val="1A1A1A"/>
          <w:sz w:val="21"/>
          <w:szCs w:val="21"/>
        </w:rPr>
        <w:t xml:space="preserve">GPAI Code of Practice (July 2025)</w:t>
      </w:r>
      <w:r>
        <w:rPr>
          <w:rFonts w:ascii="Georgia" w:cs="Georgia" w:eastAsia="Georgia" w:hAnsi="Georgia"/>
          <w:color w:val="1A1A1A"/>
          <w:sz w:val="21"/>
          <w:szCs w:val="21"/>
        </w:rPr>
        <w:t xml:space="preserve">.</w:t>
      </w:r>
    </w:p>
    <w:p>
      <w:pPr>
        <w:pStyle w:val="ListParagraph"/>
        <w:numPr>
          <w:ilvl w:val="0"/>
          <w:numId w:val="1"/>
        </w:numPr>
        <w:spacing w:after="70" w:line="268"/>
      </w:pPr>
      <w:r>
        <w:rPr>
          <w:rFonts w:ascii="Georgia" w:cs="Georgia" w:eastAsia="Georgia" w:hAnsi="Georgia"/>
          <w:b/>
          <w:bCs/>
          <w:color w:val="1A1A1A"/>
          <w:sz w:val="21"/>
          <w:szCs w:val="21"/>
        </w:rPr>
        <w:t xml:space="preserve">United States</w:t>
      </w:r>
      <w:r>
        <w:rPr>
          <w:rFonts w:ascii="Georgia" w:cs="Georgia" w:eastAsia="Georgia" w:hAnsi="Georgia"/>
          <w:color w:val="1A1A1A"/>
          <w:sz w:val="21"/>
          <w:szCs w:val="21"/>
        </w:rPr>
        <w:t xml:space="preserve"> — market-led and sectoral: executive action and agency guidance rather than a comprehensive statute, the </w:t>
      </w:r>
      <w:r>
        <w:rPr>
          <w:rFonts w:ascii="Georgia" w:cs="Georgia" w:eastAsia="Georgia" w:hAnsi="Georgia"/>
          <w:b/>
          <w:bCs/>
          <w:color w:val="1A1A1A"/>
          <w:sz w:val="21"/>
          <w:szCs w:val="21"/>
        </w:rPr>
        <w:t xml:space="preserve">NIST AI Risk Management Framework</w:t>
      </w:r>
      <w:r>
        <w:rPr>
          <w:rFonts w:ascii="Georgia" w:cs="Georgia" w:eastAsia="Georgia" w:hAnsi="Georgia"/>
          <w:color w:val="1A1A1A"/>
          <w:sz w:val="21"/>
          <w:szCs w:val="21"/>
        </w:rPr>
        <w:t xml:space="preserve"> as the voluntary backbone, and a fast-growing patchwork of state laws (Colorado, California).</w:t>
      </w:r>
    </w:p>
    <w:p>
      <w:pPr>
        <w:pStyle w:val="ListParagraph"/>
        <w:numPr>
          <w:ilvl w:val="0"/>
          <w:numId w:val="1"/>
        </w:numPr>
        <w:spacing w:after="70" w:line="268"/>
      </w:pPr>
      <w:r>
        <w:rPr>
          <w:rFonts w:ascii="Georgia" w:cs="Georgia" w:eastAsia="Georgia" w:hAnsi="Georgia"/>
          <w:b/>
          <w:bCs/>
          <w:color w:val="1A1A1A"/>
          <w:sz w:val="21"/>
          <w:szCs w:val="21"/>
        </w:rPr>
        <w:t xml:space="preserve">United Kingdom</w:t>
      </w:r>
      <w:r>
        <w:rPr>
          <w:rFonts w:ascii="Georgia" w:cs="Georgia" w:eastAsia="Georgia" w:hAnsi="Georgia"/>
          <w:color w:val="1A1A1A"/>
          <w:sz w:val="21"/>
          <w:szCs w:val="21"/>
        </w:rPr>
        <w:t xml:space="preserve"> — deliberately </w:t>
      </w:r>
      <w:r>
        <w:rPr>
          <w:rFonts w:ascii="Georgia" w:cs="Georgia" w:eastAsia="Georgia" w:hAnsi="Georgia"/>
          <w:b/>
          <w:bCs/>
          <w:color w:val="1A1A1A"/>
          <w:sz w:val="21"/>
          <w:szCs w:val="21"/>
        </w:rPr>
        <w:t xml:space="preserve">principles-based and pro-innovation</w:t>
      </w:r>
      <w:r>
        <w:rPr>
          <w:rFonts w:ascii="Georgia" w:cs="Georgia" w:eastAsia="Georgia" w:hAnsi="Georgia"/>
          <w:color w:val="1A1A1A"/>
          <w:sz w:val="21"/>
          <w:szCs w:val="21"/>
        </w:rPr>
        <w:t xml:space="preserve">, empowering existing sector regulators rather than passing one AI law, paired with the </w:t>
      </w:r>
      <w:r>
        <w:rPr>
          <w:rFonts w:ascii="Georgia" w:cs="Georgia" w:eastAsia="Georgia" w:hAnsi="Georgia"/>
          <w:b/>
          <w:bCs/>
          <w:color w:val="1A1A1A"/>
          <w:sz w:val="21"/>
          <w:szCs w:val="21"/>
        </w:rPr>
        <w:t xml:space="preserve">AI Security Institute</w:t>
      </w:r>
      <w:r>
        <w:rPr>
          <w:rFonts w:ascii="Georgia" w:cs="Georgia" w:eastAsia="Georgia" w:hAnsi="Georgia"/>
          <w:color w:val="1A1A1A"/>
          <w:sz w:val="21"/>
          <w:szCs w:val="21"/>
        </w:rPr>
        <w:t xml:space="preserve"> (renamed from the AI Safety Institute in early 2025, a telling pivot toward security and criminal-misuse threats).</w:t>
      </w:r>
    </w:p>
    <w:p>
      <w:pPr>
        <w:pStyle w:val="ListParagraph"/>
        <w:numPr>
          <w:ilvl w:val="0"/>
          <w:numId w:val="1"/>
        </w:numPr>
        <w:spacing w:after="70" w:line="268"/>
      </w:pPr>
      <w:r>
        <w:rPr>
          <w:rFonts w:ascii="Georgia" w:cs="Georgia" w:eastAsia="Georgia" w:hAnsi="Georgia"/>
          <w:b/>
          <w:bCs/>
          <w:color w:val="1A1A1A"/>
          <w:sz w:val="21"/>
          <w:szCs w:val="21"/>
        </w:rPr>
        <w:t xml:space="preserve">China</w:t>
      </w:r>
      <w:r>
        <w:rPr>
          <w:rFonts w:ascii="Georgia" w:cs="Georgia" w:eastAsia="Georgia" w:hAnsi="Georgia"/>
          <w:color w:val="1A1A1A"/>
          <w:sz w:val="21"/>
          <w:szCs w:val="21"/>
        </w:rPr>
        <w:t xml:space="preserve"> — vertical and targeted: measures on recommendation algorithms, deep synthesis and generative AI, with an </w:t>
      </w:r>
      <w:r>
        <w:rPr>
          <w:rFonts w:ascii="Georgia" w:cs="Georgia" w:eastAsia="Georgia" w:hAnsi="Georgia"/>
          <w:b/>
          <w:bCs/>
          <w:color w:val="1A1A1A"/>
          <w:sz w:val="21"/>
          <w:szCs w:val="21"/>
        </w:rPr>
        <w:t xml:space="preserve">algorithm registry</w:t>
      </w:r>
      <w:r>
        <w:rPr>
          <w:rFonts w:ascii="Georgia" w:cs="Georgia" w:eastAsia="Georgia" w:hAnsi="Georgia"/>
          <w:color w:val="1A1A1A"/>
          <w:sz w:val="21"/>
          <w:szCs w:val="21"/>
        </w:rPr>
        <w:t xml:space="preserve"> and security/labelling requirements filed to the Cyberspace Administration of China (CAC).</w:t>
      </w:r>
    </w:p>
    <w:p>
      <w:pPr>
        <w:pStyle w:val="ListParagraph"/>
        <w:numPr>
          <w:ilvl w:val="0"/>
          <w:numId w:val="1"/>
        </w:numPr>
        <w:spacing w:after="70" w:line="268"/>
      </w:pPr>
      <w:r>
        <w:rPr>
          <w:rFonts w:ascii="Georgia" w:cs="Georgia" w:eastAsia="Georgia" w:hAnsi="Georgia"/>
          <w:b/>
          <w:bCs/>
          <w:color w:val="1A1A1A"/>
          <w:sz w:val="21"/>
          <w:szCs w:val="21"/>
        </w:rPr>
        <w:t xml:space="preserve">International</w:t>
      </w:r>
      <w:r>
        <w:rPr>
          <w:rFonts w:ascii="Georgia" w:cs="Georgia" w:eastAsia="Georgia" w:hAnsi="Georgia"/>
          <w:color w:val="1A1A1A"/>
          <w:sz w:val="21"/>
          <w:szCs w:val="21"/>
        </w:rPr>
        <w:t xml:space="preserve"> — the OECD AI Principles, the </w:t>
      </w:r>
      <w:r>
        <w:rPr>
          <w:rFonts w:ascii="Georgia" w:cs="Georgia" w:eastAsia="Georgia" w:hAnsi="Georgia"/>
          <w:b/>
          <w:bCs/>
          <w:color w:val="1A1A1A"/>
          <w:sz w:val="21"/>
          <w:szCs w:val="21"/>
        </w:rPr>
        <w:t xml:space="preserve">G7 Hiroshima Process</w:t>
      </w:r>
      <w:r>
        <w:rPr>
          <w:rFonts w:ascii="Georgia" w:cs="Georgia" w:eastAsia="Georgia" w:hAnsi="Georgia"/>
          <w:color w:val="1A1A1A"/>
          <w:sz w:val="21"/>
          <w:szCs w:val="21"/>
        </w:rPr>
        <w:t xml:space="preserve"> code of conduct, and the </w:t>
      </w:r>
      <w:r>
        <w:rPr>
          <w:rFonts w:ascii="Georgia" w:cs="Georgia" w:eastAsia="Georgia" w:hAnsi="Georgia"/>
          <w:b/>
          <w:bCs/>
          <w:color w:val="1A1A1A"/>
          <w:sz w:val="21"/>
          <w:szCs w:val="21"/>
        </w:rPr>
        <w:t xml:space="preserve">Council of Europe Framework Convention on AI</w:t>
      </w:r>
      <w:r>
        <w:rPr>
          <w:rFonts w:ascii="Georgia" w:cs="Georgia" w:eastAsia="Georgia" w:hAnsi="Georgia"/>
          <w:color w:val="1A1A1A"/>
          <w:sz w:val="21"/>
          <w:szCs w:val="21"/>
        </w:rPr>
        <w:t xml:space="preserve"> (opened 2024, the first binding international AI treaty, rights-anchored and open beyond Europe).</w:t>
      </w:r>
    </w:p>
    <w:p>
      <w:pPr>
        <w:pStyle w:val="Heading3"/>
        <w:spacing w:after="70" w:before="160"/>
      </w:pPr>
      <w:r>
        <w:rPr>
          <w:rFonts w:ascii="Calibri" w:cs="Calibri" w:eastAsia="Calibri" w:hAnsi="Calibri"/>
          <w:b/>
          <w:bCs/>
          <w:color w:val="1F2A44"/>
          <w:sz w:val="22"/>
          <w:szCs w:val="22"/>
        </w:rPr>
        <w:t xml:space="preserve">Open questions and the toolkit angle</w:t>
      </w:r>
    </w:p>
    <w:p>
      <w:pPr>
        <w:spacing w:after="140" w:line="276"/>
        <w:jc w:val="both"/>
      </w:pPr>
      <w:r>
        <w:rPr>
          <w:rFonts w:ascii="Georgia" w:cs="Georgia" w:eastAsia="Georgia" w:hAnsi="Georgia"/>
          <w:color w:val="1A1A1A"/>
          <w:sz w:val="21"/>
          <w:szCs w:val="21"/>
        </w:rPr>
        <w:t xml:space="preserve">Open: the immature science of frontier-model </w:t>
      </w:r>
      <w:r>
        <w:rPr>
          <w:rFonts w:ascii="Georgia" w:cs="Georgia" w:eastAsia="Georgia" w:hAnsi="Georgia"/>
          <w:b/>
          <w:bCs/>
          <w:color w:val="1A1A1A"/>
          <w:sz w:val="21"/>
          <w:szCs w:val="21"/>
        </w:rPr>
        <w:t xml:space="preserve">evaluation</w:t>
      </w:r>
      <w:r>
        <w:rPr>
          <w:rFonts w:ascii="Georgia" w:cs="Georgia" w:eastAsia="Georgia" w:hAnsi="Georgia"/>
          <w:color w:val="1A1A1A"/>
          <w:sz w:val="21"/>
          <w:szCs w:val="21"/>
        </w:rPr>
        <w:t xml:space="preserve">; liability across the AI value chain; </w:t>
      </w:r>
      <w:r>
        <w:rPr>
          <w:rFonts w:ascii="Georgia" w:cs="Georgia" w:eastAsia="Georgia" w:hAnsi="Georgia"/>
          <w:b/>
          <w:bCs/>
          <w:color w:val="1A1A1A"/>
          <w:sz w:val="21"/>
          <w:szCs w:val="21"/>
        </w:rPr>
        <w:t xml:space="preserve">open-weight</w:t>
      </w:r>
      <w:r>
        <w:rPr>
          <w:rFonts w:ascii="Georgia" w:cs="Georgia" w:eastAsia="Georgia" w:hAnsi="Georgia"/>
          <w:color w:val="1A1A1A"/>
          <w:sz w:val="21"/>
          <w:szCs w:val="21"/>
        </w:rPr>
        <w:t xml:space="preserve"> models and the diffusion of capability; </w:t>
      </w:r>
      <w:r>
        <w:rPr>
          <w:rFonts w:ascii="Georgia" w:cs="Georgia" w:eastAsia="Georgia" w:hAnsi="Georgia"/>
          <w:b/>
          <w:bCs/>
          <w:color w:val="1A1A1A"/>
          <w:sz w:val="21"/>
          <w:szCs w:val="21"/>
        </w:rPr>
        <w:t xml:space="preserve">compute governance</w:t>
      </w:r>
      <w:r>
        <w:rPr>
          <w:rFonts w:ascii="Georgia" w:cs="Georgia" w:eastAsia="Georgia" w:hAnsi="Georgia"/>
          <w:color w:val="1A1A1A"/>
          <w:sz w:val="21"/>
          <w:szCs w:val="21"/>
        </w:rPr>
        <w:t xml:space="preserve">; the copyright/training-data fight; and agentic AI’s accountability gap. Toolkit angle: AI is the canonical case for </w:t>
      </w:r>
      <w:r>
        <w:rPr>
          <w:rFonts w:ascii="Georgia" w:cs="Georgia" w:eastAsia="Georgia" w:hAnsi="Georgia"/>
          <w:b/>
          <w:bCs/>
          <w:color w:val="1A1A1A"/>
          <w:sz w:val="21"/>
          <w:szCs w:val="21"/>
        </w:rPr>
        <w:t xml:space="preserve">sandboxes, outcome-based rules and adaptive review</w:t>
      </w:r>
      <w:r>
        <w:rPr>
          <w:rFonts w:ascii="Georgia" w:cs="Georgia" w:eastAsia="Georgia" w:hAnsi="Georgia"/>
          <w:color w:val="1A1A1A"/>
          <w:sz w:val="21"/>
          <w:szCs w:val="21"/>
        </w:rPr>
        <w:t xml:space="preserve"> — the AI Act mandates national sandboxes, and the voluntary Code of Practice is a live example of the soft-law-to-hard-law pipeline.</w:t>
      </w:r>
    </w:p>
    <w:p>
      <w:pPr>
        <w:pStyle w:val="Heading2"/>
        <w:spacing w:after="100" w:before="220"/>
      </w:pPr>
      <w:r>
        <w:rPr>
          <w:rFonts w:ascii="Calibri" w:cs="Calibri" w:eastAsia="Calibri" w:hAnsi="Calibri"/>
          <w:b/>
          <w:bCs/>
          <w:color w:val="2F5D8A"/>
          <w:sz w:val="25"/>
          <w:szCs w:val="25"/>
        </w:rPr>
        <w:t xml:space="preserve">3.2 Quantum Technologies</w:t>
      </w:r>
    </w:p>
    <w:p>
      <w:pPr>
        <w:pStyle w:val="Heading3"/>
        <w:spacing w:after="70" w:before="160"/>
      </w:pPr>
      <w:r>
        <w:rPr>
          <w:rFonts w:ascii="Calibri" w:cs="Calibri" w:eastAsia="Calibri" w:hAnsi="Calibri"/>
          <w:b/>
          <w:bCs/>
          <w:color w:val="1F2A44"/>
          <w:sz w:val="22"/>
          <w:szCs w:val="22"/>
        </w:rPr>
        <w:t xml:space="preserve">The primer</w:t>
      </w:r>
    </w:p>
    <w:p>
      <w:pPr>
        <w:spacing w:after="140" w:line="276"/>
        <w:jc w:val="both"/>
      </w:pPr>
      <w:r>
        <w:rPr>
          <w:rFonts w:ascii="Georgia" w:cs="Georgia" w:eastAsia="Georgia" w:hAnsi="Georgia"/>
          <w:color w:val="1A1A1A"/>
          <w:sz w:val="21"/>
          <w:szCs w:val="21"/>
        </w:rPr>
        <w:t xml:space="preserve">Three distinct strands, often confused: </w:t>
      </w:r>
      <w:r>
        <w:rPr>
          <w:rFonts w:ascii="Georgia" w:cs="Georgia" w:eastAsia="Georgia" w:hAnsi="Georgia"/>
          <w:b/>
          <w:bCs/>
          <w:color w:val="1A1A1A"/>
          <w:sz w:val="21"/>
          <w:szCs w:val="21"/>
        </w:rPr>
        <w:t xml:space="preserve">quantum computing</w:t>
      </w:r>
      <w:r>
        <w:rPr>
          <w:rFonts w:ascii="Georgia" w:cs="Georgia" w:eastAsia="Georgia" w:hAnsi="Georgia"/>
          <w:color w:val="1A1A1A"/>
          <w:sz w:val="21"/>
          <w:szCs w:val="21"/>
        </w:rPr>
        <w:t xml:space="preserve"> (using superposition and entanglement of </w:t>
      </w:r>
      <w:r>
        <w:rPr>
          <w:rFonts w:ascii="Georgia" w:cs="Georgia" w:eastAsia="Georgia" w:hAnsi="Georgia"/>
          <w:b/>
          <w:bCs/>
          <w:color w:val="1A1A1A"/>
          <w:sz w:val="21"/>
          <w:szCs w:val="21"/>
        </w:rPr>
        <w:t xml:space="preserve">qubits</w:t>
      </w:r>
      <w:r>
        <w:rPr>
          <w:rFonts w:ascii="Georgia" w:cs="Georgia" w:eastAsia="Georgia" w:hAnsi="Georgia"/>
          <w:color w:val="1A1A1A"/>
          <w:sz w:val="21"/>
          <w:szCs w:val="21"/>
        </w:rPr>
        <w:t xml:space="preserve"> to solve certain problems intractable for classical computers), </w:t>
      </w:r>
      <w:r>
        <w:rPr>
          <w:rFonts w:ascii="Georgia" w:cs="Georgia" w:eastAsia="Georgia" w:hAnsi="Georgia"/>
          <w:b/>
          <w:bCs/>
          <w:color w:val="1A1A1A"/>
          <w:sz w:val="21"/>
          <w:szCs w:val="21"/>
        </w:rPr>
        <w:t xml:space="preserve">quantum communication</w:t>
      </w:r>
      <w:r>
        <w:rPr>
          <w:rFonts w:ascii="Georgia" w:cs="Georgia" w:eastAsia="Georgia" w:hAnsi="Georgia"/>
          <w:color w:val="1A1A1A"/>
          <w:sz w:val="21"/>
          <w:szCs w:val="21"/>
        </w:rPr>
        <w:t xml:space="preserve"> (notably </w:t>
      </w:r>
      <w:r>
        <w:rPr>
          <w:rFonts w:ascii="Georgia" w:cs="Georgia" w:eastAsia="Georgia" w:hAnsi="Georgia"/>
          <w:b/>
          <w:bCs/>
          <w:color w:val="1A1A1A"/>
          <w:sz w:val="21"/>
          <w:szCs w:val="21"/>
        </w:rPr>
        <w:t xml:space="preserve">quantum key distribution, QKD</w:t>
      </w:r>
      <w:r>
        <w:rPr>
          <w:rFonts w:ascii="Georgia" w:cs="Georgia" w:eastAsia="Georgia" w:hAnsi="Georgia"/>
          <w:color w:val="1A1A1A"/>
          <w:sz w:val="21"/>
          <w:szCs w:val="21"/>
        </w:rPr>
        <w:t xml:space="preserve">, for theoretically eavesdrop-evident encryption), and </w:t>
      </w:r>
      <w:r>
        <w:rPr>
          <w:rFonts w:ascii="Georgia" w:cs="Georgia" w:eastAsia="Georgia" w:hAnsi="Georgia"/>
          <w:b/>
          <w:bCs/>
          <w:color w:val="1A1A1A"/>
          <w:sz w:val="21"/>
          <w:szCs w:val="21"/>
        </w:rPr>
        <w:t xml:space="preserve">quantum sensing</w:t>
      </w:r>
      <w:r>
        <w:rPr>
          <w:rFonts w:ascii="Georgia" w:cs="Georgia" w:eastAsia="Georgia" w:hAnsi="Georgia"/>
          <w:color w:val="1A1A1A"/>
          <w:sz w:val="21"/>
          <w:szCs w:val="21"/>
        </w:rPr>
        <w:t xml:space="preserve"> (ultra-precise measurement of time, gravity and magnetic fields). Today’s machines are </w:t>
      </w:r>
      <w:r>
        <w:rPr>
          <w:rFonts w:ascii="Georgia" w:cs="Georgia" w:eastAsia="Georgia" w:hAnsi="Georgia"/>
          <w:b/>
          <w:bCs/>
          <w:color w:val="1A1A1A"/>
          <w:sz w:val="21"/>
          <w:szCs w:val="21"/>
        </w:rPr>
        <w:t xml:space="preserve">NISQ</w:t>
      </w:r>
      <w:r>
        <w:rPr>
          <w:rFonts w:ascii="Georgia" w:cs="Georgia" w:eastAsia="Georgia" w:hAnsi="Georgia"/>
          <w:color w:val="1A1A1A"/>
          <w:sz w:val="21"/>
          <w:szCs w:val="21"/>
        </w:rPr>
        <w:t xml:space="preserve"> — noisy intermediate-scale quantum — still limited by error rates; the field’s holy grail is </w:t>
      </w:r>
      <w:r>
        <w:rPr>
          <w:rFonts w:ascii="Georgia" w:cs="Georgia" w:eastAsia="Georgia" w:hAnsi="Georgia"/>
          <w:b/>
          <w:bCs/>
          <w:color w:val="1A1A1A"/>
          <w:sz w:val="21"/>
          <w:szCs w:val="21"/>
        </w:rPr>
        <w:t xml:space="preserve">fault-tolerant, error-corrected</w:t>
      </w:r>
      <w:r>
        <w:rPr>
          <w:rFonts w:ascii="Georgia" w:cs="Georgia" w:eastAsia="Georgia" w:hAnsi="Georgia"/>
          <w:color w:val="1A1A1A"/>
          <w:sz w:val="21"/>
          <w:szCs w:val="21"/>
        </w:rPr>
        <w:t xml:space="preserve"> computing. The policy driver is not a working machine but the </w:t>
      </w:r>
      <w:r>
        <w:rPr>
          <w:rFonts w:ascii="Georgia" w:cs="Georgia" w:eastAsia="Georgia" w:hAnsi="Georgia"/>
          <w:i/>
          <w:iCs/>
          <w:color w:val="1A1A1A"/>
          <w:sz w:val="21"/>
          <w:szCs w:val="21"/>
        </w:rPr>
        <w:t xml:space="preserve">anticipation</w:t>
      </w:r>
      <w:r>
        <w:rPr>
          <w:rFonts w:ascii="Georgia" w:cs="Georgia" w:eastAsia="Georgia" w:hAnsi="Georgia"/>
          <w:color w:val="1A1A1A"/>
          <w:sz w:val="21"/>
          <w:szCs w:val="21"/>
        </w:rPr>
        <w:t xml:space="preserve"> of one.</w:t>
      </w:r>
    </w:p>
    <w:p>
      <w:pPr>
        <w:pStyle w:val="Heading3"/>
        <w:spacing w:after="70" w:before="160"/>
      </w:pPr>
      <w:r>
        <w:rPr>
          <w:rFonts w:ascii="Calibri" w:cs="Calibri" w:eastAsia="Calibri" w:hAnsi="Calibri"/>
          <w:b/>
          <w:bCs/>
          <w:color w:val="1F2A44"/>
          <w:sz w:val="22"/>
          <w:szCs w:val="22"/>
        </w:rPr>
        <w:t xml:space="preserve">State of the art and scale</w:t>
      </w:r>
    </w:p>
    <w:p>
      <w:pPr>
        <w:spacing w:after="140" w:line="276"/>
        <w:jc w:val="both"/>
      </w:pPr>
      <w:r>
        <w:rPr>
          <w:rFonts w:ascii="Georgia" w:cs="Georgia" w:eastAsia="Georgia" w:hAnsi="Georgia"/>
          <w:color w:val="1A1A1A"/>
          <w:sz w:val="21"/>
          <w:szCs w:val="21"/>
        </w:rPr>
        <w:t xml:space="preserve">The quantum-computing market was roughly </w:t>
      </w:r>
      <w:r>
        <w:rPr>
          <w:rFonts w:ascii="Georgia" w:cs="Georgia" w:eastAsia="Georgia" w:hAnsi="Georgia"/>
          <w:b/>
          <w:bCs/>
          <w:color w:val="1A1A1A"/>
          <w:sz w:val="21"/>
          <w:szCs w:val="21"/>
        </w:rPr>
        <w:t xml:space="preserve">$1.9 billion in 2025</w:t>
      </w:r>
      <w:r>
        <w:rPr>
          <w:rFonts w:ascii="Georgia" w:cs="Georgia" w:eastAsia="Georgia" w:hAnsi="Georgia"/>
          <w:color w:val="1A1A1A"/>
          <w:sz w:val="21"/>
          <w:szCs w:val="21"/>
        </w:rPr>
        <w:t xml:space="preserve">, growing ~30% a year and expected to pass </w:t>
      </w:r>
      <w:r>
        <w:rPr>
          <w:rFonts w:ascii="Georgia" w:cs="Georgia" w:eastAsia="Georgia" w:hAnsi="Georgia"/>
          <w:b/>
          <w:bCs/>
          <w:color w:val="1A1A1A"/>
          <w:sz w:val="21"/>
          <w:szCs w:val="21"/>
        </w:rPr>
        <w:t xml:space="preserve">$3 billion by 2028</w:t>
      </w:r>
      <w:r>
        <w:rPr>
          <w:rFonts w:ascii="Georgia" w:cs="Georgia" w:eastAsia="Georgia" w:hAnsi="Georgia"/>
          <w:color w:val="1A1A1A"/>
          <w:sz w:val="21"/>
          <w:szCs w:val="21"/>
        </w:rPr>
        <w:t xml:space="preserve"> (QED-C), with longer forecasts running to the tens of billions by the mid-2030s. Investment is heavily state-backed and geopolitically concentrated (US, China, EU, UK). The near-term consequence that matters most is cryptographic, not computational.</w:t>
      </w:r>
    </w:p>
    <w:p>
      <w:pPr>
        <w:pStyle w:val="Heading3"/>
        <w:spacing w:after="70" w:before="160"/>
      </w:pPr>
      <w:r>
        <w:rPr>
          <w:rFonts w:ascii="Calibri" w:cs="Calibri" w:eastAsia="Calibri" w:hAnsi="Calibri"/>
          <w:b/>
          <w:bCs/>
          <w:color w:val="1F2A44"/>
          <w:sz w:val="22"/>
          <w:szCs w:val="22"/>
        </w:rPr>
        <w:t xml:space="preserve">Key players</w:t>
      </w:r>
    </w:p>
    <w:p>
      <w:pPr>
        <w:spacing w:after="140" w:line="276"/>
        <w:jc w:val="both"/>
      </w:pPr>
      <w:r>
        <w:rPr>
          <w:rFonts w:ascii="Georgia" w:cs="Georgia" w:eastAsia="Georgia" w:hAnsi="Georgia"/>
          <w:color w:val="1A1A1A"/>
          <w:sz w:val="21"/>
          <w:szCs w:val="21"/>
        </w:rPr>
        <w:t xml:space="preserve">IBM, Google Quantum AI, Quantinuum, IonQ, PsiQuantum, and China’s state programmes; on the governance side, </w:t>
      </w:r>
      <w:r>
        <w:rPr>
          <w:rFonts w:ascii="Georgia" w:cs="Georgia" w:eastAsia="Georgia" w:hAnsi="Georgia"/>
          <w:b/>
          <w:bCs/>
          <w:color w:val="1A1A1A"/>
          <w:sz w:val="21"/>
          <w:szCs w:val="21"/>
        </w:rPr>
        <w:t xml:space="preserve">NIST</w:t>
      </w:r>
      <w:r>
        <w:rPr>
          <w:rFonts w:ascii="Georgia" w:cs="Georgia" w:eastAsia="Georgia" w:hAnsi="Georgia"/>
          <w:color w:val="1A1A1A"/>
          <w:sz w:val="21"/>
          <w:szCs w:val="21"/>
        </w:rPr>
        <w:t xml:space="preserve"> (cryptographic standards), national quantum initiatives, and export-control authorities.</w:t>
      </w:r>
    </w:p>
    <w:p>
      <w:pPr>
        <w:pStyle w:val="Heading3"/>
        <w:spacing w:after="70" w:before="160"/>
      </w:pPr>
      <w:r>
        <w:rPr>
          <w:rFonts w:ascii="Calibri" w:cs="Calibri" w:eastAsia="Calibri" w:hAnsi="Calibri"/>
          <w:b/>
          <w:bCs/>
          <w:color w:val="1F2A44"/>
          <w:sz w:val="22"/>
          <w:szCs w:val="22"/>
        </w:rPr>
        <w:t xml:space="preserve">Core governance dilemma</w:t>
      </w:r>
    </w:p>
    <w:p>
      <w:pPr>
        <w:spacing w:after="140" w:line="276"/>
        <w:jc w:val="both"/>
      </w:pPr>
      <w:r>
        <w:rPr>
          <w:rFonts w:ascii="Georgia" w:cs="Georgia" w:eastAsia="Georgia" w:hAnsi="Georgia"/>
          <w:b/>
          <w:bCs/>
          <w:color w:val="1A1A1A"/>
          <w:sz w:val="21"/>
          <w:szCs w:val="21"/>
        </w:rPr>
        <w:t xml:space="preserve">How do you govern a technology whose most consequential risk is future and cryptographic — the day a quantum computer breaks today’s public-key encryption — while its benefits are dual-use and its supply chain is a geopolitical battleground?</w:t>
      </w:r>
      <w:r>
        <w:rPr>
          <w:rFonts w:ascii="Georgia" w:cs="Georgia" w:eastAsia="Georgia" w:hAnsi="Georgia"/>
          <w:color w:val="1A1A1A"/>
          <w:sz w:val="21"/>
          <w:szCs w:val="21"/>
        </w:rPr>
        <w:t xml:space="preserve"> The signature threat is </w:t>
      </w:r>
      <w:r>
        <w:rPr>
          <w:rFonts w:ascii="Georgia" w:cs="Georgia" w:eastAsia="Georgia" w:hAnsi="Georgia"/>
          <w:b/>
          <w:bCs/>
          <w:color w:val="1A1A1A"/>
          <w:sz w:val="21"/>
          <w:szCs w:val="21"/>
        </w:rPr>
        <w:t xml:space="preserve">“harvest now, decrypt later”</w:t>
      </w:r>
      <w:r>
        <w:rPr>
          <w:rFonts w:ascii="Georgia" w:cs="Georgia" w:eastAsia="Georgia" w:hAnsi="Georgia"/>
          <w:color w:val="1A1A1A"/>
          <w:sz w:val="21"/>
          <w:szCs w:val="21"/>
        </w:rPr>
        <w:t xml:space="preserve">: adversaries stealing encrypted data today to decrypt once quantum-capable, which means data with a long secrecy life is </w:t>
      </w:r>
      <w:r>
        <w:rPr>
          <w:rFonts w:ascii="Georgia" w:cs="Georgia" w:eastAsia="Georgia" w:hAnsi="Georgia"/>
          <w:i/>
          <w:iCs/>
          <w:color w:val="1A1A1A"/>
          <w:sz w:val="21"/>
          <w:szCs w:val="21"/>
        </w:rPr>
        <w:t xml:space="preserve">already</w:t>
      </w:r>
      <w:r>
        <w:rPr>
          <w:rFonts w:ascii="Georgia" w:cs="Georgia" w:eastAsia="Georgia" w:hAnsi="Georgia"/>
          <w:color w:val="1A1A1A"/>
          <w:sz w:val="21"/>
          <w:szCs w:val="21"/>
        </w:rPr>
        <w:t xml:space="preserve"> exposed.</w:t>
      </w:r>
    </w:p>
    <w:p>
      <w:pPr>
        <w:pStyle w:val="Heading3"/>
        <w:spacing w:after="70" w:before="160"/>
      </w:pPr>
      <w:r>
        <w:rPr>
          <w:rFonts w:ascii="Calibri" w:cs="Calibri" w:eastAsia="Calibri" w:hAnsi="Calibri"/>
          <w:b/>
          <w:bCs/>
          <w:color w:val="1F2A44"/>
          <w:sz w:val="22"/>
          <w:szCs w:val="22"/>
        </w:rPr>
        <w:t xml:space="preserve">Regulatory landscape</w:t>
      </w:r>
    </w:p>
    <w:p>
      <w:pPr>
        <w:pStyle w:val="ListParagraph"/>
        <w:numPr>
          <w:ilvl w:val="0"/>
          <w:numId w:val="1"/>
        </w:numPr>
        <w:spacing w:after="70" w:line="268"/>
      </w:pPr>
      <w:r>
        <w:rPr>
          <w:rFonts w:ascii="Georgia" w:cs="Georgia" w:eastAsia="Georgia" w:hAnsi="Georgia"/>
          <w:b/>
          <w:bCs/>
          <w:color w:val="1A1A1A"/>
          <w:sz w:val="21"/>
          <w:szCs w:val="21"/>
        </w:rPr>
        <w:t xml:space="preserve">Post-quantum cryptography (PQC) standards</w:t>
      </w:r>
      <w:r>
        <w:rPr>
          <w:rFonts w:ascii="Georgia" w:cs="Georgia" w:eastAsia="Georgia" w:hAnsi="Georgia"/>
          <w:color w:val="1A1A1A"/>
          <w:sz w:val="21"/>
          <w:szCs w:val="21"/>
        </w:rPr>
        <w:t xml:space="preserve"> — the concrete governance action of the decade. NIST published the first finalised standards in August 2024: </w:t>
      </w:r>
      <w:r>
        <w:rPr>
          <w:rFonts w:ascii="Georgia" w:cs="Georgia" w:eastAsia="Georgia" w:hAnsi="Georgia"/>
          <w:b/>
          <w:bCs/>
          <w:color w:val="1A1A1A"/>
          <w:sz w:val="21"/>
          <w:szCs w:val="21"/>
        </w:rPr>
        <w:t xml:space="preserve">FIPS 203 (ML-KEM / Kyber), 204 (ML-DSA / Dilithium), 205 (SLH-DSA / SPHINCS+)</w:t>
      </w:r>
      <w:r>
        <w:rPr>
          <w:rFonts w:ascii="Georgia" w:cs="Georgia" w:eastAsia="Georgia" w:hAnsi="Georgia"/>
          <w:color w:val="1A1A1A"/>
          <w:sz w:val="21"/>
          <w:szCs w:val="21"/>
        </w:rPr>
        <w:t xml:space="preserve">, with further algorithms (HQC, and FN-DSA / Falcon) following.</w:t>
      </w:r>
    </w:p>
    <w:p>
      <w:pPr>
        <w:pStyle w:val="ListParagraph"/>
        <w:numPr>
          <w:ilvl w:val="0"/>
          <w:numId w:val="1"/>
        </w:numPr>
        <w:spacing w:after="70" w:line="268"/>
      </w:pPr>
      <w:r>
        <w:rPr>
          <w:rFonts w:ascii="Georgia" w:cs="Georgia" w:eastAsia="Georgia" w:hAnsi="Georgia"/>
          <w:b/>
          <w:bCs/>
          <w:color w:val="1A1A1A"/>
          <w:sz w:val="21"/>
          <w:szCs w:val="21"/>
        </w:rPr>
        <w:t xml:space="preserve">Migration mandates</w:t>
      </w:r>
      <w:r>
        <w:rPr>
          <w:rFonts w:ascii="Georgia" w:cs="Georgia" w:eastAsia="Georgia" w:hAnsi="Georgia"/>
          <w:color w:val="1A1A1A"/>
          <w:sz w:val="21"/>
          <w:szCs w:val="21"/>
        </w:rPr>
        <w:t xml:space="preserve"> — US policy (NSM-10, OMB guidance, CNSA 2.0) requires federal agencies to inventory quantum-vulnerable systems and migrate to quantum-safe cryptography on timelines running to the early-2030s; the EU and UK have parallel roadmaps.</w:t>
      </w:r>
    </w:p>
    <w:p>
      <w:pPr>
        <w:pStyle w:val="ListParagraph"/>
        <w:numPr>
          <w:ilvl w:val="0"/>
          <w:numId w:val="1"/>
        </w:numPr>
        <w:spacing w:after="70" w:line="268"/>
      </w:pPr>
      <w:r>
        <w:rPr>
          <w:rFonts w:ascii="Georgia" w:cs="Georgia" w:eastAsia="Georgia" w:hAnsi="Georgia"/>
          <w:b/>
          <w:bCs/>
          <w:color w:val="1A1A1A"/>
          <w:sz w:val="21"/>
          <w:szCs w:val="21"/>
        </w:rPr>
        <w:t xml:space="preserve">Export controls</w:t>
      </w:r>
      <w:r>
        <w:rPr>
          <w:rFonts w:ascii="Georgia" w:cs="Georgia" w:eastAsia="Georgia" w:hAnsi="Georgia"/>
          <w:color w:val="1A1A1A"/>
          <w:sz w:val="21"/>
          <w:szCs w:val="21"/>
        </w:rPr>
        <w:t xml:space="preserve"> — the US, France, the Netherlands, the UK, Spain and China have introduced or tightened controls on quantum hardware and know-how; quantum sits firmly inside the “small yard, high fence” tech-security agenda.</w:t>
      </w:r>
    </w:p>
    <w:p>
      <w:pPr>
        <w:pStyle w:val="ListParagraph"/>
        <w:numPr>
          <w:ilvl w:val="0"/>
          <w:numId w:val="1"/>
        </w:numPr>
        <w:spacing w:after="70" w:line="268"/>
      </w:pPr>
      <w:r>
        <w:rPr>
          <w:rFonts w:ascii="Georgia" w:cs="Georgia" w:eastAsia="Georgia" w:hAnsi="Georgia"/>
          <w:b/>
          <w:bCs/>
          <w:color w:val="1A1A1A"/>
          <w:sz w:val="21"/>
          <w:szCs w:val="21"/>
        </w:rPr>
        <w:t xml:space="preserve">Standards and coordination</w:t>
      </w:r>
      <w:r>
        <w:rPr>
          <w:rFonts w:ascii="Georgia" w:cs="Georgia" w:eastAsia="Georgia" w:hAnsi="Georgia"/>
          <w:color w:val="1A1A1A"/>
          <w:sz w:val="21"/>
          <w:szCs w:val="21"/>
        </w:rPr>
        <w:t xml:space="preserve"> — largely via NIST, ISO/IEC and national strategies; there is </w:t>
      </w:r>
      <w:r>
        <w:rPr>
          <w:rFonts w:ascii="Georgia" w:cs="Georgia" w:eastAsia="Georgia" w:hAnsi="Georgia"/>
          <w:b/>
          <w:bCs/>
          <w:color w:val="1A1A1A"/>
          <w:sz w:val="21"/>
          <w:szCs w:val="21"/>
        </w:rPr>
        <w:t xml:space="preserve">no comprehensive international quantum treaty</w:t>
      </w:r>
      <w:r>
        <w:rPr>
          <w:rFonts w:ascii="Georgia" w:cs="Georgia" w:eastAsia="Georgia" w:hAnsi="Georgia"/>
          <w:color w:val="1A1A1A"/>
          <w:sz w:val="21"/>
          <w:szCs w:val="21"/>
        </w:rPr>
        <w:t xml:space="preserve">, which is itself the governance gap.</w:t>
      </w:r>
    </w:p>
    <w:p>
      <w:pPr>
        <w:pStyle w:val="Heading3"/>
        <w:spacing w:after="70" w:before="160"/>
      </w:pPr>
      <w:r>
        <w:rPr>
          <w:rFonts w:ascii="Calibri" w:cs="Calibri" w:eastAsia="Calibri" w:hAnsi="Calibri"/>
          <w:b/>
          <w:bCs/>
          <w:color w:val="1F2A44"/>
          <w:sz w:val="22"/>
          <w:szCs w:val="22"/>
        </w:rPr>
        <w:t xml:space="preserve">Open questions and the toolkit angle</w:t>
      </w:r>
    </w:p>
    <w:p>
      <w:pPr>
        <w:spacing w:after="140" w:line="276"/>
        <w:jc w:val="both"/>
      </w:pPr>
      <w:r>
        <w:rPr>
          <w:rFonts w:ascii="Georgia" w:cs="Georgia" w:eastAsia="Georgia" w:hAnsi="Georgia"/>
          <w:color w:val="1A1A1A"/>
          <w:sz w:val="21"/>
          <w:szCs w:val="21"/>
        </w:rPr>
        <w:t xml:space="preserve">Open: the </w:t>
      </w:r>
      <w:r>
        <w:rPr>
          <w:rFonts w:ascii="Georgia" w:cs="Georgia" w:eastAsia="Georgia" w:hAnsi="Georgia"/>
          <w:b/>
          <w:bCs/>
          <w:color w:val="1A1A1A"/>
          <w:sz w:val="21"/>
          <w:szCs w:val="21"/>
        </w:rPr>
        <w:t xml:space="preserve">quantum divide</w:t>
      </w:r>
      <w:r>
        <w:rPr>
          <w:rFonts w:ascii="Georgia" w:cs="Georgia" w:eastAsia="Georgia" w:hAnsi="Georgia"/>
          <w:color w:val="1A1A1A"/>
          <w:sz w:val="21"/>
          <w:szCs w:val="21"/>
        </w:rPr>
        <w:t xml:space="preserve"> (a few states and firms racing ahead); standard-setting as geopolitical contest; the workforce and migration cost; QKD vs PQC as the path to quantum-safe security; and dual-use export policy that does not strangle open science. Toolkit angle: quantum is a case for </w:t>
      </w:r>
      <w:r>
        <w:rPr>
          <w:rFonts w:ascii="Georgia" w:cs="Georgia" w:eastAsia="Georgia" w:hAnsi="Georgia"/>
          <w:b/>
          <w:bCs/>
          <w:color w:val="1A1A1A"/>
          <w:sz w:val="21"/>
          <w:szCs w:val="21"/>
        </w:rPr>
        <w:t xml:space="preserve">anticipatory governance and foresight</w:t>
      </w:r>
      <w:r>
        <w:rPr>
          <w:rFonts w:ascii="Georgia" w:cs="Georgia" w:eastAsia="Georgia" w:hAnsi="Georgia"/>
          <w:color w:val="1A1A1A"/>
          <w:sz w:val="21"/>
          <w:szCs w:val="21"/>
        </w:rPr>
        <w:t xml:space="preserve"> above all — the PQC migration is a masterclass in acting </w:t>
      </w:r>
      <w:r>
        <w:rPr>
          <w:rFonts w:ascii="Georgia" w:cs="Georgia" w:eastAsia="Georgia" w:hAnsi="Georgia"/>
          <w:i/>
          <w:iCs/>
          <w:color w:val="1A1A1A"/>
          <w:sz w:val="21"/>
          <w:szCs w:val="21"/>
        </w:rPr>
        <w:t xml:space="preserve">before</w:t>
      </w:r>
      <w:r>
        <w:rPr>
          <w:rFonts w:ascii="Georgia" w:cs="Georgia" w:eastAsia="Georgia" w:hAnsi="Georgia"/>
          <w:color w:val="1A1A1A"/>
          <w:sz w:val="21"/>
          <w:szCs w:val="21"/>
        </w:rPr>
        <w:t xml:space="preserve"> the risk materialises, and a natural, non-partisan convening agenda for a frontier-tech workstream.</w:t>
      </w:r>
    </w:p>
    <w:p>
      <w:pPr>
        <w:pStyle w:val="Heading2"/>
        <w:spacing w:after="100" w:before="220"/>
      </w:pPr>
      <w:r>
        <w:rPr>
          <w:rFonts w:ascii="Calibri" w:cs="Calibri" w:eastAsia="Calibri" w:hAnsi="Calibri"/>
          <w:b/>
          <w:bCs/>
          <w:color w:val="2F5D8A"/>
          <w:sz w:val="25"/>
          <w:szCs w:val="25"/>
        </w:rPr>
        <w:t xml:space="preserve">3.3 Biotechnology and Synthetic Biology</w:t>
      </w:r>
    </w:p>
    <w:p>
      <w:pPr>
        <w:pStyle w:val="Heading3"/>
        <w:spacing w:after="70" w:before="160"/>
      </w:pPr>
      <w:r>
        <w:rPr>
          <w:rFonts w:ascii="Calibri" w:cs="Calibri" w:eastAsia="Calibri" w:hAnsi="Calibri"/>
          <w:b/>
          <w:bCs/>
          <w:color w:val="1F2A44"/>
          <w:sz w:val="22"/>
          <w:szCs w:val="22"/>
        </w:rPr>
        <w:t xml:space="preserve">The primer</w:t>
      </w:r>
    </w:p>
    <w:p>
      <w:pPr>
        <w:spacing w:after="140" w:line="276"/>
        <w:jc w:val="both"/>
      </w:pPr>
      <w:r>
        <w:rPr>
          <w:rFonts w:ascii="Georgia" w:cs="Georgia" w:eastAsia="Georgia" w:hAnsi="Georgia"/>
          <w:color w:val="1A1A1A"/>
          <w:sz w:val="21"/>
          <w:szCs w:val="21"/>
        </w:rPr>
        <w:t xml:space="preserve">The revolution rests on cheap, precise tools: </w:t>
      </w:r>
      <w:r>
        <w:rPr>
          <w:rFonts w:ascii="Georgia" w:cs="Georgia" w:eastAsia="Georgia" w:hAnsi="Georgia"/>
          <w:b/>
          <w:bCs/>
          <w:color w:val="1A1A1A"/>
          <w:sz w:val="21"/>
          <w:szCs w:val="21"/>
        </w:rPr>
        <w:t xml:space="preserve">CRISPR-Cas</w:t>
      </w:r>
      <w:r>
        <w:rPr>
          <w:rFonts w:ascii="Georgia" w:cs="Georgia" w:eastAsia="Georgia" w:hAnsi="Georgia"/>
          <w:color w:val="1A1A1A"/>
          <w:sz w:val="21"/>
          <w:szCs w:val="21"/>
        </w:rPr>
        <w:t xml:space="preserve"> gene editing (and successors like base and prime editing), </w:t>
      </w:r>
      <w:r>
        <w:rPr>
          <w:rFonts w:ascii="Georgia" w:cs="Georgia" w:eastAsia="Georgia" w:hAnsi="Georgia"/>
          <w:b/>
          <w:bCs/>
          <w:color w:val="1A1A1A"/>
          <w:sz w:val="21"/>
          <w:szCs w:val="21"/>
        </w:rPr>
        <w:t xml:space="preserve">synthetic biology</w:t>
      </w:r>
      <w:r>
        <w:rPr>
          <w:rFonts w:ascii="Georgia" w:cs="Georgia" w:eastAsia="Georgia" w:hAnsi="Georgia"/>
          <w:color w:val="1A1A1A"/>
          <w:sz w:val="21"/>
          <w:szCs w:val="21"/>
        </w:rPr>
        <w:t xml:space="preserve"> (engineering biology like software — designing and constructing new genetic parts and circuits), </w:t>
      </w:r>
      <w:r>
        <w:rPr>
          <w:rFonts w:ascii="Georgia" w:cs="Georgia" w:eastAsia="Georgia" w:hAnsi="Georgia"/>
          <w:b/>
          <w:bCs/>
          <w:color w:val="1A1A1A"/>
          <w:sz w:val="21"/>
          <w:szCs w:val="21"/>
        </w:rPr>
        <w:t xml:space="preserve">AI-driven protein and sequence design</w:t>
      </w:r>
      <w:r>
        <w:rPr>
          <w:rFonts w:ascii="Georgia" w:cs="Georgia" w:eastAsia="Georgia" w:hAnsi="Georgia"/>
          <w:color w:val="1A1A1A"/>
          <w:sz w:val="21"/>
          <w:szCs w:val="21"/>
        </w:rPr>
        <w:t xml:space="preserve"> (e.g. structure prediction and generative design), and plummeting costs of </w:t>
      </w:r>
      <w:r>
        <w:rPr>
          <w:rFonts w:ascii="Georgia" w:cs="Georgia" w:eastAsia="Georgia" w:hAnsi="Georgia"/>
          <w:b/>
          <w:bCs/>
          <w:color w:val="1A1A1A"/>
          <w:sz w:val="21"/>
          <w:szCs w:val="21"/>
        </w:rPr>
        <w:t xml:space="preserve">DNA synthesis and sequencing</w:t>
      </w:r>
      <w:r>
        <w:rPr>
          <w:rFonts w:ascii="Georgia" w:cs="Georgia" w:eastAsia="Georgia" w:hAnsi="Georgia"/>
          <w:color w:val="1A1A1A"/>
          <w:sz w:val="21"/>
          <w:szCs w:val="21"/>
        </w:rPr>
        <w:t xml:space="preserve">. Together they compress what took years into weeks. Governance-critical concepts: </w:t>
      </w:r>
      <w:r>
        <w:rPr>
          <w:rFonts w:ascii="Georgia" w:cs="Georgia" w:eastAsia="Georgia" w:hAnsi="Georgia"/>
          <w:b/>
          <w:bCs/>
          <w:color w:val="1A1A1A"/>
          <w:sz w:val="21"/>
          <w:szCs w:val="21"/>
        </w:rPr>
        <w:t xml:space="preserve">dual-use research of concern (DURC)</w:t>
      </w:r>
      <w:r>
        <w:rPr>
          <w:rFonts w:ascii="Georgia" w:cs="Georgia" w:eastAsia="Georgia" w:hAnsi="Georgia"/>
          <w:color w:val="1A1A1A"/>
          <w:sz w:val="21"/>
          <w:szCs w:val="21"/>
        </w:rPr>
        <w:t xml:space="preserve">, </w:t>
      </w:r>
      <w:r>
        <w:rPr>
          <w:rFonts w:ascii="Georgia" w:cs="Georgia" w:eastAsia="Georgia" w:hAnsi="Georgia"/>
          <w:b/>
          <w:bCs/>
          <w:color w:val="1A1A1A"/>
          <w:sz w:val="21"/>
          <w:szCs w:val="21"/>
        </w:rPr>
        <w:t xml:space="preserve">gain-of-function</w:t>
      </w:r>
      <w:r>
        <w:rPr>
          <w:rFonts w:ascii="Georgia" w:cs="Georgia" w:eastAsia="Georgia" w:hAnsi="Georgia"/>
          <w:color w:val="1A1A1A"/>
          <w:sz w:val="21"/>
          <w:szCs w:val="21"/>
        </w:rPr>
        <w:t xml:space="preserve"> research, </w:t>
      </w:r>
      <w:r>
        <w:rPr>
          <w:rFonts w:ascii="Georgia" w:cs="Georgia" w:eastAsia="Georgia" w:hAnsi="Georgia"/>
          <w:b/>
          <w:bCs/>
          <w:color w:val="1A1A1A"/>
          <w:sz w:val="21"/>
          <w:szCs w:val="21"/>
        </w:rPr>
        <w:t xml:space="preserve">biosafety</w:t>
      </w:r>
      <w:r>
        <w:rPr>
          <w:rFonts w:ascii="Georgia" w:cs="Georgia" w:eastAsia="Georgia" w:hAnsi="Georgia"/>
          <w:color w:val="1A1A1A"/>
          <w:sz w:val="21"/>
          <w:szCs w:val="21"/>
        </w:rPr>
        <w:t xml:space="preserve"> (protecting people from accidental exposure) vs </w:t>
      </w:r>
      <w:r>
        <w:rPr>
          <w:rFonts w:ascii="Georgia" w:cs="Georgia" w:eastAsia="Georgia" w:hAnsi="Georgia"/>
          <w:b/>
          <w:bCs/>
          <w:color w:val="1A1A1A"/>
          <w:sz w:val="21"/>
          <w:szCs w:val="21"/>
        </w:rPr>
        <w:t xml:space="preserve">biosecurity</w:t>
      </w:r>
      <w:r>
        <w:rPr>
          <w:rFonts w:ascii="Georgia" w:cs="Georgia" w:eastAsia="Georgia" w:hAnsi="Georgia"/>
          <w:color w:val="1A1A1A"/>
          <w:sz w:val="21"/>
          <w:szCs w:val="21"/>
        </w:rPr>
        <w:t xml:space="preserve"> (preventing deliberate misuse), and </w:t>
      </w:r>
      <w:r>
        <w:rPr>
          <w:rFonts w:ascii="Georgia" w:cs="Georgia" w:eastAsia="Georgia" w:hAnsi="Georgia"/>
          <w:b/>
          <w:bCs/>
          <w:color w:val="1A1A1A"/>
          <w:sz w:val="21"/>
          <w:szCs w:val="21"/>
        </w:rPr>
        <w:t xml:space="preserve">DNA-synthesis screening</w:t>
      </w:r>
      <w:r>
        <w:rPr>
          <w:rFonts w:ascii="Georgia" w:cs="Georgia" w:eastAsia="Georgia" w:hAnsi="Georgia"/>
          <w:color w:val="1A1A1A"/>
          <w:sz w:val="21"/>
          <w:szCs w:val="21"/>
        </w:rPr>
        <w:t xml:space="preserve">.</w:t>
      </w:r>
    </w:p>
    <w:p>
      <w:pPr>
        <w:pStyle w:val="Heading3"/>
        <w:spacing w:after="70" w:before="160"/>
      </w:pPr>
      <w:r>
        <w:rPr>
          <w:rFonts w:ascii="Calibri" w:cs="Calibri" w:eastAsia="Calibri" w:hAnsi="Calibri"/>
          <w:b/>
          <w:bCs/>
          <w:color w:val="1F2A44"/>
          <w:sz w:val="22"/>
          <w:szCs w:val="22"/>
        </w:rPr>
        <w:t xml:space="preserve">State of the art and scale</w:t>
      </w:r>
    </w:p>
    <w:p>
      <w:pPr>
        <w:spacing w:after="140" w:line="276"/>
        <w:jc w:val="both"/>
      </w:pPr>
      <w:r>
        <w:rPr>
          <w:rFonts w:ascii="Georgia" w:cs="Georgia" w:eastAsia="Georgia" w:hAnsi="Georgia"/>
          <w:color w:val="1A1A1A"/>
          <w:sz w:val="21"/>
          <w:szCs w:val="21"/>
        </w:rPr>
        <w:t xml:space="preserve">The synthetic-biology market was roughly </w:t>
      </w:r>
      <w:r>
        <w:rPr>
          <w:rFonts w:ascii="Georgia" w:cs="Georgia" w:eastAsia="Georgia" w:hAnsi="Georgia"/>
          <w:b/>
          <w:bCs/>
          <w:color w:val="1A1A1A"/>
          <w:sz w:val="21"/>
          <w:szCs w:val="21"/>
        </w:rPr>
        <w:t xml:space="preserve">$25–27 billion in 2025</w:t>
      </w:r>
      <w:r>
        <w:rPr>
          <w:rFonts w:ascii="Georgia" w:cs="Georgia" w:eastAsia="Georgia" w:hAnsi="Georgia"/>
          <w:color w:val="1A1A1A"/>
          <w:sz w:val="21"/>
          <w:szCs w:val="21"/>
        </w:rPr>
        <w:t xml:space="preserve">, growing ~20% a year toward the hundreds of billions by the mid-2030s. The defining new risk vector is the </w:t>
      </w:r>
      <w:r>
        <w:rPr>
          <w:rFonts w:ascii="Georgia" w:cs="Georgia" w:eastAsia="Georgia" w:hAnsi="Georgia"/>
          <w:b/>
          <w:bCs/>
          <w:color w:val="1A1A1A"/>
          <w:sz w:val="21"/>
          <w:szCs w:val="21"/>
        </w:rPr>
        <w:t xml:space="preserve">AI-bio convergence</w:t>
      </w:r>
      <w:r>
        <w:rPr>
          <w:rFonts w:ascii="Georgia" w:cs="Georgia" w:eastAsia="Georgia" w:hAnsi="Georgia"/>
          <w:color w:val="1A1A1A"/>
          <w:sz w:val="21"/>
          <w:szCs w:val="21"/>
        </w:rPr>
        <w:t xml:space="preserve">: generative design tools that can propose novel biological sequences are advancing faster than the screening systems meant to catch dangerous ones.</w:t>
      </w:r>
    </w:p>
    <w:p>
      <w:pPr>
        <w:pStyle w:val="Heading3"/>
        <w:spacing w:after="70" w:before="160"/>
      </w:pPr>
      <w:r>
        <w:rPr>
          <w:rFonts w:ascii="Calibri" w:cs="Calibri" w:eastAsia="Calibri" w:hAnsi="Calibri"/>
          <w:b/>
          <w:bCs/>
          <w:color w:val="1F2A44"/>
          <w:sz w:val="22"/>
          <w:szCs w:val="22"/>
        </w:rPr>
        <w:t xml:space="preserve">Key players</w:t>
      </w:r>
    </w:p>
    <w:p>
      <w:pPr>
        <w:spacing w:after="140" w:line="276"/>
        <w:jc w:val="both"/>
      </w:pPr>
      <w:r>
        <w:rPr>
          <w:rFonts w:ascii="Georgia" w:cs="Georgia" w:eastAsia="Georgia" w:hAnsi="Georgia"/>
          <w:color w:val="1A1A1A"/>
          <w:sz w:val="21"/>
          <w:szCs w:val="21"/>
        </w:rPr>
        <w:t xml:space="preserve">Firms across therapeutics, agriculture and industrial biology; DNA-synthesis providers and the </w:t>
      </w:r>
      <w:r>
        <w:rPr>
          <w:rFonts w:ascii="Georgia" w:cs="Georgia" w:eastAsia="Georgia" w:hAnsi="Georgia"/>
          <w:b/>
          <w:bCs/>
          <w:color w:val="1A1A1A"/>
          <w:sz w:val="21"/>
          <w:szCs w:val="21"/>
        </w:rPr>
        <w:t xml:space="preserve">International Gene Synthesis Consortium (IGSC)</w:t>
      </w:r>
      <w:r>
        <w:rPr>
          <w:rFonts w:ascii="Georgia" w:cs="Georgia" w:eastAsia="Georgia" w:hAnsi="Georgia"/>
          <w:color w:val="1A1A1A"/>
          <w:sz w:val="21"/>
          <w:szCs w:val="21"/>
        </w:rPr>
        <w:t xml:space="preserve">; and on governance the </w:t>
      </w:r>
      <w:r>
        <w:rPr>
          <w:rFonts w:ascii="Georgia" w:cs="Georgia" w:eastAsia="Georgia" w:hAnsi="Georgia"/>
          <w:b/>
          <w:bCs/>
          <w:color w:val="1A1A1A"/>
          <w:sz w:val="21"/>
          <w:szCs w:val="21"/>
        </w:rPr>
        <w:t xml:space="preserve">Biological Weapons Convention (BWC)</w:t>
      </w:r>
      <w:r>
        <w:rPr>
          <w:rFonts w:ascii="Georgia" w:cs="Georgia" w:eastAsia="Georgia" w:hAnsi="Georgia"/>
          <w:color w:val="1A1A1A"/>
          <w:sz w:val="21"/>
          <w:szCs w:val="21"/>
        </w:rPr>
        <w:t xml:space="preserve"> regime, national biosafety authorities, WHO and UNESCO bioethics bodies, and the </w:t>
      </w:r>
      <w:r>
        <w:rPr>
          <w:rFonts w:ascii="Georgia" w:cs="Georgia" w:eastAsia="Georgia" w:hAnsi="Georgia"/>
          <w:b/>
          <w:bCs/>
          <w:color w:val="1A1A1A"/>
          <w:sz w:val="21"/>
          <w:szCs w:val="21"/>
        </w:rPr>
        <w:t xml:space="preserve">Nuclear Threat Initiative (NTI) bio</w:t>
      </w:r>
      <w:r>
        <w:rPr>
          <w:rFonts w:ascii="Georgia" w:cs="Georgia" w:eastAsia="Georgia" w:hAnsi="Georgia"/>
          <w:color w:val="1A1A1A"/>
          <w:sz w:val="21"/>
          <w:szCs w:val="21"/>
        </w:rPr>
        <w:t xml:space="preserve"> programme (a key convener of screening norms).</w:t>
      </w:r>
    </w:p>
    <w:p>
      <w:pPr>
        <w:pStyle w:val="Heading3"/>
        <w:spacing w:after="70" w:before="160"/>
      </w:pPr>
      <w:r>
        <w:rPr>
          <w:rFonts w:ascii="Calibri" w:cs="Calibri" w:eastAsia="Calibri" w:hAnsi="Calibri"/>
          <w:b/>
          <w:bCs/>
          <w:color w:val="1F2A44"/>
          <w:sz w:val="22"/>
          <w:szCs w:val="22"/>
        </w:rPr>
        <w:t xml:space="preserve">Core governance dilemma</w:t>
      </w:r>
    </w:p>
    <w:p>
      <w:pPr>
        <w:spacing w:after="140" w:line="276"/>
        <w:jc w:val="both"/>
      </w:pPr>
      <w:r>
        <w:rPr>
          <w:rFonts w:ascii="Georgia" w:cs="Georgia" w:eastAsia="Georgia" w:hAnsi="Georgia"/>
          <w:b/>
          <w:bCs/>
          <w:color w:val="1A1A1A"/>
          <w:sz w:val="21"/>
          <w:szCs w:val="21"/>
        </w:rPr>
        <w:t xml:space="preserve">How do you capture biotech’s enormous benefits — new medicines, food security, climate solutions — while preventing catastrophic dual-use misuse, when the same knowledge and tools enable both and much of the capability sits outside traditional regulatory reach?</w:t>
      </w:r>
      <w:r>
        <w:rPr>
          <w:rFonts w:ascii="Georgia" w:cs="Georgia" w:eastAsia="Georgia" w:hAnsi="Georgia"/>
          <w:color w:val="1A1A1A"/>
          <w:sz w:val="21"/>
          <w:szCs w:val="21"/>
        </w:rPr>
        <w:t xml:space="preserve"> The sharpest current edge: </w:t>
      </w:r>
      <w:r>
        <w:rPr>
          <w:rFonts w:ascii="Georgia" w:cs="Georgia" w:eastAsia="Georgia" w:hAnsi="Georgia"/>
          <w:b/>
          <w:bCs/>
          <w:color w:val="1A1A1A"/>
          <w:sz w:val="21"/>
          <w:szCs w:val="21"/>
        </w:rPr>
        <w:t xml:space="preserve">AI tools are outpacing the sequence-based biosecurity screening that DNA-synthesis providers rely on.</w:t>
      </w:r>
    </w:p>
    <w:p>
      <w:pPr>
        <w:pStyle w:val="Heading3"/>
        <w:spacing w:after="70" w:before="160"/>
      </w:pPr>
      <w:r>
        <w:rPr>
          <w:rFonts w:ascii="Calibri" w:cs="Calibri" w:eastAsia="Calibri" w:hAnsi="Calibri"/>
          <w:b/>
          <w:bCs/>
          <w:color w:val="1F2A44"/>
          <w:sz w:val="22"/>
          <w:szCs w:val="22"/>
        </w:rPr>
        <w:t xml:space="preserve">Regulatory landscape</w:t>
      </w:r>
    </w:p>
    <w:p>
      <w:pPr>
        <w:pStyle w:val="ListParagraph"/>
        <w:numPr>
          <w:ilvl w:val="0"/>
          <w:numId w:val="1"/>
        </w:numPr>
        <w:spacing w:after="70" w:line="268"/>
      </w:pPr>
      <w:r>
        <w:rPr>
          <w:rFonts w:ascii="Georgia" w:cs="Georgia" w:eastAsia="Georgia" w:hAnsi="Georgia"/>
          <w:b/>
          <w:bCs/>
          <w:color w:val="1A1A1A"/>
          <w:sz w:val="21"/>
          <w:szCs w:val="21"/>
        </w:rPr>
        <w:t xml:space="preserve">Biosecurity / dual-use</w:t>
      </w:r>
      <w:r>
        <w:rPr>
          <w:rFonts w:ascii="Georgia" w:cs="Georgia" w:eastAsia="Georgia" w:hAnsi="Georgia"/>
          <w:color w:val="1A1A1A"/>
          <w:sz w:val="21"/>
          <w:szCs w:val="21"/>
        </w:rPr>
        <w:t xml:space="preserve"> — the </w:t>
      </w:r>
      <w:r>
        <w:rPr>
          <w:rFonts w:ascii="Georgia" w:cs="Georgia" w:eastAsia="Georgia" w:hAnsi="Georgia"/>
          <w:b/>
          <w:bCs/>
          <w:color w:val="1A1A1A"/>
          <w:sz w:val="21"/>
          <w:szCs w:val="21"/>
        </w:rPr>
        <w:t xml:space="preserve">BWC</w:t>
      </w:r>
      <w:r>
        <w:rPr>
          <w:rFonts w:ascii="Georgia" w:cs="Georgia" w:eastAsia="Georgia" w:hAnsi="Georgia"/>
          <w:color w:val="1A1A1A"/>
          <w:sz w:val="21"/>
          <w:szCs w:val="21"/>
        </w:rPr>
        <w:t xml:space="preserve"> is the treaty backbone but famously </w:t>
      </w:r>
      <w:r>
        <w:rPr>
          <w:rFonts w:ascii="Georgia" w:cs="Georgia" w:eastAsia="Georgia" w:hAnsi="Georgia"/>
          <w:b/>
          <w:bCs/>
          <w:color w:val="1A1A1A"/>
          <w:sz w:val="21"/>
          <w:szCs w:val="21"/>
        </w:rPr>
        <w:t xml:space="preserve">lacks a verification mechanism</w:t>
      </w:r>
      <w:r>
        <w:rPr>
          <w:rFonts w:ascii="Georgia" w:cs="Georgia" w:eastAsia="Georgia" w:hAnsi="Georgia"/>
          <w:color w:val="1A1A1A"/>
          <w:sz w:val="21"/>
          <w:szCs w:val="21"/>
        </w:rPr>
        <w:t xml:space="preserve">; governance leans on national DURC policies and voluntary DNA-synthesis screening. Recent moves: a US executive order (2025) directing a biosafety/biosecurity refresh; proposed US legislation to tighten synthesis screening; the EU’s preparatory work on a </w:t>
      </w:r>
      <w:r>
        <w:rPr>
          <w:rFonts w:ascii="Georgia" w:cs="Georgia" w:eastAsia="Georgia" w:hAnsi="Georgia"/>
          <w:b/>
          <w:bCs/>
          <w:color w:val="1A1A1A"/>
          <w:sz w:val="21"/>
          <w:szCs w:val="21"/>
        </w:rPr>
        <w:t xml:space="preserve">Biotech Act</w:t>
      </w:r>
      <w:r>
        <w:rPr>
          <w:rFonts w:ascii="Georgia" w:cs="Georgia" w:eastAsia="Georgia" w:hAnsi="Georgia"/>
          <w:color w:val="1A1A1A"/>
          <w:sz w:val="21"/>
          <w:szCs w:val="21"/>
        </w:rPr>
        <w:t xml:space="preserve">; South Korea’s </w:t>
      </w:r>
      <w:r>
        <w:rPr>
          <w:rFonts w:ascii="Georgia" w:cs="Georgia" w:eastAsia="Georgia" w:hAnsi="Georgia"/>
          <w:b/>
          <w:bCs/>
          <w:color w:val="1A1A1A"/>
          <w:sz w:val="21"/>
          <w:szCs w:val="21"/>
        </w:rPr>
        <w:t xml:space="preserve">Synthetic Biology Promotion Act (2025)</w:t>
      </w:r>
      <w:r>
        <w:rPr>
          <w:rFonts w:ascii="Georgia" w:cs="Georgia" w:eastAsia="Georgia" w:hAnsi="Georgia"/>
          <w:color w:val="1A1A1A"/>
          <w:sz w:val="21"/>
          <w:szCs w:val="21"/>
        </w:rPr>
        <w:t xml:space="preserve">.</w:t>
      </w:r>
    </w:p>
    <w:p>
      <w:pPr>
        <w:pStyle w:val="ListParagraph"/>
        <w:numPr>
          <w:ilvl w:val="0"/>
          <w:numId w:val="1"/>
        </w:numPr>
        <w:spacing w:after="70" w:line="268"/>
      </w:pPr>
      <w:r>
        <w:rPr>
          <w:rFonts w:ascii="Georgia" w:cs="Georgia" w:eastAsia="Georgia" w:hAnsi="Georgia"/>
          <w:b/>
          <w:bCs/>
          <w:color w:val="1A1A1A"/>
          <w:sz w:val="21"/>
          <w:szCs w:val="21"/>
        </w:rPr>
        <w:t xml:space="preserve">Biosafety / environment</w:t>
      </w:r>
      <w:r>
        <w:rPr>
          <w:rFonts w:ascii="Georgia" w:cs="Georgia" w:eastAsia="Georgia" w:hAnsi="Georgia"/>
          <w:color w:val="1A1A1A"/>
          <w:sz w:val="21"/>
          <w:szCs w:val="21"/>
        </w:rPr>
        <w:t xml:space="preserve"> — the </w:t>
      </w:r>
      <w:r>
        <w:rPr>
          <w:rFonts w:ascii="Georgia" w:cs="Georgia" w:eastAsia="Georgia" w:hAnsi="Georgia"/>
          <w:b/>
          <w:bCs/>
          <w:color w:val="1A1A1A"/>
          <w:sz w:val="21"/>
          <w:szCs w:val="21"/>
        </w:rPr>
        <w:t xml:space="preserve">Cartagena Protocol</w:t>
      </w:r>
      <w:r>
        <w:rPr>
          <w:rFonts w:ascii="Georgia" w:cs="Georgia" w:eastAsia="Georgia" w:hAnsi="Georgia"/>
          <w:color w:val="1A1A1A"/>
          <w:sz w:val="21"/>
          <w:szCs w:val="21"/>
        </w:rPr>
        <w:t xml:space="preserve"> (living modified organisms) and </w:t>
      </w:r>
      <w:r>
        <w:rPr>
          <w:rFonts w:ascii="Georgia" w:cs="Georgia" w:eastAsia="Georgia" w:hAnsi="Georgia"/>
          <w:b/>
          <w:bCs/>
          <w:color w:val="1A1A1A"/>
          <w:sz w:val="21"/>
          <w:szCs w:val="21"/>
        </w:rPr>
        <w:t xml:space="preserve">Nagoya Protocol</w:t>
      </w:r>
      <w:r>
        <w:rPr>
          <w:rFonts w:ascii="Georgia" w:cs="Georgia" w:eastAsia="Georgia" w:hAnsi="Georgia"/>
          <w:color w:val="1A1A1A"/>
          <w:sz w:val="21"/>
          <w:szCs w:val="21"/>
        </w:rPr>
        <w:t xml:space="preserve"> (access and benefit-sharing) sit under the Convention on Biological Diversity. Gene-editing product rules diverge sharply: the EU is </w:t>
      </w:r>
      <w:r>
        <w:rPr>
          <w:rFonts w:ascii="Georgia" w:cs="Georgia" w:eastAsia="Georgia" w:hAnsi="Georgia"/>
          <w:b/>
          <w:bCs/>
          <w:color w:val="1A1A1A"/>
          <w:sz w:val="21"/>
          <w:szCs w:val="21"/>
        </w:rPr>
        <w:t xml:space="preserve">process-based</w:t>
      </w:r>
      <w:r>
        <w:rPr>
          <w:rFonts w:ascii="Georgia" w:cs="Georgia" w:eastAsia="Georgia" w:hAnsi="Georgia"/>
          <w:color w:val="1A1A1A"/>
          <w:sz w:val="21"/>
          <w:szCs w:val="21"/>
        </w:rPr>
        <w:t xml:space="preserve"> and strict (GMO framework), the US </w:t>
      </w:r>
      <w:r>
        <w:rPr>
          <w:rFonts w:ascii="Georgia" w:cs="Georgia" w:eastAsia="Georgia" w:hAnsi="Georgia"/>
          <w:b/>
          <w:bCs/>
          <w:color w:val="1A1A1A"/>
          <w:sz w:val="21"/>
          <w:szCs w:val="21"/>
        </w:rPr>
        <w:t xml:space="preserve">product-based</w:t>
      </w:r>
      <w:r>
        <w:rPr>
          <w:rFonts w:ascii="Georgia" w:cs="Georgia" w:eastAsia="Georgia" w:hAnsi="Georgia"/>
          <w:color w:val="1A1A1A"/>
          <w:sz w:val="21"/>
          <w:szCs w:val="21"/>
        </w:rPr>
        <w:t xml:space="preserve"> and lighter.</w:t>
      </w:r>
    </w:p>
    <w:p>
      <w:pPr>
        <w:pStyle w:val="ListParagraph"/>
        <w:numPr>
          <w:ilvl w:val="0"/>
          <w:numId w:val="1"/>
        </w:numPr>
        <w:spacing w:after="70" w:line="268"/>
      </w:pPr>
      <w:r>
        <w:rPr>
          <w:rFonts w:ascii="Georgia" w:cs="Georgia" w:eastAsia="Georgia" w:hAnsi="Georgia"/>
          <w:b/>
          <w:bCs/>
          <w:color w:val="1A1A1A"/>
          <w:sz w:val="21"/>
          <w:szCs w:val="21"/>
        </w:rPr>
        <w:t xml:space="preserve">Ethics</w:t>
      </w:r>
      <w:r>
        <w:rPr>
          <w:rFonts w:ascii="Georgia" w:cs="Georgia" w:eastAsia="Georgia" w:hAnsi="Georgia"/>
          <w:color w:val="1A1A1A"/>
          <w:sz w:val="21"/>
          <w:szCs w:val="21"/>
        </w:rPr>
        <w:t xml:space="preserve"> — human </w:t>
      </w:r>
      <w:r>
        <w:rPr>
          <w:rFonts w:ascii="Georgia" w:cs="Georgia" w:eastAsia="Georgia" w:hAnsi="Georgia"/>
          <w:b/>
          <w:bCs/>
          <w:color w:val="1A1A1A"/>
          <w:sz w:val="21"/>
          <w:szCs w:val="21"/>
        </w:rPr>
        <w:t xml:space="preserve">germline</w:t>
      </w:r>
      <w:r>
        <w:rPr>
          <w:rFonts w:ascii="Georgia" w:cs="Georgia" w:eastAsia="Georgia" w:hAnsi="Georgia"/>
          <w:color w:val="1A1A1A"/>
          <w:sz w:val="21"/>
          <w:szCs w:val="21"/>
        </w:rPr>
        <w:t xml:space="preserve"> editing remains broadly off-limits after the 2018 He Jiankui affair; UNESCO and WHO run active bioethics and human-genome-editing governance processes.</w:t>
      </w:r>
    </w:p>
    <w:p>
      <w:pPr>
        <w:pStyle w:val="Heading3"/>
        <w:spacing w:after="70" w:before="160"/>
      </w:pPr>
      <w:r>
        <w:rPr>
          <w:rFonts w:ascii="Calibri" w:cs="Calibri" w:eastAsia="Calibri" w:hAnsi="Calibri"/>
          <w:b/>
          <w:bCs/>
          <w:color w:val="1F2A44"/>
          <w:sz w:val="22"/>
          <w:szCs w:val="22"/>
        </w:rPr>
        <w:t xml:space="preserve">Open questions and the toolkit angle</w:t>
      </w:r>
    </w:p>
    <w:p>
      <w:pPr>
        <w:spacing w:after="140" w:line="276"/>
        <w:jc w:val="both"/>
      </w:pPr>
      <w:r>
        <w:rPr>
          <w:rFonts w:ascii="Georgia" w:cs="Georgia" w:eastAsia="Georgia" w:hAnsi="Georgia"/>
          <w:color w:val="1A1A1A"/>
          <w:sz w:val="21"/>
          <w:szCs w:val="21"/>
        </w:rPr>
        <w:t xml:space="preserve">Open: how to govern the AI-bio convergence; how to screen synthesis without stifling research; how to reach non-state and DIY-bio actors; and how to add verification to a treaty regime that lacks it. Toolkit angle: biotech needs </w:t>
      </w:r>
      <w:r>
        <w:rPr>
          <w:rFonts w:ascii="Georgia" w:cs="Georgia" w:eastAsia="Georgia" w:hAnsi="Georgia"/>
          <w:b/>
          <w:bCs/>
          <w:color w:val="1A1A1A"/>
          <w:sz w:val="21"/>
          <w:szCs w:val="21"/>
        </w:rPr>
        <w:t xml:space="preserve">collaborative regulation and standards</w:t>
      </w:r>
      <w:r>
        <w:rPr>
          <w:rFonts w:ascii="Georgia" w:cs="Georgia" w:eastAsia="Georgia" w:hAnsi="Georgia"/>
          <w:color w:val="1A1A1A"/>
          <w:sz w:val="21"/>
          <w:szCs w:val="21"/>
        </w:rPr>
        <w:t xml:space="preserve"> (industry screening norms), </w:t>
      </w:r>
      <w:r>
        <w:rPr>
          <w:rFonts w:ascii="Georgia" w:cs="Georgia" w:eastAsia="Georgia" w:hAnsi="Georgia"/>
          <w:b/>
          <w:bCs/>
          <w:color w:val="1A1A1A"/>
          <w:sz w:val="21"/>
          <w:szCs w:val="21"/>
        </w:rPr>
        <w:t xml:space="preserve">international cooperation</w:t>
      </w:r>
      <w:r>
        <w:rPr>
          <w:rFonts w:ascii="Georgia" w:cs="Georgia" w:eastAsia="Georgia" w:hAnsi="Georgia"/>
          <w:color w:val="1A1A1A"/>
          <w:sz w:val="21"/>
          <w:szCs w:val="21"/>
        </w:rPr>
        <w:t xml:space="preserve"> (a borderless risk), and honest recognition of the </w:t>
      </w:r>
      <w:r>
        <w:rPr>
          <w:rFonts w:ascii="Georgia" w:cs="Georgia" w:eastAsia="Georgia" w:hAnsi="Georgia"/>
          <w:b/>
          <w:bCs/>
          <w:color w:val="1A1A1A"/>
          <w:sz w:val="21"/>
          <w:szCs w:val="21"/>
        </w:rPr>
        <w:t xml:space="preserve">limits of soft law</w:t>
      </w:r>
      <w:r>
        <w:rPr>
          <w:rFonts w:ascii="Georgia" w:cs="Georgia" w:eastAsia="Georgia" w:hAnsi="Georgia"/>
          <w:color w:val="1A1A1A"/>
          <w:sz w:val="21"/>
          <w:szCs w:val="21"/>
        </w:rPr>
        <w:t xml:space="preserve"> where the downside is catastrophic — the domain where you show you know when agility must yield to precaution.</w:t>
      </w:r>
    </w:p>
    <w:p>
      <w:pPr>
        <w:pStyle w:val="Heading2"/>
        <w:spacing w:after="100" w:before="220"/>
      </w:pPr>
      <w:r>
        <w:rPr>
          <w:rFonts w:ascii="Calibri" w:cs="Calibri" w:eastAsia="Calibri" w:hAnsi="Calibri"/>
          <w:b/>
          <w:bCs/>
          <w:color w:val="2F5D8A"/>
          <w:sz w:val="25"/>
          <w:szCs w:val="25"/>
        </w:rPr>
        <w:t xml:space="preserve">3.4 Robotics and Autonomous Mobility</w:t>
      </w:r>
    </w:p>
    <w:p>
      <w:pPr>
        <w:pStyle w:val="Heading3"/>
        <w:spacing w:after="70" w:before="160"/>
      </w:pPr>
      <w:r>
        <w:rPr>
          <w:rFonts w:ascii="Calibri" w:cs="Calibri" w:eastAsia="Calibri" w:hAnsi="Calibri"/>
          <w:b/>
          <w:bCs/>
          <w:color w:val="1F2A44"/>
          <w:sz w:val="22"/>
          <w:szCs w:val="22"/>
        </w:rPr>
        <w:t xml:space="preserve">The primer</w:t>
      </w:r>
    </w:p>
    <w:p>
      <w:pPr>
        <w:spacing w:after="140" w:line="276"/>
        <w:jc w:val="both"/>
      </w:pPr>
      <w:r>
        <w:rPr>
          <w:rFonts w:ascii="Georgia" w:cs="Georgia" w:eastAsia="Georgia" w:hAnsi="Georgia"/>
          <w:color w:val="1A1A1A"/>
          <w:sz w:val="21"/>
          <w:szCs w:val="21"/>
        </w:rPr>
        <w:t xml:space="preserve">Two converging fronts: </w:t>
      </w:r>
      <w:r>
        <w:rPr>
          <w:rFonts w:ascii="Georgia" w:cs="Georgia" w:eastAsia="Georgia" w:hAnsi="Georgia"/>
          <w:b/>
          <w:bCs/>
          <w:color w:val="1A1A1A"/>
          <w:sz w:val="21"/>
          <w:szCs w:val="21"/>
        </w:rPr>
        <w:t xml:space="preserve">autonomous vehicles (AVs)</w:t>
      </w:r>
      <w:r>
        <w:rPr>
          <w:rFonts w:ascii="Georgia" w:cs="Georgia" w:eastAsia="Georgia" w:hAnsi="Georgia"/>
          <w:color w:val="1A1A1A"/>
          <w:sz w:val="21"/>
          <w:szCs w:val="21"/>
        </w:rPr>
        <w:t xml:space="preserve"> — self-driving cars, trucks and delivery robots, classified on the </w:t>
      </w:r>
      <w:r>
        <w:rPr>
          <w:rFonts w:ascii="Georgia" w:cs="Georgia" w:eastAsia="Georgia" w:hAnsi="Georgia"/>
          <w:b/>
          <w:bCs/>
          <w:color w:val="1A1A1A"/>
          <w:sz w:val="21"/>
          <w:szCs w:val="21"/>
        </w:rPr>
        <w:t xml:space="preserve">SAE Levels 0–5</w:t>
      </w:r>
      <w:r>
        <w:rPr>
          <w:rFonts w:ascii="Georgia" w:cs="Georgia" w:eastAsia="Georgia" w:hAnsi="Georgia"/>
          <w:color w:val="1A1A1A"/>
          <w:sz w:val="21"/>
          <w:szCs w:val="21"/>
        </w:rPr>
        <w:t xml:space="preserve"> scale from no automation to full autonomy, built on a perception-planning-control stack of sensors (lidar, radar, cameras), sensor fusion and ML — and </w:t>
      </w:r>
      <w:r>
        <w:rPr>
          <w:rFonts w:ascii="Georgia" w:cs="Georgia" w:eastAsia="Georgia" w:hAnsi="Georgia"/>
          <w:b/>
          <w:bCs/>
          <w:color w:val="1A1A1A"/>
          <w:sz w:val="21"/>
          <w:szCs w:val="21"/>
        </w:rPr>
        <w:t xml:space="preserve">general-purpose / humanoid robotics</w:t>
      </w:r>
      <w:r>
        <w:rPr>
          <w:rFonts w:ascii="Georgia" w:cs="Georgia" w:eastAsia="Georgia" w:hAnsi="Georgia"/>
          <w:color w:val="1A1A1A"/>
          <w:sz w:val="21"/>
          <w:szCs w:val="21"/>
        </w:rPr>
        <w:t xml:space="preserve"> and </w:t>
      </w:r>
      <w:r>
        <w:rPr>
          <w:rFonts w:ascii="Georgia" w:cs="Georgia" w:eastAsia="Georgia" w:hAnsi="Georgia"/>
          <w:b/>
          <w:bCs/>
          <w:color w:val="1A1A1A"/>
          <w:sz w:val="21"/>
          <w:szCs w:val="21"/>
        </w:rPr>
        <w:t xml:space="preserve">embodied AI</w:t>
      </w:r>
      <w:r>
        <w:rPr>
          <w:rFonts w:ascii="Georgia" w:cs="Georgia" w:eastAsia="Georgia" w:hAnsi="Georgia"/>
          <w:color w:val="1A1A1A"/>
          <w:sz w:val="21"/>
          <w:szCs w:val="21"/>
        </w:rPr>
        <w:t xml:space="preserve">, riding the AI wave. The unifying feature is </w:t>
      </w:r>
      <w:r>
        <w:rPr>
          <w:rFonts w:ascii="Georgia" w:cs="Georgia" w:eastAsia="Georgia" w:hAnsi="Georgia"/>
          <w:b/>
          <w:bCs/>
          <w:color w:val="1A1A1A"/>
          <w:sz w:val="21"/>
          <w:szCs w:val="21"/>
        </w:rPr>
        <w:t xml:space="preserve">autonomous physical action in shared human spaces</w:t>
      </w:r>
      <w:r>
        <w:rPr>
          <w:rFonts w:ascii="Georgia" w:cs="Georgia" w:eastAsia="Georgia" w:hAnsi="Georgia"/>
          <w:color w:val="1A1A1A"/>
          <w:sz w:val="21"/>
          <w:szCs w:val="21"/>
        </w:rPr>
        <w:t xml:space="preserve">, which makes safety and liability concrete rather than abstract. Governance concepts: the </w:t>
      </w:r>
      <w:r>
        <w:rPr>
          <w:rFonts w:ascii="Georgia" w:cs="Georgia" w:eastAsia="Georgia" w:hAnsi="Georgia"/>
          <w:b/>
          <w:bCs/>
          <w:color w:val="1A1A1A"/>
          <w:sz w:val="21"/>
          <w:szCs w:val="21"/>
        </w:rPr>
        <w:t xml:space="preserve">safety case</w:t>
      </w:r>
      <w:r>
        <w:rPr>
          <w:rFonts w:ascii="Georgia" w:cs="Georgia" w:eastAsia="Georgia" w:hAnsi="Georgia"/>
          <w:color w:val="1A1A1A"/>
          <w:sz w:val="21"/>
          <w:szCs w:val="21"/>
        </w:rPr>
        <w:t xml:space="preserve"> (a structured, evidence-based argument that a system is acceptably safe), </w:t>
      </w:r>
      <w:r>
        <w:rPr>
          <w:rFonts w:ascii="Georgia" w:cs="Georgia" w:eastAsia="Georgia" w:hAnsi="Georgia"/>
          <w:b/>
          <w:bCs/>
          <w:color w:val="1A1A1A"/>
          <w:sz w:val="21"/>
          <w:szCs w:val="21"/>
        </w:rPr>
        <w:t xml:space="preserve">type approval</w:t>
      </w:r>
      <w:r>
        <w:rPr>
          <w:rFonts w:ascii="Georgia" w:cs="Georgia" w:eastAsia="Georgia" w:hAnsi="Georgia"/>
          <w:color w:val="1A1A1A"/>
          <w:sz w:val="21"/>
          <w:szCs w:val="21"/>
        </w:rPr>
        <w:t xml:space="preserve">, </w:t>
      </w:r>
      <w:r>
        <w:rPr>
          <w:rFonts w:ascii="Georgia" w:cs="Georgia" w:eastAsia="Georgia" w:hAnsi="Georgia"/>
          <w:b/>
          <w:bCs/>
          <w:color w:val="1A1A1A"/>
          <w:sz w:val="21"/>
          <w:szCs w:val="21"/>
        </w:rPr>
        <w:t xml:space="preserve">operational design domain (ODD)</w:t>
      </w:r>
      <w:r>
        <w:rPr>
          <w:rFonts w:ascii="Georgia" w:cs="Georgia" w:eastAsia="Georgia" w:hAnsi="Georgia"/>
          <w:color w:val="1A1A1A"/>
          <w:sz w:val="21"/>
          <w:szCs w:val="21"/>
        </w:rPr>
        <w:t xml:space="preserve">, and </w:t>
      </w:r>
      <w:r>
        <w:rPr>
          <w:rFonts w:ascii="Georgia" w:cs="Georgia" w:eastAsia="Georgia" w:hAnsi="Georgia"/>
          <w:b/>
          <w:bCs/>
          <w:color w:val="1A1A1A"/>
          <w:sz w:val="21"/>
          <w:szCs w:val="21"/>
        </w:rPr>
        <w:t xml:space="preserve">product liability</w:t>
      </w:r>
      <w:r>
        <w:rPr>
          <w:rFonts w:ascii="Georgia" w:cs="Georgia" w:eastAsia="Georgia" w:hAnsi="Georgia"/>
          <w:color w:val="1A1A1A"/>
          <w:sz w:val="21"/>
          <w:szCs w:val="21"/>
        </w:rPr>
        <w:t xml:space="preserve">.</w:t>
      </w:r>
    </w:p>
    <w:p>
      <w:pPr>
        <w:pStyle w:val="Heading3"/>
        <w:spacing w:after="70" w:before="160"/>
      </w:pPr>
      <w:r>
        <w:rPr>
          <w:rFonts w:ascii="Calibri" w:cs="Calibri" w:eastAsia="Calibri" w:hAnsi="Calibri"/>
          <w:b/>
          <w:bCs/>
          <w:color w:val="1F2A44"/>
          <w:sz w:val="22"/>
          <w:szCs w:val="22"/>
        </w:rPr>
        <w:t xml:space="preserve">State of the art and scale</w:t>
      </w:r>
    </w:p>
    <w:p>
      <w:pPr>
        <w:spacing w:after="140" w:line="276"/>
        <w:jc w:val="both"/>
      </w:pPr>
      <w:r>
        <w:rPr>
          <w:rFonts w:ascii="Georgia" w:cs="Georgia" w:eastAsia="Georgia" w:hAnsi="Georgia"/>
          <w:color w:val="1A1A1A"/>
          <w:sz w:val="21"/>
          <w:szCs w:val="21"/>
        </w:rPr>
        <w:t xml:space="preserve">The robotics market was roughly </w:t>
      </w:r>
      <w:r>
        <w:rPr>
          <w:rFonts w:ascii="Georgia" w:cs="Georgia" w:eastAsia="Georgia" w:hAnsi="Georgia"/>
          <w:b/>
          <w:bCs/>
          <w:color w:val="1A1A1A"/>
          <w:sz w:val="21"/>
          <w:szCs w:val="21"/>
        </w:rPr>
        <w:t xml:space="preserve">$100–110 billion in 2025</w:t>
      </w:r>
      <w:r>
        <w:rPr>
          <w:rFonts w:ascii="Georgia" w:cs="Georgia" w:eastAsia="Georgia" w:hAnsi="Georgia"/>
          <w:color w:val="1A1A1A"/>
          <w:sz w:val="21"/>
          <w:szCs w:val="21"/>
        </w:rPr>
        <w:t xml:space="preserve">, forecast to more than triple by the mid-2030s (~14% CAGR), with a fast-emerging humanoid segment. Robotaxis operate commercially in parts of the US and China; humanoid robots are moving from demos toward pilots.</w:t>
      </w:r>
    </w:p>
    <w:p>
      <w:pPr>
        <w:pStyle w:val="Heading3"/>
        <w:spacing w:after="70" w:before="160"/>
      </w:pPr>
      <w:r>
        <w:rPr>
          <w:rFonts w:ascii="Calibri" w:cs="Calibri" w:eastAsia="Calibri" w:hAnsi="Calibri"/>
          <w:b/>
          <w:bCs/>
          <w:color w:val="1F2A44"/>
          <w:sz w:val="22"/>
          <w:szCs w:val="22"/>
        </w:rPr>
        <w:t xml:space="preserve">Key players</w:t>
      </w:r>
    </w:p>
    <w:p>
      <w:pPr>
        <w:spacing w:after="140" w:line="276"/>
        <w:jc w:val="both"/>
      </w:pPr>
      <w:r>
        <w:rPr>
          <w:rFonts w:ascii="Georgia" w:cs="Georgia" w:eastAsia="Georgia" w:hAnsi="Georgia"/>
          <w:color w:val="1A1A1A"/>
          <w:sz w:val="21"/>
          <w:szCs w:val="21"/>
        </w:rPr>
        <w:t xml:space="preserve">Waymo, Cruise, Baidu Apollo, Tesla, Zoox in AVs; Boston Dynamics, Figure, Agility, Tesla Optimus, Unitree in humanoids; and on governance the </w:t>
      </w:r>
      <w:r>
        <w:rPr>
          <w:rFonts w:ascii="Georgia" w:cs="Georgia" w:eastAsia="Georgia" w:hAnsi="Georgia"/>
          <w:b/>
          <w:bCs/>
          <w:color w:val="1A1A1A"/>
          <w:sz w:val="21"/>
          <w:szCs w:val="21"/>
        </w:rPr>
        <w:t xml:space="preserve">UNECE World Forum (WP.29)</w:t>
      </w:r>
      <w:r>
        <w:rPr>
          <w:rFonts w:ascii="Georgia" w:cs="Georgia" w:eastAsia="Georgia" w:hAnsi="Georgia"/>
          <w:color w:val="1A1A1A"/>
          <w:sz w:val="21"/>
          <w:szCs w:val="21"/>
        </w:rPr>
        <w:t xml:space="preserve"> and its automated-vehicle working party </w:t>
      </w:r>
      <w:r>
        <w:rPr>
          <w:rFonts w:ascii="Georgia" w:cs="Georgia" w:eastAsia="Georgia" w:hAnsi="Georgia"/>
          <w:b/>
          <w:bCs/>
          <w:color w:val="1A1A1A"/>
          <w:sz w:val="21"/>
          <w:szCs w:val="21"/>
        </w:rPr>
        <w:t xml:space="preserve">GRVA</w:t>
      </w:r>
      <w:r>
        <w:rPr>
          <w:rFonts w:ascii="Georgia" w:cs="Georgia" w:eastAsia="Georgia" w:hAnsi="Georgia"/>
          <w:color w:val="1A1A1A"/>
          <w:sz w:val="21"/>
          <w:szCs w:val="21"/>
        </w:rPr>
        <w:t xml:space="preserve">, the EU institutions, and standards bodies (ISO, SAE).</w:t>
      </w:r>
    </w:p>
    <w:p>
      <w:pPr>
        <w:pStyle w:val="Heading3"/>
        <w:spacing w:after="70" w:before="160"/>
      </w:pPr>
      <w:r>
        <w:rPr>
          <w:rFonts w:ascii="Calibri" w:cs="Calibri" w:eastAsia="Calibri" w:hAnsi="Calibri"/>
          <w:b/>
          <w:bCs/>
          <w:color w:val="1F2A44"/>
          <w:sz w:val="22"/>
          <w:szCs w:val="22"/>
        </w:rPr>
        <w:t xml:space="preserve">Core governance dilemma</w:t>
      </w:r>
    </w:p>
    <w:p>
      <w:pPr>
        <w:spacing w:after="140" w:line="276"/>
        <w:jc w:val="both"/>
      </w:pPr>
      <w:r>
        <w:rPr>
          <w:rFonts w:ascii="Georgia" w:cs="Georgia" w:eastAsia="Georgia" w:hAnsi="Georgia"/>
          <w:b/>
          <w:bCs/>
          <w:color w:val="1A1A1A"/>
          <w:sz w:val="21"/>
          <w:szCs w:val="21"/>
        </w:rPr>
        <w:t xml:space="preserve">When an autonomous system acts in the world and causes harm, who is responsible — manufacturer, software developer, operator, owner — and how do you certify the safety of a system that learns and changes after deployment?</w:t>
      </w:r>
      <w:r>
        <w:rPr>
          <w:rFonts w:ascii="Georgia" w:cs="Georgia" w:eastAsia="Georgia" w:hAnsi="Georgia"/>
          <w:color w:val="1A1A1A"/>
          <w:sz w:val="21"/>
          <w:szCs w:val="21"/>
        </w:rPr>
        <w:t xml:space="preserve"> Traditional product-safety and liability law assumes a fixed product and a human in control; autonomy breaks both assumptions.</w:t>
      </w:r>
    </w:p>
    <w:p>
      <w:pPr>
        <w:pStyle w:val="Heading3"/>
        <w:spacing w:after="70" w:before="160"/>
      </w:pPr>
      <w:r>
        <w:rPr>
          <w:rFonts w:ascii="Calibri" w:cs="Calibri" w:eastAsia="Calibri" w:hAnsi="Calibri"/>
          <w:b/>
          <w:bCs/>
          <w:color w:val="1F2A44"/>
          <w:sz w:val="22"/>
          <w:szCs w:val="22"/>
        </w:rPr>
        <w:t xml:space="preserve">Regulatory landscape</w:t>
      </w:r>
    </w:p>
    <w:p>
      <w:pPr>
        <w:pStyle w:val="ListParagraph"/>
        <w:numPr>
          <w:ilvl w:val="0"/>
          <w:numId w:val="1"/>
        </w:numPr>
        <w:spacing w:after="70" w:line="268"/>
      </w:pPr>
      <w:r>
        <w:rPr>
          <w:rFonts w:ascii="Georgia" w:cs="Georgia" w:eastAsia="Georgia" w:hAnsi="Georgia"/>
          <w:b/>
          <w:bCs/>
          <w:color w:val="1A1A1A"/>
          <w:sz w:val="21"/>
          <w:szCs w:val="21"/>
        </w:rPr>
        <w:t xml:space="preserve">International vehicle rules</w:t>
      </w:r>
      <w:r>
        <w:rPr>
          <w:rFonts w:ascii="Georgia" w:cs="Georgia" w:eastAsia="Georgia" w:hAnsi="Georgia"/>
          <w:color w:val="1A1A1A"/>
          <w:sz w:val="21"/>
          <w:szCs w:val="21"/>
        </w:rPr>
        <w:t xml:space="preserve"> — UNECE WP.29 / GRVA set harmonised rules; a </w:t>
      </w:r>
      <w:r>
        <w:rPr>
          <w:rFonts w:ascii="Georgia" w:cs="Georgia" w:eastAsia="Georgia" w:hAnsi="Georgia"/>
          <w:b/>
          <w:bCs/>
          <w:color w:val="1A1A1A"/>
          <w:sz w:val="21"/>
          <w:szCs w:val="21"/>
        </w:rPr>
        <w:t xml:space="preserve">UN regulation on Automated Driving Systems (adopted January 2026)</w:t>
      </w:r>
      <w:r>
        <w:rPr>
          <w:rFonts w:ascii="Georgia" w:cs="Georgia" w:eastAsia="Georgia" w:hAnsi="Georgia"/>
          <w:color w:val="1A1A1A"/>
          <w:sz w:val="21"/>
          <w:szCs w:val="21"/>
        </w:rPr>
        <w:t xml:space="preserve"> anchors approval in a </w:t>
      </w:r>
      <w:r>
        <w:rPr>
          <w:rFonts w:ascii="Georgia" w:cs="Georgia" w:eastAsia="Georgia" w:hAnsi="Georgia"/>
          <w:b/>
          <w:bCs/>
          <w:color w:val="1A1A1A"/>
          <w:sz w:val="21"/>
          <w:szCs w:val="21"/>
        </w:rPr>
        <w:t xml:space="preserve">safety-case approach</w:t>
      </w:r>
      <w:r>
        <w:rPr>
          <w:rFonts w:ascii="Georgia" w:cs="Georgia" w:eastAsia="Georgia" w:hAnsi="Georgia"/>
          <w:color w:val="1A1A1A"/>
          <w:sz w:val="21"/>
          <w:szCs w:val="21"/>
        </w:rPr>
        <w:t xml:space="preserve">. SAE Levels 0–5 are the universal shorthand.</w:t>
      </w:r>
    </w:p>
    <w:p>
      <w:pPr>
        <w:pStyle w:val="ListParagraph"/>
        <w:numPr>
          <w:ilvl w:val="0"/>
          <w:numId w:val="1"/>
        </w:numPr>
        <w:spacing w:after="70" w:line="268"/>
      </w:pPr>
      <w:r>
        <w:rPr>
          <w:rFonts w:ascii="Georgia" w:cs="Georgia" w:eastAsia="Georgia" w:hAnsi="Georgia"/>
          <w:b/>
          <w:bCs/>
          <w:color w:val="1A1A1A"/>
          <w:sz w:val="21"/>
          <w:szCs w:val="21"/>
        </w:rPr>
        <w:t xml:space="preserve">EU</w:t>
      </w:r>
      <w:r>
        <w:rPr>
          <w:rFonts w:ascii="Georgia" w:cs="Georgia" w:eastAsia="Georgia" w:hAnsi="Georgia"/>
          <w:color w:val="1A1A1A"/>
          <w:sz w:val="21"/>
          <w:szCs w:val="21"/>
        </w:rPr>
        <w:t xml:space="preserve"> — a layered stack: the </w:t>
      </w:r>
      <w:r>
        <w:rPr>
          <w:rFonts w:ascii="Georgia" w:cs="Georgia" w:eastAsia="Georgia" w:hAnsi="Georgia"/>
          <w:b/>
          <w:bCs/>
          <w:color w:val="1A1A1A"/>
          <w:sz w:val="21"/>
          <w:szCs w:val="21"/>
        </w:rPr>
        <w:t xml:space="preserve">AI Act</w:t>
      </w:r>
      <w:r>
        <w:rPr>
          <w:rFonts w:ascii="Georgia" w:cs="Georgia" w:eastAsia="Georgia" w:hAnsi="Georgia"/>
          <w:color w:val="1A1A1A"/>
          <w:sz w:val="21"/>
          <w:szCs w:val="21"/>
        </w:rPr>
        <w:t xml:space="preserve"> (safe/ethical AI design), the revised </w:t>
      </w:r>
      <w:r>
        <w:rPr>
          <w:rFonts w:ascii="Georgia" w:cs="Georgia" w:eastAsia="Georgia" w:hAnsi="Georgia"/>
          <w:b/>
          <w:bCs/>
          <w:color w:val="1A1A1A"/>
          <w:sz w:val="21"/>
          <w:szCs w:val="21"/>
        </w:rPr>
        <w:t xml:space="preserve">Machinery Regulation (2023/1230, applying January 2027)</w:t>
      </w:r>
      <w:r>
        <w:rPr>
          <w:rFonts w:ascii="Georgia" w:cs="Georgia" w:eastAsia="Georgia" w:hAnsi="Georgia"/>
          <w:color w:val="1A1A1A"/>
          <w:sz w:val="21"/>
          <w:szCs w:val="21"/>
        </w:rPr>
        <w:t xml:space="preserve"> adding autonomy thresholds, lifetime cybersecurity and risk classification, and the revised </w:t>
      </w:r>
      <w:r>
        <w:rPr>
          <w:rFonts w:ascii="Georgia" w:cs="Georgia" w:eastAsia="Georgia" w:hAnsi="Georgia"/>
          <w:b/>
          <w:bCs/>
          <w:color w:val="1A1A1A"/>
          <w:sz w:val="21"/>
          <w:szCs w:val="21"/>
        </w:rPr>
        <w:t xml:space="preserve">Product Liability Directive</w:t>
      </w:r>
      <w:r>
        <w:rPr>
          <w:rFonts w:ascii="Georgia" w:cs="Georgia" w:eastAsia="Georgia" w:hAnsi="Georgia"/>
          <w:color w:val="1A1A1A"/>
          <w:sz w:val="21"/>
          <w:szCs w:val="21"/>
        </w:rPr>
        <w:t xml:space="preserve"> extending strict liability to software and AI.</w:t>
      </w:r>
    </w:p>
    <w:p>
      <w:pPr>
        <w:pStyle w:val="ListParagraph"/>
        <w:numPr>
          <w:ilvl w:val="0"/>
          <w:numId w:val="1"/>
        </w:numPr>
        <w:spacing w:after="70" w:line="268"/>
      </w:pPr>
      <w:r>
        <w:rPr>
          <w:rFonts w:ascii="Georgia" w:cs="Georgia" w:eastAsia="Georgia" w:hAnsi="Georgia"/>
          <w:b/>
          <w:bCs/>
          <w:color w:val="1A1A1A"/>
          <w:sz w:val="21"/>
          <w:szCs w:val="21"/>
        </w:rPr>
        <w:t xml:space="preserve">Liability innovation</w:t>
      </w:r>
      <w:r>
        <w:rPr>
          <w:rFonts w:ascii="Georgia" w:cs="Georgia" w:eastAsia="Georgia" w:hAnsi="Georgia"/>
          <w:color w:val="1A1A1A"/>
          <w:sz w:val="21"/>
          <w:szCs w:val="21"/>
        </w:rPr>
        <w:t xml:space="preserve"> — the hardest live question; approaches range from strict manufacturer liability to no-fault insurance pools. The EU </w:t>
      </w:r>
      <w:r>
        <w:rPr>
          <w:rFonts w:ascii="Georgia" w:cs="Georgia" w:eastAsia="Georgia" w:hAnsi="Georgia"/>
          <w:b/>
          <w:bCs/>
          <w:color w:val="1A1A1A"/>
          <w:sz w:val="21"/>
          <w:szCs w:val="21"/>
        </w:rPr>
        <w:t xml:space="preserve">withdrew its separate AI Liability Directive in 2025</w:t>
      </w:r>
      <w:r>
        <w:rPr>
          <w:rFonts w:ascii="Georgia" w:cs="Georgia" w:eastAsia="Georgia" w:hAnsi="Georgia"/>
          <w:color w:val="1A1A1A"/>
          <w:sz w:val="21"/>
          <w:szCs w:val="21"/>
        </w:rPr>
        <w:t xml:space="preserve">, leaving the updated product-liability regime to carry the load — a notable governance gap.</w:t>
      </w:r>
    </w:p>
    <w:p>
      <w:pPr>
        <w:pStyle w:val="ListParagraph"/>
        <w:numPr>
          <w:ilvl w:val="0"/>
          <w:numId w:val="1"/>
        </w:numPr>
        <w:spacing w:after="70" w:line="268"/>
      </w:pPr>
      <w:r>
        <w:rPr>
          <w:rFonts w:ascii="Georgia" w:cs="Georgia" w:eastAsia="Georgia" w:hAnsi="Georgia"/>
          <w:b/>
          <w:bCs/>
          <w:color w:val="1A1A1A"/>
          <w:sz w:val="21"/>
          <w:szCs w:val="21"/>
        </w:rPr>
        <w:t xml:space="preserve">Humanoid / consumer robots</w:t>
      </w:r>
      <w:r>
        <w:rPr>
          <w:rFonts w:ascii="Georgia" w:cs="Georgia" w:eastAsia="Georgia" w:hAnsi="Georgia"/>
          <w:color w:val="1A1A1A"/>
          <w:sz w:val="21"/>
          <w:szCs w:val="21"/>
        </w:rPr>
        <w:t xml:space="preserve"> — largely ungoverned: as of late 2025 there is no comprehensive US, EU or international regime for personal humanoid robots; </w:t>
      </w:r>
      <w:r>
        <w:rPr>
          <w:rFonts w:ascii="Georgia" w:cs="Georgia" w:eastAsia="Georgia" w:hAnsi="Georgia"/>
          <w:b/>
          <w:bCs/>
          <w:color w:val="1A1A1A"/>
          <w:sz w:val="21"/>
          <w:szCs w:val="21"/>
        </w:rPr>
        <w:t xml:space="preserve">ISO 25785-1 (2025)</w:t>
      </w:r>
      <w:r>
        <w:rPr>
          <w:rFonts w:ascii="Georgia" w:cs="Georgia" w:eastAsia="Georgia" w:hAnsi="Georgia"/>
          <w:color w:val="1A1A1A"/>
          <w:sz w:val="21"/>
          <w:szCs w:val="21"/>
        </w:rPr>
        <w:t xml:space="preserve"> is a first safety standard, but only for industrial bipedal robots.</w:t>
      </w:r>
    </w:p>
    <w:p>
      <w:pPr>
        <w:pStyle w:val="Heading3"/>
        <w:spacing w:after="70" w:before="160"/>
      </w:pPr>
      <w:r>
        <w:rPr>
          <w:rFonts w:ascii="Calibri" w:cs="Calibri" w:eastAsia="Calibri" w:hAnsi="Calibri"/>
          <w:b/>
          <w:bCs/>
          <w:color w:val="1F2A44"/>
          <w:sz w:val="22"/>
          <w:szCs w:val="22"/>
        </w:rPr>
        <w:t xml:space="preserve">Open questions and the toolkit angle</w:t>
      </w:r>
    </w:p>
    <w:p>
      <w:pPr>
        <w:spacing w:after="140" w:line="276"/>
        <w:jc w:val="both"/>
      </w:pPr>
      <w:r>
        <w:rPr>
          <w:rFonts w:ascii="Georgia" w:cs="Georgia" w:eastAsia="Georgia" w:hAnsi="Georgia"/>
          <w:color w:val="1A1A1A"/>
          <w:sz w:val="21"/>
          <w:szCs w:val="21"/>
        </w:rPr>
        <w:t xml:space="preserve">Open: liability allocation; safety assurance for learning systems; certification of continuously updated software; labour displacement; and consumer-robot safety. Toolkit angle: mobility is the home turf of </w:t>
      </w:r>
      <w:r>
        <w:rPr>
          <w:rFonts w:ascii="Georgia" w:cs="Georgia" w:eastAsia="Georgia" w:hAnsi="Georgia"/>
          <w:b/>
          <w:bCs/>
          <w:color w:val="1A1A1A"/>
          <w:sz w:val="21"/>
          <w:szCs w:val="21"/>
        </w:rPr>
        <w:t xml:space="preserve">sandboxes and pilots</w:t>
      </w:r>
      <w:r>
        <w:rPr>
          <w:rFonts w:ascii="Georgia" w:cs="Georgia" w:eastAsia="Georgia" w:hAnsi="Georgia"/>
          <w:color w:val="1A1A1A"/>
          <w:sz w:val="21"/>
          <w:szCs w:val="21"/>
        </w:rPr>
        <w:t xml:space="preserve"> (geofenced testbeds), </w:t>
      </w:r>
      <w:r>
        <w:rPr>
          <w:rFonts w:ascii="Georgia" w:cs="Georgia" w:eastAsia="Georgia" w:hAnsi="Georgia"/>
          <w:b/>
          <w:bCs/>
          <w:color w:val="1A1A1A"/>
          <w:sz w:val="21"/>
          <w:szCs w:val="21"/>
        </w:rPr>
        <w:t xml:space="preserve">outcome-based safety cases</w:t>
      </w:r>
      <w:r>
        <w:rPr>
          <w:rFonts w:ascii="Georgia" w:cs="Georgia" w:eastAsia="Georgia" w:hAnsi="Georgia"/>
          <w:color w:val="1A1A1A"/>
          <w:sz w:val="21"/>
          <w:szCs w:val="21"/>
        </w:rPr>
        <w:t xml:space="preserve">, and </w:t>
      </w:r>
      <w:r>
        <w:rPr>
          <w:rFonts w:ascii="Georgia" w:cs="Georgia" w:eastAsia="Georgia" w:hAnsi="Georgia"/>
          <w:b/>
          <w:bCs/>
          <w:color w:val="1A1A1A"/>
          <w:sz w:val="21"/>
          <w:szCs w:val="21"/>
        </w:rPr>
        <w:t xml:space="preserve">standards</w:t>
      </w:r>
      <w:r>
        <w:rPr>
          <w:rFonts w:ascii="Georgia" w:cs="Georgia" w:eastAsia="Georgia" w:hAnsi="Georgia"/>
          <w:color w:val="1A1A1A"/>
          <w:sz w:val="21"/>
          <w:szCs w:val="21"/>
        </w:rPr>
        <w:t xml:space="preserve"> — and a vivid case for co-designing rules with cities and insurers, not only manufacturers.</w:t>
      </w:r>
    </w:p>
    <w:p>
      <w:pPr>
        <w:pStyle w:val="Heading2"/>
        <w:spacing w:after="100" w:before="220"/>
      </w:pPr>
      <w:r>
        <w:rPr>
          <w:rFonts w:ascii="Calibri" w:cs="Calibri" w:eastAsia="Calibri" w:hAnsi="Calibri"/>
          <w:b/>
          <w:bCs/>
          <w:color w:val="2F5D8A"/>
          <w:sz w:val="25"/>
          <w:szCs w:val="25"/>
        </w:rPr>
        <w:t xml:space="preserve">3.5 Planetary Systems — Space and Climate Intervention</w:t>
      </w:r>
    </w:p>
    <w:p>
      <w:pPr>
        <w:spacing w:after="140" w:line="276"/>
        <w:jc w:val="both"/>
      </w:pPr>
      <w:r>
        <w:rPr>
          <w:rFonts w:ascii="Georgia" w:cs="Georgia" w:eastAsia="Georgia" w:hAnsi="Georgia"/>
          <w:color w:val="1A1A1A"/>
          <w:sz w:val="21"/>
          <w:szCs w:val="21"/>
        </w:rPr>
        <w:t xml:space="preserve">“Planetary systems” spans two governance frontiers the Forum groups together: activity in </w:t>
      </w:r>
      <w:r>
        <w:rPr>
          <w:rFonts w:ascii="Georgia" w:cs="Georgia" w:eastAsia="Georgia" w:hAnsi="Georgia"/>
          <w:b/>
          <w:bCs/>
          <w:color w:val="1A1A1A"/>
          <w:sz w:val="21"/>
          <w:szCs w:val="21"/>
        </w:rPr>
        <w:t xml:space="preserve">outer space</w:t>
      </w:r>
      <w:r>
        <w:rPr>
          <w:rFonts w:ascii="Georgia" w:cs="Georgia" w:eastAsia="Georgia" w:hAnsi="Georgia"/>
          <w:color w:val="1A1A1A"/>
          <w:sz w:val="21"/>
          <w:szCs w:val="21"/>
        </w:rPr>
        <w:t xml:space="preserve"> and deliberate intervention in </w:t>
      </w:r>
      <w:r>
        <w:rPr>
          <w:rFonts w:ascii="Georgia" w:cs="Georgia" w:eastAsia="Georgia" w:hAnsi="Georgia"/>
          <w:b/>
          <w:bCs/>
          <w:color w:val="1A1A1A"/>
          <w:sz w:val="21"/>
          <w:szCs w:val="21"/>
        </w:rPr>
        <w:t xml:space="preserve">Earth’s climate system</w:t>
      </w:r>
      <w:r>
        <w:rPr>
          <w:rFonts w:ascii="Georgia" w:cs="Georgia" w:eastAsia="Georgia" w:hAnsi="Georgia"/>
          <w:color w:val="1A1A1A"/>
          <w:sz w:val="21"/>
          <w:szCs w:val="21"/>
        </w:rPr>
        <w:t xml:space="preserve">. Both concern </w:t>
      </w:r>
      <w:r>
        <w:rPr>
          <w:rFonts w:ascii="Georgia" w:cs="Georgia" w:eastAsia="Georgia" w:hAnsi="Georgia"/>
          <w:b/>
          <w:bCs/>
          <w:color w:val="1A1A1A"/>
          <w:sz w:val="21"/>
          <w:szCs w:val="21"/>
        </w:rPr>
        <w:t xml:space="preserve">global commons</w:t>
      </w:r>
      <w:r>
        <w:rPr>
          <w:rFonts w:ascii="Georgia" w:cs="Georgia" w:eastAsia="Georgia" w:hAnsi="Georgia"/>
          <w:color w:val="1A1A1A"/>
          <w:sz w:val="21"/>
          <w:szCs w:val="21"/>
        </w:rPr>
        <w:t xml:space="preserve"> where national regulation is structurally insufficient.</w:t>
      </w:r>
    </w:p>
    <w:p>
      <w:pPr>
        <w:pStyle w:val="Heading3"/>
        <w:spacing w:after="70" w:before="160"/>
      </w:pPr>
      <w:r>
        <w:rPr>
          <w:rFonts w:ascii="Calibri" w:cs="Calibri" w:eastAsia="Calibri" w:hAnsi="Calibri"/>
          <w:b/>
          <w:bCs/>
          <w:color w:val="1F2A44"/>
          <w:sz w:val="22"/>
          <w:szCs w:val="22"/>
        </w:rPr>
        <w:t xml:space="preserve">Space — primer, scale and dilemma</w:t>
      </w:r>
    </w:p>
    <w:p>
      <w:pPr>
        <w:spacing w:after="140" w:line="276"/>
        <w:jc w:val="both"/>
      </w:pPr>
      <w:r>
        <w:rPr>
          <w:rFonts w:ascii="Georgia" w:cs="Georgia" w:eastAsia="Georgia" w:hAnsi="Georgia"/>
          <w:color w:val="1A1A1A"/>
          <w:sz w:val="21"/>
          <w:szCs w:val="21"/>
        </w:rPr>
        <w:t xml:space="preserve">The space economy was roughly </w:t>
      </w:r>
      <w:r>
        <w:rPr>
          <w:rFonts w:ascii="Georgia" w:cs="Georgia" w:eastAsia="Georgia" w:hAnsi="Georgia"/>
          <w:b/>
          <w:bCs/>
          <w:color w:val="1A1A1A"/>
          <w:sz w:val="21"/>
          <w:szCs w:val="21"/>
        </w:rPr>
        <w:t xml:space="preserve">$440–460 billion in 2025</w:t>
      </w:r>
      <w:r>
        <w:rPr>
          <w:rFonts w:ascii="Georgia" w:cs="Georgia" w:eastAsia="Georgia" w:hAnsi="Georgia"/>
          <w:color w:val="1A1A1A"/>
          <w:sz w:val="21"/>
          <w:szCs w:val="21"/>
        </w:rPr>
        <w:t xml:space="preserve">, heading toward </w:t>
      </w:r>
      <w:r>
        <w:rPr>
          <w:rFonts w:ascii="Georgia" w:cs="Georgia" w:eastAsia="Georgia" w:hAnsi="Georgia"/>
          <w:b/>
          <w:bCs/>
          <w:color w:val="1A1A1A"/>
          <w:sz w:val="21"/>
          <w:szCs w:val="21"/>
        </w:rPr>
        <w:t xml:space="preserve">~$850 billion by 2035</w:t>
      </w:r>
      <w:r>
        <w:rPr>
          <w:rFonts w:ascii="Georgia" w:cs="Georgia" w:eastAsia="Georgia" w:hAnsi="Georgia"/>
          <w:color w:val="1A1A1A"/>
          <w:sz w:val="21"/>
          <w:szCs w:val="21"/>
        </w:rPr>
        <w:t xml:space="preserve">, driven by mega-constellations (thousands of satellites in low Earth orbit), cheaper launch, in-space services and resource ambitions. This commercialisation has outrun a treaty regime written for a state-only era. </w:t>
      </w:r>
      <w:r>
        <w:rPr>
          <w:rFonts w:ascii="Georgia" w:cs="Georgia" w:eastAsia="Georgia" w:hAnsi="Georgia"/>
          <w:b/>
          <w:bCs/>
          <w:color w:val="1A1A1A"/>
          <w:sz w:val="21"/>
          <w:szCs w:val="21"/>
        </w:rPr>
        <w:t xml:space="preserve">Core dilemma: how do you govern a global commons filling with private actors — allocating orbits and spectrum, assigning collision and debris liability, and clarifying resource rights — when the foundational law predates the commercial space economy and there is no pathway to bind even agreed norms?</w:t>
      </w:r>
    </w:p>
    <w:p>
      <w:pPr>
        <w:pStyle w:val="ListParagraph"/>
        <w:numPr>
          <w:ilvl w:val="0"/>
          <w:numId w:val="1"/>
        </w:numPr>
        <w:spacing w:after="70" w:line="268"/>
      </w:pPr>
      <w:r>
        <w:rPr>
          <w:rFonts w:ascii="Georgia" w:cs="Georgia" w:eastAsia="Georgia" w:hAnsi="Georgia"/>
          <w:b/>
          <w:bCs/>
          <w:color w:val="1A1A1A"/>
          <w:sz w:val="21"/>
          <w:szCs w:val="21"/>
        </w:rPr>
        <w:t xml:space="preserve">The framework</w:t>
      </w:r>
      <w:r>
        <w:rPr>
          <w:rFonts w:ascii="Georgia" w:cs="Georgia" w:eastAsia="Georgia" w:hAnsi="Georgia"/>
          <w:color w:val="1A1A1A"/>
          <w:sz w:val="21"/>
          <w:szCs w:val="21"/>
        </w:rPr>
        <w:t xml:space="preserve"> — the </w:t>
      </w:r>
      <w:r>
        <w:rPr>
          <w:rFonts w:ascii="Georgia" w:cs="Georgia" w:eastAsia="Georgia" w:hAnsi="Georgia"/>
          <w:b/>
          <w:bCs/>
          <w:color w:val="1A1A1A"/>
          <w:sz w:val="21"/>
          <w:szCs w:val="21"/>
        </w:rPr>
        <w:t xml:space="preserve">Outer Space Treaty (1967)</w:t>
      </w:r>
      <w:r>
        <w:rPr>
          <w:rFonts w:ascii="Georgia" w:cs="Georgia" w:eastAsia="Georgia" w:hAnsi="Georgia"/>
          <w:color w:val="1A1A1A"/>
          <w:sz w:val="21"/>
          <w:szCs w:val="21"/>
        </w:rPr>
        <w:t xml:space="preserve"> plus four companion treaties (Rescue, </w:t>
      </w:r>
      <w:r>
        <w:rPr>
          <w:rFonts w:ascii="Georgia" w:cs="Georgia" w:eastAsia="Georgia" w:hAnsi="Georgia"/>
          <w:b/>
          <w:bCs/>
          <w:color w:val="1A1A1A"/>
          <w:sz w:val="21"/>
          <w:szCs w:val="21"/>
        </w:rPr>
        <w:t xml:space="preserve">Liability 1972</w:t>
      </w:r>
      <w:r>
        <w:rPr>
          <w:rFonts w:ascii="Georgia" w:cs="Georgia" w:eastAsia="Georgia" w:hAnsi="Georgia"/>
          <w:color w:val="1A1A1A"/>
          <w:sz w:val="21"/>
          <w:szCs w:val="21"/>
        </w:rPr>
        <w:t xml:space="preserve">, Registration, Moon); administered via </w:t>
      </w:r>
      <w:r>
        <w:rPr>
          <w:rFonts w:ascii="Georgia" w:cs="Georgia" w:eastAsia="Georgia" w:hAnsi="Georgia"/>
          <w:b/>
          <w:bCs/>
          <w:color w:val="1A1A1A"/>
          <w:sz w:val="21"/>
          <w:szCs w:val="21"/>
        </w:rPr>
        <w:t xml:space="preserve">UNOOSA / COPUOS</w:t>
      </w:r>
      <w:r>
        <w:rPr>
          <w:rFonts w:ascii="Georgia" w:cs="Georgia" w:eastAsia="Georgia" w:hAnsi="Georgia"/>
          <w:color w:val="1A1A1A"/>
          <w:sz w:val="21"/>
          <w:szCs w:val="21"/>
        </w:rPr>
        <w:t xml:space="preserve">. Core principles: space for the benefit of all, no national appropriation, state responsibility for national (including private) activity.</w:t>
      </w:r>
    </w:p>
    <w:p>
      <w:pPr>
        <w:pStyle w:val="ListParagraph"/>
        <w:numPr>
          <w:ilvl w:val="0"/>
          <w:numId w:val="1"/>
        </w:numPr>
        <w:spacing w:after="70" w:line="268"/>
      </w:pPr>
      <w:r>
        <w:rPr>
          <w:rFonts w:ascii="Georgia" w:cs="Georgia" w:eastAsia="Georgia" w:hAnsi="Georgia"/>
          <w:b/>
          <w:bCs/>
          <w:color w:val="1A1A1A"/>
          <w:sz w:val="21"/>
          <w:szCs w:val="21"/>
        </w:rPr>
        <w:t xml:space="preserve">The gaps</w:t>
      </w:r>
      <w:r>
        <w:rPr>
          <w:rFonts w:ascii="Georgia" w:cs="Georgia" w:eastAsia="Georgia" w:hAnsi="Georgia"/>
          <w:color w:val="1A1A1A"/>
          <w:sz w:val="21"/>
          <w:szCs w:val="21"/>
        </w:rPr>
        <w:t xml:space="preserve"> — no binding regime for </w:t>
      </w:r>
      <w:r>
        <w:rPr>
          <w:rFonts w:ascii="Georgia" w:cs="Georgia" w:eastAsia="Georgia" w:hAnsi="Georgia"/>
          <w:b/>
          <w:bCs/>
          <w:color w:val="1A1A1A"/>
          <w:sz w:val="21"/>
          <w:szCs w:val="21"/>
        </w:rPr>
        <w:t xml:space="preserve">space-traffic management</w:t>
      </w:r>
      <w:r>
        <w:rPr>
          <w:rFonts w:ascii="Georgia" w:cs="Georgia" w:eastAsia="Georgia" w:hAnsi="Georgia"/>
          <w:color w:val="1A1A1A"/>
          <w:sz w:val="21"/>
          <w:szCs w:val="21"/>
        </w:rPr>
        <w:t xml:space="preserve">, active </w:t>
      </w:r>
      <w:r>
        <w:rPr>
          <w:rFonts w:ascii="Georgia" w:cs="Georgia" w:eastAsia="Georgia" w:hAnsi="Georgia"/>
          <w:b/>
          <w:bCs/>
          <w:color w:val="1A1A1A"/>
          <w:sz w:val="21"/>
          <w:szCs w:val="21"/>
        </w:rPr>
        <w:t xml:space="preserve">debris removal</w:t>
      </w:r>
      <w:r>
        <w:rPr>
          <w:rFonts w:ascii="Georgia" w:cs="Georgia" w:eastAsia="Georgia" w:hAnsi="Georgia"/>
          <w:color w:val="1A1A1A"/>
          <w:sz w:val="21"/>
          <w:szCs w:val="21"/>
        </w:rPr>
        <w:t xml:space="preserve">, mega-constellation coordination, or resource property rights; </w:t>
      </w:r>
      <w:r>
        <w:rPr>
          <w:rFonts w:ascii="Georgia" w:cs="Georgia" w:eastAsia="Georgia" w:hAnsi="Georgia"/>
          <w:b/>
          <w:bCs/>
          <w:color w:val="1A1A1A"/>
          <w:sz w:val="21"/>
          <w:szCs w:val="21"/>
        </w:rPr>
        <w:t xml:space="preserve">Kessler-syndrome</w:t>
      </w:r>
      <w:r>
        <w:rPr>
          <w:rFonts w:ascii="Georgia" w:cs="Georgia" w:eastAsia="Georgia" w:hAnsi="Georgia"/>
          <w:color w:val="1A1A1A"/>
          <w:sz w:val="21"/>
          <w:szCs w:val="21"/>
        </w:rPr>
        <w:t xml:space="preserve"> collision cascades are the systemic risk. The </w:t>
      </w:r>
      <w:r>
        <w:rPr>
          <w:rFonts w:ascii="Georgia" w:cs="Georgia" w:eastAsia="Georgia" w:hAnsi="Georgia"/>
          <w:b/>
          <w:bCs/>
          <w:color w:val="1A1A1A"/>
          <w:sz w:val="21"/>
          <w:szCs w:val="21"/>
        </w:rPr>
        <w:t xml:space="preserve">Artemis Accords</w:t>
      </w:r>
      <w:r>
        <w:rPr>
          <w:rFonts w:ascii="Georgia" w:cs="Georgia" w:eastAsia="Georgia" w:hAnsi="Georgia"/>
          <w:color w:val="1A1A1A"/>
          <w:sz w:val="21"/>
          <w:szCs w:val="21"/>
        </w:rPr>
        <w:t xml:space="preserve"> and national space-resource laws are filling the vacuum unilaterally; </w:t>
      </w:r>
      <w:r>
        <w:rPr>
          <w:rFonts w:ascii="Georgia" w:cs="Georgia" w:eastAsia="Georgia" w:hAnsi="Georgia"/>
          <w:b/>
          <w:bCs/>
          <w:color w:val="1A1A1A"/>
          <w:sz w:val="21"/>
          <w:szCs w:val="21"/>
        </w:rPr>
        <w:t xml:space="preserve">COSPAR planetary-protection</w:t>
      </w:r>
      <w:r>
        <w:rPr>
          <w:rFonts w:ascii="Georgia" w:cs="Georgia" w:eastAsia="Georgia" w:hAnsi="Georgia"/>
          <w:color w:val="1A1A1A"/>
          <w:sz w:val="21"/>
          <w:szCs w:val="21"/>
        </w:rPr>
        <w:t xml:space="preserve"> guidelines govern contamination.</w:t>
      </w:r>
    </w:p>
    <w:p>
      <w:pPr>
        <w:pStyle w:val="Heading3"/>
        <w:spacing w:after="70" w:before="160"/>
      </w:pPr>
      <w:r>
        <w:rPr>
          <w:rFonts w:ascii="Calibri" w:cs="Calibri" w:eastAsia="Calibri" w:hAnsi="Calibri"/>
          <w:b/>
          <w:bCs/>
          <w:color w:val="1F2A44"/>
          <w:sz w:val="22"/>
          <w:szCs w:val="22"/>
        </w:rPr>
        <w:t xml:space="preserve">Climate intervention (geoengineering) — primer and dilemma</w:t>
      </w:r>
    </w:p>
    <w:p>
      <w:pPr>
        <w:spacing w:after="140" w:line="276"/>
        <w:jc w:val="both"/>
      </w:pPr>
      <w:r>
        <w:rPr>
          <w:rFonts w:ascii="Georgia" w:cs="Georgia" w:eastAsia="Georgia" w:hAnsi="Georgia"/>
          <w:color w:val="1A1A1A"/>
          <w:sz w:val="21"/>
          <w:szCs w:val="21"/>
        </w:rPr>
        <w:t xml:space="preserve">Two families: </w:t>
      </w:r>
      <w:r>
        <w:rPr>
          <w:rFonts w:ascii="Georgia" w:cs="Georgia" w:eastAsia="Georgia" w:hAnsi="Georgia"/>
          <w:b/>
          <w:bCs/>
          <w:color w:val="1A1A1A"/>
          <w:sz w:val="21"/>
          <w:szCs w:val="21"/>
        </w:rPr>
        <w:t xml:space="preserve">carbon dioxide removal (CDR)</w:t>
      </w:r>
      <w:r>
        <w:rPr>
          <w:rFonts w:ascii="Georgia" w:cs="Georgia" w:eastAsia="Georgia" w:hAnsi="Georgia"/>
          <w:color w:val="1A1A1A"/>
          <w:sz w:val="21"/>
          <w:szCs w:val="21"/>
        </w:rPr>
        <w:t xml:space="preserve"> — generally seen as necessary and more governable — and </w:t>
      </w:r>
      <w:r>
        <w:rPr>
          <w:rFonts w:ascii="Georgia" w:cs="Georgia" w:eastAsia="Georgia" w:hAnsi="Georgia"/>
          <w:b/>
          <w:bCs/>
          <w:color w:val="1A1A1A"/>
          <w:sz w:val="21"/>
          <w:szCs w:val="21"/>
        </w:rPr>
        <w:t xml:space="preserve">solar radiation modification (SRM)</w:t>
      </w:r>
      <w:r>
        <w:rPr>
          <w:rFonts w:ascii="Georgia" w:cs="Georgia" w:eastAsia="Georgia" w:hAnsi="Georgia"/>
          <w:color w:val="1A1A1A"/>
          <w:sz w:val="21"/>
          <w:szCs w:val="21"/>
        </w:rPr>
        <w:t xml:space="preserve">, e.g. stratospheric aerosol injection to reflect sunlight, which is cheap, fast, globally consequential and deeply contested. </w:t>
      </w:r>
      <w:r>
        <w:rPr>
          <w:rFonts w:ascii="Georgia" w:cs="Georgia" w:eastAsia="Georgia" w:hAnsi="Georgia"/>
          <w:b/>
          <w:bCs/>
          <w:color w:val="1A1A1A"/>
          <w:sz w:val="21"/>
          <w:szCs w:val="21"/>
        </w:rPr>
        <w:t xml:space="preserve">Core dilemma: who gets to set the planet’s thermostat?</w:t>
      </w:r>
      <w:r>
        <w:rPr>
          <w:rFonts w:ascii="Georgia" w:cs="Georgia" w:eastAsia="Georgia" w:hAnsi="Georgia"/>
          <w:color w:val="1A1A1A"/>
          <w:sz w:val="21"/>
          <w:szCs w:val="21"/>
        </w:rPr>
        <w:t xml:space="preserve"> A single actor could deploy SRM with planet-wide effects, yet there is no legitimate global body to authorise, monitor or halt it — and SRM carries a </w:t>
      </w:r>
      <w:r>
        <w:rPr>
          <w:rFonts w:ascii="Georgia" w:cs="Georgia" w:eastAsia="Georgia" w:hAnsi="Georgia"/>
          <w:b/>
          <w:bCs/>
          <w:color w:val="1A1A1A"/>
          <w:sz w:val="21"/>
          <w:szCs w:val="21"/>
        </w:rPr>
        <w:t xml:space="preserve">termination-shock</w:t>
      </w:r>
      <w:r>
        <w:rPr>
          <w:rFonts w:ascii="Georgia" w:cs="Georgia" w:eastAsia="Georgia" w:hAnsi="Georgia"/>
          <w:color w:val="1A1A1A"/>
          <w:sz w:val="21"/>
          <w:szCs w:val="21"/>
        </w:rPr>
        <w:t xml:space="preserve"> risk if started and then stopped abruptly.</w:t>
      </w:r>
    </w:p>
    <w:p>
      <w:pPr>
        <w:pStyle w:val="ListParagraph"/>
        <w:numPr>
          <w:ilvl w:val="0"/>
          <w:numId w:val="1"/>
        </w:numPr>
        <w:spacing w:after="70" w:line="268"/>
      </w:pPr>
      <w:r>
        <w:rPr>
          <w:rFonts w:ascii="Georgia" w:cs="Georgia" w:eastAsia="Georgia" w:hAnsi="Georgia"/>
          <w:b/>
          <w:bCs/>
          <w:color w:val="1A1A1A"/>
          <w:sz w:val="21"/>
          <w:szCs w:val="21"/>
        </w:rPr>
        <w:t xml:space="preserve">State of governance</w:t>
      </w:r>
      <w:r>
        <w:rPr>
          <w:rFonts w:ascii="Georgia" w:cs="Georgia" w:eastAsia="Georgia" w:hAnsi="Georgia"/>
          <w:color w:val="1A1A1A"/>
          <w:sz w:val="21"/>
          <w:szCs w:val="21"/>
        </w:rPr>
        <w:t xml:space="preserve"> — a </w:t>
      </w:r>
      <w:r>
        <w:rPr>
          <w:rFonts w:ascii="Georgia" w:cs="Georgia" w:eastAsia="Georgia" w:hAnsi="Georgia"/>
          <w:b/>
          <w:bCs/>
          <w:color w:val="1A1A1A"/>
          <w:sz w:val="21"/>
          <w:szCs w:val="21"/>
        </w:rPr>
        <w:t xml:space="preserve">Convention on Biological Diversity moratorium</w:t>
      </w:r>
      <w:r>
        <w:rPr>
          <w:rFonts w:ascii="Georgia" w:cs="Georgia" w:eastAsia="Georgia" w:hAnsi="Georgia"/>
          <w:color w:val="1A1A1A"/>
          <w:sz w:val="21"/>
          <w:szCs w:val="21"/>
        </w:rPr>
        <w:t xml:space="preserve"> on deployment (2010, reaffirmed since); a scientist-led </w:t>
      </w:r>
      <w:r>
        <w:rPr>
          <w:rFonts w:ascii="Georgia" w:cs="Georgia" w:eastAsia="Georgia" w:hAnsi="Georgia"/>
          <w:b/>
          <w:bCs/>
          <w:color w:val="1A1A1A"/>
          <w:sz w:val="21"/>
          <w:szCs w:val="21"/>
        </w:rPr>
        <w:t xml:space="preserve">Non-Use Agreement</w:t>
      </w:r>
      <w:r>
        <w:rPr>
          <w:rFonts w:ascii="Georgia" w:cs="Georgia" w:eastAsia="Georgia" w:hAnsi="Georgia"/>
          <w:color w:val="1A1A1A"/>
          <w:sz w:val="21"/>
          <w:szCs w:val="21"/>
        </w:rPr>
        <w:t xml:space="preserve"> (580+ signatories) calling for a ban on outdoor experiments and deployment; an EU scientific-advisers recommendation (2024) for an EU-wide SRM moratorium; regional rejection (AMCEN, 2025); and research-governance initiatives (e.g. a UK research programme) on the other side of the argument.</w:t>
      </w:r>
    </w:p>
    <w:p>
      <w:pPr>
        <w:pStyle w:val="ListParagraph"/>
        <w:numPr>
          <w:ilvl w:val="0"/>
          <w:numId w:val="1"/>
        </w:numPr>
        <w:spacing w:after="70" w:line="268"/>
      </w:pPr>
      <w:r>
        <w:rPr>
          <w:rFonts w:ascii="Georgia" w:cs="Georgia" w:eastAsia="Georgia" w:hAnsi="Georgia"/>
          <w:b/>
          <w:bCs/>
          <w:color w:val="1A1A1A"/>
          <w:sz w:val="21"/>
          <w:szCs w:val="21"/>
        </w:rPr>
        <w:t xml:space="preserve">The framing to hold</w:t>
      </w:r>
      <w:r>
        <w:rPr>
          <w:rFonts w:ascii="Georgia" w:cs="Georgia" w:eastAsia="Georgia" w:hAnsi="Georgia"/>
          <w:color w:val="1A1A1A"/>
          <w:sz w:val="21"/>
          <w:szCs w:val="21"/>
        </w:rPr>
        <w:t xml:space="preserve"> — the debate splits into “ungovernable and irreversible, so ban it” versus “it may be needed as a last resort, so govern the research transparently now.” Steelmanning </w:t>
      </w:r>
      <w:r>
        <w:rPr>
          <w:rFonts w:ascii="Georgia" w:cs="Georgia" w:eastAsia="Georgia" w:hAnsi="Georgia"/>
          <w:i/>
          <w:iCs/>
          <w:color w:val="1A1A1A"/>
          <w:sz w:val="21"/>
          <w:szCs w:val="21"/>
        </w:rPr>
        <w:t xml:space="preserve">both</w:t>
      </w:r>
      <w:r>
        <w:rPr>
          <w:rFonts w:ascii="Georgia" w:cs="Georgia" w:eastAsia="Georgia" w:hAnsi="Georgia"/>
          <w:color w:val="1A1A1A"/>
          <w:sz w:val="21"/>
          <w:szCs w:val="21"/>
        </w:rPr>
        <w:t xml:space="preserve"> sides is exactly the balanced posture a Forum policy lead needs.</w:t>
      </w:r>
    </w:p>
    <w:p>
      <w:pPr>
        <w:pStyle w:val="Heading3"/>
        <w:spacing w:after="70" w:before="160"/>
      </w:pPr>
      <w:r>
        <w:rPr>
          <w:rFonts w:ascii="Calibri" w:cs="Calibri" w:eastAsia="Calibri" w:hAnsi="Calibri"/>
          <w:b/>
          <w:bCs/>
          <w:color w:val="1F2A44"/>
          <w:sz w:val="22"/>
          <w:szCs w:val="22"/>
        </w:rPr>
        <w:t xml:space="preserve">Regulatory-innovation angle (both)</w:t>
      </w:r>
    </w:p>
    <w:p>
      <w:pPr>
        <w:spacing w:after="140" w:line="276"/>
        <w:jc w:val="both"/>
      </w:pPr>
      <w:r>
        <w:rPr>
          <w:rFonts w:ascii="Georgia" w:cs="Georgia" w:eastAsia="Georgia" w:hAnsi="Georgia"/>
          <w:color w:val="1A1A1A"/>
          <w:sz w:val="21"/>
          <w:szCs w:val="21"/>
        </w:rPr>
        <w:t xml:space="preserve">Planetary systems are the ultimate test of </w:t>
      </w:r>
      <w:r>
        <w:rPr>
          <w:rFonts w:ascii="Georgia" w:cs="Georgia" w:eastAsia="Georgia" w:hAnsi="Georgia"/>
          <w:b/>
          <w:bCs/>
          <w:color w:val="1A1A1A"/>
          <w:sz w:val="21"/>
          <w:szCs w:val="21"/>
        </w:rPr>
        <w:t xml:space="preserve">international regulatory cooperation, soft law and anticipatory governance</w:t>
      </w:r>
      <w:r>
        <w:rPr>
          <w:rFonts w:ascii="Georgia" w:cs="Georgia" w:eastAsia="Georgia" w:hAnsi="Georgia"/>
          <w:color w:val="1A1A1A"/>
          <w:sz w:val="21"/>
          <w:szCs w:val="21"/>
        </w:rPr>
        <w:t xml:space="preserve"> — commons problems where multistakeholder convening (the Forum’s comparative advantage) may be the only viable path when treaties are gridlocked. They are also where you show intellectual honesty about the </w:t>
      </w:r>
      <w:r>
        <w:rPr>
          <w:rFonts w:ascii="Georgia" w:cs="Georgia" w:eastAsia="Georgia" w:hAnsi="Georgia"/>
          <w:i/>
          <w:iCs/>
          <w:color w:val="1A1A1A"/>
          <w:sz w:val="21"/>
          <w:szCs w:val="21"/>
        </w:rPr>
        <w:t xml:space="preserve">limits</w:t>
      </w:r>
      <w:r>
        <w:rPr>
          <w:rFonts w:ascii="Georgia" w:cs="Georgia" w:eastAsia="Georgia" w:hAnsi="Georgia"/>
          <w:color w:val="1A1A1A"/>
          <w:sz w:val="21"/>
          <w:szCs w:val="21"/>
        </w:rPr>
        <w:t xml:space="preserve"> of agility: for planet-scale, irreversible risks, precaution and legitimacy outrank speed.</w:t>
      </w:r>
    </w:p>
    <w:p>
      <w:pPr>
        <w:pStyle w:val="Heading1"/>
        <w:pBdr>
          <w:bottom w:val="single" w:color="2F5D8A" w:sz="12" w:space="6"/>
        </w:pBdr>
        <w:spacing w:after="140" w:before="260"/>
      </w:pPr>
      <w:r>
        <w:rPr>
          <w:rFonts w:ascii="Calibri" w:cs="Calibri" w:eastAsia="Calibri" w:hAnsi="Calibri"/>
          <w:b/>
          <w:bCs/>
          <w:color w:val="1F2A44"/>
          <w:sz w:val="30"/>
          <w:szCs w:val="30"/>
        </w:rPr>
        <w:t xml:space="preserve">4 · Convergence and the Next Frontier</w:t>
      </w:r>
    </w:p>
    <w:p>
      <w:pPr>
        <w:spacing w:after="140" w:line="276"/>
        <w:jc w:val="both"/>
      </w:pPr>
      <w:r>
        <w:rPr>
          <w:rFonts w:ascii="Georgia" w:cs="Georgia" w:eastAsia="Georgia" w:hAnsi="Georgia"/>
          <w:color w:val="1A1A1A"/>
          <w:sz w:val="21"/>
          <w:szCs w:val="21"/>
        </w:rPr>
        <w:t xml:space="preserve">The most sophisticated point you can make is that the frontier is increasingly about </w:t>
      </w:r>
      <w:r>
        <w:rPr>
          <w:rFonts w:ascii="Georgia" w:cs="Georgia" w:eastAsia="Georgia" w:hAnsi="Georgia"/>
          <w:b/>
          <w:bCs/>
          <w:color w:val="1A1A1A"/>
          <w:sz w:val="21"/>
          <w:szCs w:val="21"/>
        </w:rPr>
        <w:t xml:space="preserve">convergence</w:t>
      </w:r>
      <w:r>
        <w:rPr>
          <w:rFonts w:ascii="Georgia" w:cs="Georgia" w:eastAsia="Georgia" w:hAnsi="Georgia"/>
          <w:color w:val="1A1A1A"/>
          <w:sz w:val="21"/>
          <w:szCs w:val="21"/>
        </w:rPr>
        <w:t xml:space="preserve">, not single technologies — and convergence is precisely what siloed, sector-by-sector regulation misses, which is the strategic case for a </w:t>
      </w:r>
      <w:r>
        <w:rPr>
          <w:rFonts w:ascii="Georgia" w:cs="Georgia" w:eastAsia="Georgia" w:hAnsi="Georgia"/>
          <w:i/>
          <w:iCs/>
          <w:color w:val="1A1A1A"/>
          <w:sz w:val="21"/>
          <w:szCs w:val="21"/>
        </w:rPr>
        <w:t xml:space="preserve">cross-cutting</w:t>
      </w:r>
      <w:r>
        <w:rPr>
          <w:rFonts w:ascii="Georgia" w:cs="Georgia" w:eastAsia="Georgia" w:hAnsi="Georgia"/>
          <w:color w:val="1A1A1A"/>
          <w:sz w:val="21"/>
          <w:szCs w:val="21"/>
        </w:rPr>
        <w:t xml:space="preserve"> regulatory-innovation workstream.</w:t>
      </w:r>
    </w:p>
    <w:tbl>
      <w:tblPr>
        <w:tblW w:type="dxa" w:w="9360"/>
        <w:tblBorders>
          <w:top w:val="single" w:color="C9D3E0" w:sz="2"/>
          <w:left w:val="none"/>
          <w:bottom w:val="single" w:color="C9D3E0" w:sz="2"/>
          <w:right w:val="none"/>
          <w:insideH w:val="single" w:color="C9D3E0" w:sz="2"/>
          <w:insideV w:val="single" w:color="C9D3E0" w:sz="2"/>
        </w:tblBorders>
      </w:tblPr>
      <w:tblGrid>
        <w:gridCol w:w="2200"/>
        <w:gridCol w:w="4000"/>
        <w:gridCol w:w="3160"/>
      </w:tblGrid>
      <w:tr>
        <w:trPr>
          <w:tblHeader/>
        </w:trPr>
        <w:tc>
          <w:tcPr>
            <w:tcW w:type="dxa" w:w="22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Convergence</w:t>
            </w:r>
          </w:p>
        </w:tc>
        <w:tc>
          <w:tcPr>
            <w:tcW w:type="dxa" w:w="40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What it enables</w:t>
            </w:r>
          </w:p>
        </w:tc>
        <w:tc>
          <w:tcPr>
            <w:tcW w:type="dxa" w:w="31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Why it defeats siloed regulation</w:t>
            </w:r>
          </w:p>
        </w:tc>
      </w:tr>
      <w:tr>
        <w:tc>
          <w:tcPr>
            <w:tcW w:type="dxa" w:w="22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AI × biology</w:t>
            </w:r>
          </w:p>
        </w:tc>
        <w:tc>
          <w:tcPr>
            <w:tcW w:type="dxa" w:w="40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Models that design proteins and genetic sequences; automated labs.</w:t>
            </w:r>
          </w:p>
        </w:tc>
        <w:tc>
          <w:tcPr>
            <w:tcW w:type="dxa" w:w="31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Sits between the AI regulator and the bio regulator; neither owns it.</w:t>
            </w:r>
          </w:p>
        </w:tc>
      </w:tr>
      <w:tr>
        <w:tc>
          <w:tcPr>
            <w:tcW w:type="dxa" w:w="22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AI × quantum</w:t>
            </w:r>
          </w:p>
        </w:tc>
        <w:tc>
          <w:tcPr>
            <w:tcW w:type="dxa" w:w="40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Quantum-accelerated ML; quantum-broken cryptography.</w:t>
            </w:r>
          </w:p>
        </w:tc>
        <w:tc>
          <w:tcPr>
            <w:tcW w:type="dxa" w:w="31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Spans compute policy, cryptography standards and export control at once.</w:t>
            </w:r>
          </w:p>
        </w:tc>
      </w:tr>
      <w:tr>
        <w:tc>
          <w:tcPr>
            <w:tcW w:type="dxa" w:w="22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AI × robotics</w:t>
            </w:r>
          </w:p>
        </w:tc>
        <w:tc>
          <w:tcPr>
            <w:tcW w:type="dxa" w:w="40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Embodied intelligence; general-purpose physical agents.</w:t>
            </w:r>
          </w:p>
        </w:tc>
        <w:tc>
          <w:tcPr>
            <w:tcW w:type="dxa" w:w="31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Merges software-AI rules with product-safety and liability regimes.</w:t>
            </w:r>
          </w:p>
        </w:tc>
      </w:tr>
      <w:tr>
        <w:tc>
          <w:tcPr>
            <w:tcW w:type="dxa" w:w="22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Digital × everything</w:t>
            </w:r>
          </w:p>
        </w:tc>
        <w:tc>
          <w:tcPr>
            <w:tcW w:type="dxa" w:w="40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Cyber risk as the connective tissue under all of it.</w:t>
            </w:r>
          </w:p>
        </w:tc>
        <w:tc>
          <w:tcPr>
            <w:tcW w:type="dxa" w:w="31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cross-cutting risk no single-technology regulator can contain.</w:t>
            </w:r>
          </w:p>
        </w:tc>
      </w:tr>
    </w:tbl>
    <w:p>
      <w:pPr>
        <w:spacing w:after="80"/>
      </w:pPr>
    </w:p>
    <w:p>
      <w:pPr>
        <w:spacing w:after="140" w:line="276"/>
        <w:jc w:val="both"/>
      </w:pPr>
      <w:r>
        <w:rPr>
          <w:rFonts w:ascii="Georgia" w:cs="Georgia" w:eastAsia="Georgia" w:hAnsi="Georgia"/>
          <w:color w:val="1A1A1A"/>
          <w:sz w:val="21"/>
          <w:szCs w:val="21"/>
        </w:rPr>
        <w:t xml:space="preserve">Keep two adjacent domains in your back pocket as the next frontiers: </w:t>
      </w:r>
      <w:r>
        <w:rPr>
          <w:rFonts w:ascii="Georgia" w:cs="Georgia" w:eastAsia="Georgia" w:hAnsi="Georgia"/>
          <w:b/>
          <w:bCs/>
          <w:color w:val="1A1A1A"/>
          <w:sz w:val="21"/>
          <w:szCs w:val="21"/>
        </w:rPr>
        <w:t xml:space="preserve">cybersecurity</w:t>
      </w:r>
      <w:r>
        <w:rPr>
          <w:rFonts w:ascii="Georgia" w:cs="Georgia" w:eastAsia="Georgia" w:hAnsi="Georgia"/>
          <w:color w:val="1A1A1A"/>
          <w:sz w:val="21"/>
          <w:szCs w:val="21"/>
        </w:rPr>
        <w:t xml:space="preserve"> (the connective risk under everything digital, and the reason the Centre for Cybersecurity is a natural partner) and </w:t>
      </w:r>
      <w:r>
        <w:rPr>
          <w:rFonts w:ascii="Georgia" w:cs="Georgia" w:eastAsia="Georgia" w:hAnsi="Georgia"/>
          <w:b/>
          <w:bCs/>
          <w:color w:val="1A1A1A"/>
          <w:sz w:val="21"/>
          <w:szCs w:val="21"/>
        </w:rPr>
        <w:t xml:space="preserve">neurotechnology</w:t>
      </w:r>
      <w:r>
        <w:rPr>
          <w:rFonts w:ascii="Georgia" w:cs="Georgia" w:eastAsia="Georgia" w:hAnsi="Georgia"/>
          <w:color w:val="1A1A1A"/>
          <w:sz w:val="21"/>
          <w:szCs w:val="21"/>
        </w:rPr>
        <w:t xml:space="preserve"> (brain-computer interfaces and “neurorights,” an emerging governance area on which Chile has legislated and UNESCO has adopted a global recommendation). Naming convergence and neurotech signals that you see where governance is heading, not just where it is.</w:t>
      </w: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5 · The World Economic Forum Operating Model</w:t>
      </w:r>
    </w:p>
    <w:p>
      <w:pPr>
        <w:spacing w:after="200" w:line="288"/>
      </w:pPr>
      <w:r>
        <w:rPr>
          <w:rFonts w:ascii="Georgia" w:cs="Georgia" w:eastAsia="Georgia" w:hAnsi="Georgia"/>
          <w:i/>
          <w:iCs/>
          <w:color w:val="55606E"/>
          <w:sz w:val="22"/>
          <w:szCs w:val="22"/>
        </w:rPr>
        <w:t xml:space="preserve">A consultant panel will test whether you understand the Forum as an operating system — its theory of change, its levers, and its limits — not just its brand.</w:t>
      </w:r>
    </w:p>
    <w:p>
      <w:pPr>
        <w:pStyle w:val="Heading2"/>
        <w:spacing w:after="100" w:before="220"/>
      </w:pPr>
      <w:r>
        <w:rPr>
          <w:rFonts w:ascii="Calibri" w:cs="Calibri" w:eastAsia="Calibri" w:hAnsi="Calibri"/>
          <w:b/>
          <w:bCs/>
          <w:color w:val="2F5D8A"/>
          <w:sz w:val="25"/>
          <w:szCs w:val="25"/>
        </w:rPr>
        <w:t xml:space="preserve">5.1 What the Forum is, and how it actually creates impact</w:t>
      </w:r>
    </w:p>
    <w:p>
      <w:pPr>
        <w:spacing w:after="140" w:line="276"/>
        <w:jc w:val="both"/>
      </w:pPr>
      <w:r>
        <w:rPr>
          <w:rFonts w:ascii="Georgia" w:cs="Georgia" w:eastAsia="Georgia" w:hAnsi="Georgia"/>
          <w:color w:val="1A1A1A"/>
          <w:sz w:val="21"/>
          <w:szCs w:val="21"/>
        </w:rPr>
        <w:t xml:space="preserve">The World Economic Forum is the international organisation for </w:t>
      </w:r>
      <w:r>
        <w:rPr>
          <w:rFonts w:ascii="Georgia" w:cs="Georgia" w:eastAsia="Georgia" w:hAnsi="Georgia"/>
          <w:b/>
          <w:bCs/>
          <w:color w:val="1A1A1A"/>
          <w:sz w:val="21"/>
          <w:szCs w:val="21"/>
        </w:rPr>
        <w:t xml:space="preserve">public-private cooperation</w:t>
      </w:r>
      <w:r>
        <w:rPr>
          <w:rFonts w:ascii="Georgia" w:cs="Georgia" w:eastAsia="Georgia" w:hAnsi="Georgia"/>
          <w:color w:val="1A1A1A"/>
          <w:sz w:val="21"/>
          <w:szCs w:val="21"/>
        </w:rPr>
        <w:t xml:space="preserve">, convening leaders from politics, business, academia and civil society to shape agendas. Crucially, it has </w:t>
      </w:r>
      <w:r>
        <w:rPr>
          <w:rFonts w:ascii="Georgia" w:cs="Georgia" w:eastAsia="Georgia" w:hAnsi="Georgia"/>
          <w:b/>
          <w:bCs/>
          <w:color w:val="1A1A1A"/>
          <w:sz w:val="21"/>
          <w:szCs w:val="21"/>
        </w:rPr>
        <w:t xml:space="preserve">no regulatory or legislative power.</w:t>
      </w:r>
      <w:r>
        <w:rPr>
          <w:rFonts w:ascii="Georgia" w:cs="Georgia" w:eastAsia="Georgia" w:hAnsi="Georgia"/>
          <w:color w:val="1A1A1A"/>
          <w:sz w:val="21"/>
          <w:szCs w:val="21"/>
        </w:rPr>
        <w:t xml:space="preserve"> Its influence is </w:t>
      </w:r>
      <w:r>
        <w:rPr>
          <w:rFonts w:ascii="Georgia" w:cs="Georgia" w:eastAsia="Georgia" w:hAnsi="Georgia"/>
          <w:i/>
          <w:iCs/>
          <w:color w:val="1A1A1A"/>
          <w:sz w:val="21"/>
          <w:szCs w:val="21"/>
        </w:rPr>
        <w:t xml:space="preserve">convening</w:t>
      </w:r>
      <w:r>
        <w:rPr>
          <w:rFonts w:ascii="Georgia" w:cs="Georgia" w:eastAsia="Georgia" w:hAnsi="Georgia"/>
          <w:color w:val="1A1A1A"/>
          <w:sz w:val="21"/>
          <w:szCs w:val="21"/>
        </w:rPr>
        <w:t xml:space="preserve"> power — and for frontier technology, where binding venues are fragmented or gridlocked, that is often the more useful power. Your job is not to make rules but to build the conditions in which better rules get made and adopted. The Forum’s levers of impact:</w:t>
      </w:r>
    </w:p>
    <w:p>
      <w:pPr>
        <w:pStyle w:val="ListParagraph"/>
        <w:numPr>
          <w:ilvl w:val="0"/>
          <w:numId w:val="1"/>
        </w:numPr>
        <w:spacing w:after="70" w:line="268"/>
      </w:pPr>
      <w:r>
        <w:rPr>
          <w:rFonts w:ascii="Georgia" w:cs="Georgia" w:eastAsia="Georgia" w:hAnsi="Georgia"/>
          <w:b/>
          <w:bCs/>
          <w:color w:val="1A1A1A"/>
          <w:sz w:val="21"/>
          <w:szCs w:val="21"/>
        </w:rPr>
        <w:t xml:space="preserve">Trusted convening</w:t>
      </w:r>
      <w:r>
        <w:rPr>
          <w:rFonts w:ascii="Georgia" w:cs="Georgia" w:eastAsia="Georgia" w:hAnsi="Georgia"/>
          <w:color w:val="1A1A1A"/>
          <w:sz w:val="21"/>
          <w:szCs w:val="21"/>
        </w:rPr>
        <w:t xml:space="preserve"> — bringing rivals and counterparts into the same room under Chatham House norms (Davos is the symbol; the year-round communities are the substance).</w:t>
      </w:r>
    </w:p>
    <w:p>
      <w:pPr>
        <w:pStyle w:val="ListParagraph"/>
        <w:numPr>
          <w:ilvl w:val="0"/>
          <w:numId w:val="1"/>
        </w:numPr>
        <w:spacing w:after="70" w:line="268"/>
      </w:pPr>
      <w:r>
        <w:rPr>
          <w:rFonts w:ascii="Georgia" w:cs="Georgia" w:eastAsia="Georgia" w:hAnsi="Georgia"/>
          <w:b/>
          <w:bCs/>
          <w:color w:val="1A1A1A"/>
          <w:sz w:val="21"/>
          <w:szCs w:val="21"/>
        </w:rPr>
        <w:t xml:space="preserve">Communities</w:t>
      </w:r>
      <w:r>
        <w:rPr>
          <w:rFonts w:ascii="Georgia" w:cs="Georgia" w:eastAsia="Georgia" w:hAnsi="Georgia"/>
          <w:color w:val="1A1A1A"/>
          <w:sz w:val="21"/>
          <w:szCs w:val="21"/>
        </w:rPr>
        <w:t xml:space="preserve"> — standing groups (Chief Legal Officers, Chief Compliance Officers, Young Global Leaders, Global Future Councils) that give initiatives their membership and reach.</w:t>
      </w:r>
    </w:p>
    <w:p>
      <w:pPr>
        <w:pStyle w:val="ListParagraph"/>
        <w:numPr>
          <w:ilvl w:val="0"/>
          <w:numId w:val="1"/>
        </w:numPr>
        <w:spacing w:after="70" w:line="268"/>
      </w:pPr>
      <w:r>
        <w:rPr>
          <w:rFonts w:ascii="Georgia" w:cs="Georgia" w:eastAsia="Georgia" w:hAnsi="Georgia"/>
          <w:b/>
          <w:bCs/>
          <w:color w:val="1A1A1A"/>
          <w:sz w:val="21"/>
          <w:szCs w:val="21"/>
        </w:rPr>
        <w:t xml:space="preserve">Knowledge products</w:t>
      </w:r>
      <w:r>
        <w:rPr>
          <w:rFonts w:ascii="Georgia" w:cs="Georgia" w:eastAsia="Georgia" w:hAnsi="Georgia"/>
          <w:color w:val="1A1A1A"/>
          <w:sz w:val="21"/>
          <w:szCs w:val="21"/>
        </w:rPr>
        <w:t xml:space="preserve"> — reports, frameworks, playbooks, indices and white papers that shape how decision-makers frame problems (the currency your role trades in).</w:t>
      </w:r>
    </w:p>
    <w:p>
      <w:pPr>
        <w:pStyle w:val="ListParagraph"/>
        <w:numPr>
          <w:ilvl w:val="0"/>
          <w:numId w:val="1"/>
        </w:numPr>
        <w:spacing w:after="70" w:line="268"/>
      </w:pPr>
      <w:r>
        <w:rPr>
          <w:rFonts w:ascii="Georgia" w:cs="Georgia" w:eastAsia="Georgia" w:hAnsi="Georgia"/>
          <w:b/>
          <w:bCs/>
          <w:color w:val="1A1A1A"/>
          <w:sz w:val="21"/>
          <w:szCs w:val="21"/>
        </w:rPr>
        <w:t xml:space="preserve">Platforms and initiatives</w:t>
      </w:r>
      <w:r>
        <w:rPr>
          <w:rFonts w:ascii="Georgia" w:cs="Georgia" w:eastAsia="Georgia" w:hAnsi="Georgia"/>
          <w:color w:val="1A1A1A"/>
          <w:sz w:val="21"/>
          <w:szCs w:val="21"/>
        </w:rPr>
        <w:t xml:space="preserve"> — multi-year, multistakeholder vehicles (GRIP is one) that turn dialogue into pilots, commitments and toolkits.</w:t>
      </w:r>
    </w:p>
    <w:p>
      <w:pPr>
        <w:pStyle w:val="ListParagraph"/>
        <w:numPr>
          <w:ilvl w:val="0"/>
          <w:numId w:val="1"/>
        </w:numPr>
        <w:spacing w:after="70" w:line="268"/>
      </w:pPr>
      <w:r>
        <w:rPr>
          <w:rFonts w:ascii="Georgia" w:cs="Georgia" w:eastAsia="Georgia" w:hAnsi="Georgia"/>
          <w:b/>
          <w:bCs/>
          <w:color w:val="1A1A1A"/>
          <w:sz w:val="21"/>
          <w:szCs w:val="21"/>
        </w:rPr>
        <w:t xml:space="preserve">The C4IR network</w:t>
      </w:r>
      <w:r>
        <w:rPr>
          <w:rFonts w:ascii="Georgia" w:cs="Georgia" w:eastAsia="Georgia" w:hAnsi="Georgia"/>
          <w:color w:val="1A1A1A"/>
          <w:sz w:val="21"/>
          <w:szCs w:val="21"/>
        </w:rPr>
        <w:t xml:space="preserve"> — government-hosted centres that localise and operationalise governance work in-country.</w:t>
      </w:r>
    </w:p>
    <w:p>
      <w:pPr>
        <w:pStyle w:val="Heading2"/>
        <w:spacing w:after="100" w:before="220"/>
      </w:pPr>
      <w:r>
        <w:rPr>
          <w:rFonts w:ascii="Calibri" w:cs="Calibri" w:eastAsia="Calibri" w:hAnsi="Calibri"/>
          <w:b/>
          <w:bCs/>
          <w:color w:val="2F5D8A"/>
          <w:sz w:val="25"/>
          <w:szCs w:val="25"/>
        </w:rPr>
        <w:t xml:space="preserve">5.2 Multistakeholder governance — and how to handle the critique</w:t>
      </w:r>
    </w:p>
    <w:p>
      <w:pPr>
        <w:spacing w:after="140" w:line="276"/>
        <w:jc w:val="both"/>
      </w:pPr>
      <w:r>
        <w:rPr>
          <w:rFonts w:ascii="Georgia" w:cs="Georgia" w:eastAsia="Georgia" w:hAnsi="Georgia"/>
          <w:color w:val="1A1A1A"/>
          <w:sz w:val="21"/>
          <w:szCs w:val="21"/>
        </w:rPr>
        <w:t xml:space="preserve">The Forum’s theory of change is </w:t>
      </w:r>
      <w:r>
        <w:rPr>
          <w:rFonts w:ascii="Georgia" w:cs="Georgia" w:eastAsia="Georgia" w:hAnsi="Georgia"/>
          <w:b/>
          <w:bCs/>
          <w:color w:val="1A1A1A"/>
          <w:sz w:val="21"/>
          <w:szCs w:val="21"/>
        </w:rPr>
        <w:t xml:space="preserve">multistakeholder governance</w:t>
      </w:r>
      <w:r>
        <w:rPr>
          <w:rFonts w:ascii="Georgia" w:cs="Georgia" w:eastAsia="Georgia" w:hAnsi="Georgia"/>
          <w:color w:val="1A1A1A"/>
          <w:sz w:val="21"/>
          <w:szCs w:val="21"/>
        </w:rPr>
        <w:t xml:space="preserve">: convene enough of the relevant actors — states, firms, academia, civil society — and the resulting consensus is both more legitimate and more implementable than a state-only process. Know the critique, because a sharp panel will probe it: multistakeholderism can </w:t>
      </w:r>
      <w:r>
        <w:rPr>
          <w:rFonts w:ascii="Georgia" w:cs="Georgia" w:eastAsia="Georgia" w:hAnsi="Georgia"/>
          <w:b/>
          <w:bCs/>
          <w:color w:val="1A1A1A"/>
          <w:sz w:val="21"/>
          <w:szCs w:val="21"/>
        </w:rPr>
        <w:t xml:space="preserve">dilute democratic accountability</w:t>
      </w:r>
      <w:r>
        <w:rPr>
          <w:rFonts w:ascii="Georgia" w:cs="Georgia" w:eastAsia="Georgia" w:hAnsi="Georgia"/>
          <w:color w:val="1A1A1A"/>
          <w:sz w:val="21"/>
          <w:szCs w:val="21"/>
        </w:rPr>
        <w:t xml:space="preserve">, privilege </w:t>
      </w:r>
      <w:r>
        <w:rPr>
          <w:rFonts w:ascii="Georgia" w:cs="Georgia" w:eastAsia="Georgia" w:hAnsi="Georgia"/>
          <w:b/>
          <w:bCs/>
          <w:color w:val="1A1A1A"/>
          <w:sz w:val="21"/>
          <w:szCs w:val="21"/>
        </w:rPr>
        <w:t xml:space="preserve">corporate voice</w:t>
      </w:r>
      <w:r>
        <w:rPr>
          <w:rFonts w:ascii="Georgia" w:cs="Georgia" w:eastAsia="Georgia" w:hAnsi="Georgia"/>
          <w:color w:val="1A1A1A"/>
          <w:sz w:val="21"/>
          <w:szCs w:val="21"/>
        </w:rPr>
        <w:t xml:space="preserve">, lack </w:t>
      </w:r>
      <w:r>
        <w:rPr>
          <w:rFonts w:ascii="Georgia" w:cs="Georgia" w:eastAsia="Georgia" w:hAnsi="Georgia"/>
          <w:b/>
          <w:bCs/>
          <w:color w:val="1A1A1A"/>
          <w:sz w:val="21"/>
          <w:szCs w:val="21"/>
        </w:rPr>
        <w:t xml:space="preserve">clear rules of representation and accountability</w:t>
      </w:r>
      <w:r>
        <w:rPr>
          <w:rFonts w:ascii="Georgia" w:cs="Georgia" w:eastAsia="Georgia" w:hAnsi="Georgia"/>
          <w:color w:val="1A1A1A"/>
          <w:sz w:val="21"/>
          <w:szCs w:val="21"/>
        </w:rPr>
        <w:t xml:space="preserve">, and enable powerful actors to </w:t>
      </w:r>
      <w:r>
        <w:rPr>
          <w:rFonts w:ascii="Georgia" w:cs="Georgia" w:eastAsia="Georgia" w:hAnsi="Georgia"/>
          <w:b/>
          <w:bCs/>
          <w:color w:val="1A1A1A"/>
          <w:sz w:val="21"/>
          <w:szCs w:val="21"/>
        </w:rPr>
        <w:t xml:space="preserve">forum-shop</w:t>
      </w:r>
      <w:r>
        <w:rPr>
          <w:rFonts w:ascii="Georgia" w:cs="Georgia" w:eastAsia="Georgia" w:hAnsi="Georgia"/>
          <w:color w:val="1A1A1A"/>
          <w:sz w:val="21"/>
          <w:szCs w:val="21"/>
        </w:rPr>
        <w:t xml:space="preserve">. The Forum’s own </w:t>
      </w:r>
      <w:r>
        <w:rPr>
          <w:rFonts w:ascii="Georgia" w:cs="Georgia" w:eastAsia="Georgia" w:hAnsi="Georgia"/>
          <w:b/>
          <w:bCs/>
          <w:color w:val="1A1A1A"/>
          <w:sz w:val="21"/>
          <w:szCs w:val="21"/>
        </w:rPr>
        <w:t xml:space="preserve">Global Redesign Initiative</w:t>
      </w:r>
      <w:r>
        <w:rPr>
          <w:rFonts w:ascii="Georgia" w:cs="Georgia" w:eastAsia="Georgia" w:hAnsi="Georgia"/>
          <w:color w:val="1A1A1A"/>
          <w:sz w:val="21"/>
          <w:szCs w:val="21"/>
        </w:rPr>
        <w:t xml:space="preserve"> put these questions on the table.</w:t>
      </w:r>
    </w:p>
    <w:tbl>
      <w:tblPr>
        <w:tblW w:type="pct" w:w="100%"/>
        <w:tblBorders>
          <w:top w:val="single" w:color="2F5D8A" w:sz="4"/>
          <w:left w:val="single" w:color="2F5D8A" w:sz="24"/>
          <w:bottom w:val="single" w:color="2F5D8A" w:sz="4"/>
          <w:right w:val="single" w:color="2F5D8A" w:sz="4"/>
          <w:insideH w:val="none"/>
          <w:insideV w:val="none"/>
        </w:tblBorders>
      </w:tblPr>
      <w:tblGrid>
        <w:gridCol w:w="9360"/>
      </w:tblGrid>
      <w:tr>
        <w:tc>
          <w:tcPr>
            <w:tcW w:type="dxa" w:w="9360"/>
            <w:shd w:fill="EEF3F9" w:val="clear"/>
            <w:tcMar>
              <w:top w:type="dxa" w:w="120"/>
              <w:left w:type="dxa" w:w="200"/>
              <w:bottom w:type="dxa" w:w="120"/>
              <w:right w:type="dxa" w:w="200"/>
            </w:tcMar>
          </w:tcPr>
          <w:p>
            <w:pPr>
              <w:spacing w:after="0" w:line="264"/>
            </w:pPr>
            <w:r>
              <w:rPr>
                <w:rFonts w:ascii="Georgia" w:cs="Georgia" w:eastAsia="Georgia" w:hAnsi="Georgia"/>
                <w:b/>
                <w:bCs/>
                <w:color w:val="1F2A44"/>
                <w:sz w:val="20"/>
                <w:szCs w:val="20"/>
              </w:rPr>
              <w:t xml:space="preserve">How to answer a legitimacy challenge:</w:t>
            </w:r>
            <w:r>
              <w:rPr>
                <w:rFonts w:ascii="Georgia" w:cs="Georgia" w:eastAsia="Georgia" w:hAnsi="Georgia"/>
                <w:color w:val="1F2A44"/>
                <w:sz w:val="20"/>
                <w:szCs w:val="20"/>
              </w:rPr>
              <w:t xml:space="preserve"> acknowledge it directly; argue that multistakeholder convening is a </w:t>
            </w:r>
            <w:r>
              <w:rPr>
                <w:rFonts w:ascii="Georgia" w:cs="Georgia" w:eastAsia="Georgia" w:hAnsi="Georgia"/>
                <w:i/>
                <w:iCs/>
                <w:color w:val="1F2A44"/>
                <w:sz w:val="20"/>
                <w:szCs w:val="20"/>
              </w:rPr>
              <w:t xml:space="preserve">complement</w:t>
            </w:r>
            <w:r>
              <w:rPr>
                <w:rFonts w:ascii="Georgia" w:cs="Georgia" w:eastAsia="Georgia" w:hAnsi="Georgia"/>
                <w:color w:val="1F2A44"/>
                <w:sz w:val="20"/>
                <w:szCs w:val="20"/>
              </w:rPr>
              <w:t xml:space="preserve"> to democratic and multilateral processes, not a replacement; and stress the safeguards that earn legitimacy — transparency, genuinely inclusive representation (especially the Global South and civil society), and outputs governments freely adopt through their own accountable processes. Never sound defensive; sound like someone who has thought about the institution’s own limits.</w:t>
            </w:r>
          </w:p>
        </w:tc>
      </w:tr>
    </w:tbl>
    <w:p>
      <w:pPr>
        <w:spacing w:after="80"/>
      </w:pPr>
    </w:p>
    <w:p>
      <w:pPr>
        <w:pStyle w:val="Heading2"/>
        <w:spacing w:after="100" w:before="220"/>
      </w:pPr>
      <w:r>
        <w:rPr>
          <w:rFonts w:ascii="Calibri" w:cs="Calibri" w:eastAsia="Calibri" w:hAnsi="Calibri"/>
          <w:b/>
          <w:bCs/>
          <w:color w:val="2F5D8A"/>
          <w:sz w:val="25"/>
          <w:szCs w:val="25"/>
        </w:rPr>
        <w:t xml:space="preserve">5.3 The Agile Governance lineage and the reports to name</w:t>
      </w:r>
    </w:p>
    <w:tbl>
      <w:tblPr>
        <w:tblW w:type="dxa" w:w="9360"/>
        <w:tblBorders>
          <w:top w:val="single" w:color="C9D3E0" w:sz="2"/>
          <w:left w:val="none"/>
          <w:bottom w:val="single" w:color="C9D3E0" w:sz="2"/>
          <w:right w:val="none"/>
          <w:insideH w:val="single" w:color="C9D3E0" w:sz="2"/>
          <w:insideV w:val="single" w:color="C9D3E0" w:sz="2"/>
        </w:tblBorders>
      </w:tblPr>
      <w:tblGrid>
        <w:gridCol w:w="3050"/>
        <w:gridCol w:w="3550"/>
        <w:gridCol w:w="2760"/>
      </w:tblGrid>
      <w:tr>
        <w:trPr>
          <w:tblHeader/>
        </w:trPr>
        <w:tc>
          <w:tcPr>
            <w:tcW w:type="dxa" w:w="305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Forum work</w:t>
            </w:r>
          </w:p>
        </w:tc>
        <w:tc>
          <w:tcPr>
            <w:tcW w:type="dxa" w:w="355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What it established</w:t>
            </w:r>
          </w:p>
        </w:tc>
        <w:tc>
          <w:tcPr>
            <w:tcW w:type="dxa" w:w="27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Use it to…</w:t>
            </w:r>
          </w:p>
        </w:tc>
      </w:tr>
      <w:tr>
        <w:tc>
          <w:tcPr>
            <w:tcW w:type="dxa" w:w="30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Agile Governance: Reimagining Policy-making in the 4IR (white paper)</w:t>
            </w:r>
          </w:p>
        </w:tc>
        <w:tc>
          <w:tcPr>
            <w:tcW w:type="dxa" w:w="35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founding case for adaptive, human-centred policy-making.</w:t>
            </w:r>
          </w:p>
        </w:tc>
        <w:tc>
          <w:tcPr>
            <w:tcW w:type="dxa" w:w="27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Show you know the intellectual roots of GRIP.</w:t>
            </w:r>
          </w:p>
        </w:tc>
      </w:tr>
      <w:tr>
        <w:tc>
          <w:tcPr>
            <w:tcW w:type="dxa" w:w="30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Agile Regulation for the 4IR — A Toolkit for Regulators (2020)</w:t>
            </w:r>
          </w:p>
        </w:tc>
        <w:tc>
          <w:tcPr>
            <w:tcW w:type="dxa" w:w="35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practical toolkit building on the five-principles approach.</w:t>
            </w:r>
          </w:p>
        </w:tc>
        <w:tc>
          <w:tcPr>
            <w:tcW w:type="dxa" w:w="27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Speak the Forum’s house vocabulary precisely.</w:t>
            </w:r>
          </w:p>
        </w:tc>
      </w:tr>
      <w:tr>
        <w:tc>
          <w:tcPr>
            <w:tcW w:type="dxa" w:w="30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Global Technology Governance Report (2021)</w:t>
            </w:r>
          </w:p>
        </w:tc>
        <w:tc>
          <w:tcPr>
            <w:tcW w:type="dxa" w:w="35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cross-technology governance-gap analysis.</w:t>
            </w:r>
          </w:p>
        </w:tc>
        <w:tc>
          <w:tcPr>
            <w:tcW w:type="dxa" w:w="27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Frame the cross-cutting, convergence argument.</w:t>
            </w:r>
          </w:p>
        </w:tc>
      </w:tr>
      <w:tr>
        <w:tc>
          <w:tcPr>
            <w:tcW w:type="dxa" w:w="30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Regulatory Frontier / GRIP (2025)</w:t>
            </w:r>
          </w:p>
        </w:tc>
        <w:tc>
          <w:tcPr>
            <w:tcW w:type="dxa" w:w="35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Regulation as infrastructure; the three GRIP deliverables; five design domains.</w:t>
            </w:r>
          </w:p>
        </w:tc>
        <w:tc>
          <w:tcPr>
            <w:tcW w:type="dxa" w:w="27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Anchor to the current, live mandate.</w:t>
            </w:r>
          </w:p>
        </w:tc>
      </w:tr>
      <w:tr>
        <w:tc>
          <w:tcPr>
            <w:tcW w:type="dxa" w:w="30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Global Risks Report; Future of Jobs Report</w:t>
            </w:r>
          </w:p>
        </w:tc>
        <w:tc>
          <w:tcPr>
            <w:tcW w:type="dxa" w:w="35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Forum’s flagship annual signals on risk and work.</w:t>
            </w:r>
          </w:p>
        </w:tc>
        <w:tc>
          <w:tcPr>
            <w:tcW w:type="dxa" w:w="27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Connect tech governance to the Forum’s wider agenda.</w:t>
            </w:r>
          </w:p>
        </w:tc>
      </w:tr>
    </w:tbl>
    <w:p>
      <w:pPr>
        <w:spacing w:after="80"/>
      </w:pPr>
    </w:p>
    <w:p>
      <w:pPr>
        <w:spacing w:after="140" w:line="276"/>
        <w:jc w:val="both"/>
      </w:pPr>
      <w:r>
        <w:rPr>
          <w:rFonts w:ascii="Georgia" w:cs="Georgia" w:eastAsia="Georgia" w:hAnsi="Georgia"/>
          <w:color w:val="1A1A1A"/>
          <w:sz w:val="21"/>
          <w:szCs w:val="21"/>
        </w:rPr>
        <w:t xml:space="preserve">The register to hit when talking about the Forum: </w:t>
      </w:r>
      <w:r>
        <w:rPr>
          <w:rFonts w:ascii="Georgia" w:cs="Georgia" w:eastAsia="Georgia" w:hAnsi="Georgia"/>
          <w:b/>
          <w:bCs/>
          <w:color w:val="1A1A1A"/>
          <w:sz w:val="21"/>
          <w:szCs w:val="21"/>
        </w:rPr>
        <w:t xml:space="preserve">impact with humility.</w:t>
      </w:r>
      <w:r>
        <w:rPr>
          <w:rFonts w:ascii="Georgia" w:cs="Georgia" w:eastAsia="Georgia" w:hAnsi="Georgia"/>
          <w:color w:val="1A1A1A"/>
          <w:sz w:val="21"/>
          <w:szCs w:val="21"/>
        </w:rPr>
        <w:t xml:space="preserve"> Be genuinely enthusiastic about convening power and reach, while showing you understand the model succeeds only when its outputs are adopted by actors with real authority, and that legitimacy must be continually earned through inclusion and transparency.</w:t>
      </w: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6 · Global Regulatory Landscape and Geopolitics</w:t>
      </w:r>
    </w:p>
    <w:p>
      <w:pPr>
        <w:spacing w:after="200" w:line="288"/>
      </w:pPr>
      <w:r>
        <w:rPr>
          <w:rFonts w:ascii="Georgia" w:cs="Georgia" w:eastAsia="Georgia" w:hAnsi="Georgia"/>
          <w:i/>
          <w:iCs/>
          <w:color w:val="55606E"/>
          <w:sz w:val="22"/>
          <w:szCs w:val="22"/>
        </w:rPr>
        <w:t xml:space="preserve">Frontier-tech governance is now geopolitics by other means. You need the map of who regulates how, why they diverge, and where the openings for cooperation lie.</w:t>
      </w:r>
    </w:p>
    <w:p>
      <w:pPr>
        <w:pStyle w:val="Heading2"/>
        <w:spacing w:after="100" w:before="220"/>
      </w:pPr>
      <w:r>
        <w:rPr>
          <w:rFonts w:ascii="Calibri" w:cs="Calibri" w:eastAsia="Calibri" w:hAnsi="Calibri"/>
          <w:b/>
          <w:bCs/>
          <w:color w:val="2F5D8A"/>
          <w:sz w:val="25"/>
          <w:szCs w:val="25"/>
        </w:rPr>
        <w:t xml:space="preserve">6.1 The three rulebooks (plus the middle path)</w:t>
      </w:r>
    </w:p>
    <w:tbl>
      <w:tblPr>
        <w:tblW w:type="dxa" w:w="9360"/>
        <w:tblBorders>
          <w:top w:val="single" w:color="C9D3E0" w:sz="2"/>
          <w:left w:val="none"/>
          <w:bottom w:val="single" w:color="C9D3E0" w:sz="2"/>
          <w:right w:val="none"/>
          <w:insideH w:val="single" w:color="C9D3E0" w:sz="2"/>
          <w:insideV w:val="single" w:color="C9D3E0" w:sz="2"/>
        </w:tblBorders>
      </w:tblPr>
      <w:tblGrid>
        <w:gridCol w:w="1450"/>
        <w:gridCol w:w="3050"/>
        <w:gridCol w:w="2650"/>
        <w:gridCol w:w="2210"/>
      </w:tblGrid>
      <w:tr>
        <w:trPr>
          <w:tblHeader/>
        </w:trPr>
        <w:tc>
          <w:tcPr>
            <w:tcW w:type="dxa" w:w="145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Jurisdiction</w:t>
            </w:r>
          </w:p>
        </w:tc>
        <w:tc>
          <w:tcPr>
            <w:tcW w:type="dxa" w:w="305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Philosophy</w:t>
            </w:r>
          </w:p>
        </w:tc>
        <w:tc>
          <w:tcPr>
            <w:tcW w:type="dxa" w:w="265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Signature instruments</w:t>
            </w:r>
          </w:p>
        </w:tc>
        <w:tc>
          <w:tcPr>
            <w:tcW w:type="dxa" w:w="221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Optimises for</w:t>
            </w:r>
          </w:p>
        </w:tc>
      </w:tr>
      <w:tr>
        <w:tc>
          <w:tcPr>
            <w:tcW w:type="dxa" w:w="14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European Union</w:t>
            </w:r>
          </w:p>
        </w:tc>
        <w:tc>
          <w:tcPr>
            <w:tcW w:type="dxa" w:w="30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Rights- and risk-based; precautionary; comprehensive horizontal law.</w:t>
            </w:r>
          </w:p>
        </w:tc>
        <w:tc>
          <w:tcPr>
            <w:tcW w:type="dxa" w:w="26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AI Act; GDPR; Digital Services/Markets Acts; product-liability regime.</w:t>
            </w:r>
          </w:p>
        </w:tc>
        <w:tc>
          <w:tcPr>
            <w:tcW w:type="dxa" w:w="221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Fundamental rights, safety, the single market — and regulatory export.</w:t>
            </w:r>
          </w:p>
        </w:tc>
      </w:tr>
      <w:tr>
        <w:tc>
          <w:tcPr>
            <w:tcW w:type="dxa" w:w="14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United States</w:t>
            </w:r>
          </w:p>
        </w:tc>
        <w:tc>
          <w:tcPr>
            <w:tcW w:type="dxa" w:w="30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Market-led; sectoral; light-touch; innovation-first.</w:t>
            </w:r>
          </w:p>
        </w:tc>
        <w:tc>
          <w:tcPr>
            <w:tcW w:type="dxa" w:w="26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Executive orders; NIST frameworks; agency guidance; state laws.</w:t>
            </w:r>
          </w:p>
        </w:tc>
        <w:tc>
          <w:tcPr>
            <w:tcW w:type="dxa" w:w="221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Innovation speed, competitiveness, private-sector leadership.</w:t>
            </w:r>
          </w:p>
        </w:tc>
      </w:tr>
      <w:tr>
        <w:tc>
          <w:tcPr>
            <w:tcW w:type="dxa" w:w="14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China</w:t>
            </w:r>
          </w:p>
        </w:tc>
        <w:tc>
          <w:tcPr>
            <w:tcW w:type="dxa" w:w="30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State-directed; vertical and targeted; control-oriented.</w:t>
            </w:r>
          </w:p>
        </w:tc>
        <w:tc>
          <w:tcPr>
            <w:tcW w:type="dxa" w:w="26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Algorithm/deep-synthesis/generative-AI rules; CAC filings.</w:t>
            </w:r>
          </w:p>
        </w:tc>
        <w:tc>
          <w:tcPr>
            <w:tcW w:type="dxa" w:w="221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State control, social stability, strategic industrial policy.</w:t>
            </w:r>
          </w:p>
        </w:tc>
      </w:tr>
      <w:tr>
        <w:tc>
          <w:tcPr>
            <w:tcW w:type="dxa" w:w="14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United Kingdom</w:t>
            </w:r>
          </w:p>
        </w:tc>
        <w:tc>
          <w:tcPr>
            <w:tcW w:type="dxa" w:w="30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Principles-based, pro-innovation; empowers existing regulators.</w:t>
            </w:r>
          </w:p>
        </w:tc>
        <w:tc>
          <w:tcPr>
            <w:tcW w:type="dxa" w:w="26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Cross-sector principles; sector regulators; AI Security Institute.</w:t>
            </w:r>
          </w:p>
        </w:tc>
        <w:tc>
          <w:tcPr>
            <w:tcW w:type="dxa" w:w="221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Agility and inward investment without a single big statute.</w:t>
            </w:r>
          </w:p>
        </w:tc>
      </w:tr>
    </w:tbl>
    <w:p>
      <w:pPr>
        <w:spacing w:after="80"/>
      </w:pPr>
    </w:p>
    <w:p>
      <w:pPr>
        <w:pStyle w:val="Heading2"/>
        <w:spacing w:after="100" w:before="220"/>
      </w:pPr>
      <w:r>
        <w:rPr>
          <w:rFonts w:ascii="Calibri" w:cs="Calibri" w:eastAsia="Calibri" w:hAnsi="Calibri"/>
          <w:b/>
          <w:bCs/>
          <w:color w:val="2F5D8A"/>
          <w:sz w:val="25"/>
          <w:szCs w:val="25"/>
        </w:rPr>
        <w:t xml:space="preserve">6.2 The Brussels effect and its limits</w:t>
      </w:r>
    </w:p>
    <w:p>
      <w:pPr>
        <w:spacing w:after="140" w:line="276"/>
        <w:jc w:val="both"/>
      </w:pPr>
      <w:r>
        <w:rPr>
          <w:rFonts w:ascii="Georgia" w:cs="Georgia" w:eastAsia="Georgia" w:hAnsi="Georgia"/>
          <w:color w:val="1A1A1A"/>
          <w:sz w:val="21"/>
          <w:szCs w:val="21"/>
        </w:rPr>
        <w:t xml:space="preserve">The </w:t>
      </w:r>
      <w:r>
        <w:rPr>
          <w:rFonts w:ascii="Georgia" w:cs="Georgia" w:eastAsia="Georgia" w:hAnsi="Georgia"/>
          <w:b/>
          <w:bCs/>
          <w:color w:val="1A1A1A"/>
          <w:sz w:val="21"/>
          <w:szCs w:val="21"/>
        </w:rPr>
        <w:t xml:space="preserve">Brussels effect</w:t>
      </w:r>
      <w:r>
        <w:rPr>
          <w:rFonts w:ascii="Georgia" w:cs="Georgia" w:eastAsia="Georgia" w:hAnsi="Georgia"/>
          <w:color w:val="1A1A1A"/>
          <w:sz w:val="21"/>
          <w:szCs w:val="21"/>
        </w:rPr>
        <w:t xml:space="preserve"> (Anu Bradford) is the mechanism by which EU rules become de facto global standards: to access the EU’s large market, firms adopt EU-compliant practices everywhere (the </w:t>
      </w:r>
      <w:r>
        <w:rPr>
          <w:rFonts w:ascii="Georgia" w:cs="Georgia" w:eastAsia="Georgia" w:hAnsi="Georgia"/>
          <w:i/>
          <w:iCs/>
          <w:color w:val="1A1A1A"/>
          <w:sz w:val="21"/>
          <w:szCs w:val="21"/>
        </w:rPr>
        <w:t xml:space="preserve">de facto</w:t>
      </w:r>
      <w:r>
        <w:rPr>
          <w:rFonts w:ascii="Georgia" w:cs="Georgia" w:eastAsia="Georgia" w:hAnsi="Georgia"/>
          <w:color w:val="1A1A1A"/>
          <w:sz w:val="21"/>
          <w:szCs w:val="21"/>
        </w:rPr>
        <w:t xml:space="preserve"> effect), and other governments then copy the EU template (the </w:t>
      </w:r>
      <w:r>
        <w:rPr>
          <w:rFonts w:ascii="Georgia" w:cs="Georgia" w:eastAsia="Georgia" w:hAnsi="Georgia"/>
          <w:i/>
          <w:iCs/>
          <w:color w:val="1A1A1A"/>
          <w:sz w:val="21"/>
          <w:szCs w:val="21"/>
        </w:rPr>
        <w:t xml:space="preserve">de jure</w:t>
      </w:r>
      <w:r>
        <w:rPr>
          <w:rFonts w:ascii="Georgia" w:cs="Georgia" w:eastAsia="Georgia" w:hAnsi="Georgia"/>
          <w:color w:val="1A1A1A"/>
          <w:sz w:val="21"/>
          <w:szCs w:val="21"/>
        </w:rPr>
        <w:t xml:space="preserve"> effect). GDPR is the archetype; the AI Act is the test case. The sophisticated, current view — voice it — is that the effect is </w:t>
      </w:r>
      <w:r>
        <w:rPr>
          <w:rFonts w:ascii="Georgia" w:cs="Georgia" w:eastAsia="Georgia" w:hAnsi="Georgia"/>
          <w:b/>
          <w:bCs/>
          <w:color w:val="1A1A1A"/>
          <w:sz w:val="21"/>
          <w:szCs w:val="21"/>
        </w:rPr>
        <w:t xml:space="preserve">real but weakening</w:t>
      </w:r>
      <w:r>
        <w:rPr>
          <w:rFonts w:ascii="Georgia" w:cs="Georgia" w:eastAsia="Georgia" w:hAnsi="Georgia"/>
          <w:color w:val="1A1A1A"/>
          <w:sz w:val="21"/>
          <w:szCs w:val="21"/>
        </w:rPr>
        <w:t xml:space="preserve">: the US and China are actively pursuing rival models, the EU itself is under competitiveness pressure to simplify (the Draghi-report anxiety), and for a borderless technology a territorial theory of influence explains less than it used to. The frontier is shifting from </w:t>
      </w:r>
      <w:r>
        <w:rPr>
          <w:rFonts w:ascii="Georgia" w:cs="Georgia" w:eastAsia="Georgia" w:hAnsi="Georgia"/>
          <w:i/>
          <w:iCs/>
          <w:color w:val="1A1A1A"/>
          <w:sz w:val="21"/>
          <w:szCs w:val="21"/>
        </w:rPr>
        <w:t xml:space="preserve">exporting regulation</w:t>
      </w:r>
      <w:r>
        <w:rPr>
          <w:rFonts w:ascii="Georgia" w:cs="Georgia" w:eastAsia="Georgia" w:hAnsi="Georgia"/>
          <w:color w:val="1A1A1A"/>
          <w:sz w:val="21"/>
          <w:szCs w:val="21"/>
        </w:rPr>
        <w:t xml:space="preserve"> to </w:t>
      </w:r>
      <w:r>
        <w:rPr>
          <w:rFonts w:ascii="Georgia" w:cs="Georgia" w:eastAsia="Georgia" w:hAnsi="Georgia"/>
          <w:i/>
          <w:iCs/>
          <w:color w:val="1A1A1A"/>
          <w:sz w:val="21"/>
          <w:szCs w:val="21"/>
        </w:rPr>
        <w:t xml:space="preserve">exercising governance</w:t>
      </w:r>
      <w:r>
        <w:rPr>
          <w:rFonts w:ascii="Georgia" w:cs="Georgia" w:eastAsia="Georgia" w:hAnsi="Georgia"/>
          <w:color w:val="1A1A1A"/>
          <w:sz w:val="21"/>
          <w:szCs w:val="21"/>
        </w:rPr>
        <w:t xml:space="preserve">.</w:t>
      </w:r>
    </w:p>
    <w:p>
      <w:pPr>
        <w:pStyle w:val="Heading2"/>
        <w:spacing w:after="100" w:before="220"/>
      </w:pPr>
      <w:r>
        <w:rPr>
          <w:rFonts w:ascii="Calibri" w:cs="Calibri" w:eastAsia="Calibri" w:hAnsi="Calibri"/>
          <w:b/>
          <w:bCs/>
          <w:color w:val="2F5D8A"/>
          <w:sz w:val="25"/>
          <w:szCs w:val="25"/>
        </w:rPr>
        <w:t xml:space="preserve">6.3 Fragmentation versus interoperability</w:t>
      </w:r>
    </w:p>
    <w:p>
      <w:pPr>
        <w:spacing w:after="140" w:line="276"/>
        <w:jc w:val="both"/>
      </w:pPr>
      <w:r>
        <w:rPr>
          <w:rFonts w:ascii="Georgia" w:cs="Georgia" w:eastAsia="Georgia" w:hAnsi="Georgia"/>
          <w:color w:val="1A1A1A"/>
          <w:sz w:val="21"/>
          <w:szCs w:val="21"/>
        </w:rPr>
        <w:t xml:space="preserve">The meta-problem your role addresses is </w:t>
      </w:r>
      <w:r>
        <w:rPr>
          <w:rFonts w:ascii="Georgia" w:cs="Georgia" w:eastAsia="Georgia" w:hAnsi="Georgia"/>
          <w:b/>
          <w:bCs/>
          <w:color w:val="1A1A1A"/>
          <w:sz w:val="21"/>
          <w:szCs w:val="21"/>
        </w:rPr>
        <w:t xml:space="preserve">regulatory fragmentation</w:t>
      </w:r>
      <w:r>
        <w:rPr>
          <w:rFonts w:ascii="Georgia" w:cs="Georgia" w:eastAsia="Georgia" w:hAnsi="Georgia"/>
          <w:color w:val="1A1A1A"/>
          <w:sz w:val="21"/>
          <w:szCs w:val="21"/>
        </w:rPr>
        <w:t xml:space="preserve">: the same product can be lawful in one jurisdiction, require a conformity assessment in a second, an algorithmic audit in a third and a state filing in a fourth. Fragmentation raises compliance cost, entrenches large incumbents (only they can afford four rulebooks), enables </w:t>
      </w:r>
      <w:r>
        <w:rPr>
          <w:rFonts w:ascii="Georgia" w:cs="Georgia" w:eastAsia="Georgia" w:hAnsi="Georgia"/>
          <w:b/>
          <w:bCs/>
          <w:color w:val="1A1A1A"/>
          <w:sz w:val="21"/>
          <w:szCs w:val="21"/>
        </w:rPr>
        <w:t xml:space="preserve">forum-shopping</w:t>
      </w:r>
      <w:r>
        <w:rPr>
          <w:rFonts w:ascii="Georgia" w:cs="Georgia" w:eastAsia="Georgia" w:hAnsi="Georgia"/>
          <w:color w:val="1A1A1A"/>
          <w:sz w:val="21"/>
          <w:szCs w:val="21"/>
        </w:rPr>
        <w:t xml:space="preserve">, and slows beneficial diffusion. The prize is </w:t>
      </w:r>
      <w:r>
        <w:rPr>
          <w:rFonts w:ascii="Georgia" w:cs="Georgia" w:eastAsia="Georgia" w:hAnsi="Georgia"/>
          <w:b/>
          <w:bCs/>
          <w:color w:val="1A1A1A"/>
          <w:sz w:val="21"/>
          <w:szCs w:val="21"/>
        </w:rPr>
        <w:t xml:space="preserve">interoperability</w:t>
      </w:r>
      <w:r>
        <w:rPr>
          <w:rFonts w:ascii="Georgia" w:cs="Georgia" w:eastAsia="Georgia" w:hAnsi="Georgia"/>
          <w:color w:val="1A1A1A"/>
          <w:sz w:val="21"/>
          <w:szCs w:val="21"/>
        </w:rPr>
        <w:t xml:space="preserve"> — not identical rules, but rules </w:t>
      </w:r>
      <w:r>
        <w:rPr>
          <w:rFonts w:ascii="Georgia" w:cs="Georgia" w:eastAsia="Georgia" w:hAnsi="Georgia"/>
          <w:i/>
          <w:iCs/>
          <w:color w:val="1A1A1A"/>
          <w:sz w:val="21"/>
          <w:szCs w:val="21"/>
        </w:rPr>
        <w:t xml:space="preserve">compatible in effect</w:t>
      </w:r>
      <w:r>
        <w:rPr>
          <w:rFonts w:ascii="Georgia" w:cs="Georgia" w:eastAsia="Georgia" w:hAnsi="Georgia"/>
          <w:color w:val="1A1A1A"/>
          <w:sz w:val="21"/>
          <w:szCs w:val="21"/>
        </w:rPr>
        <w:t xml:space="preserve"> through mutual recognition, common standards and minimum baselines. Convening for interoperability is precisely the Forum’s comparative advantage.</w:t>
      </w:r>
    </w:p>
    <w:p>
      <w:pPr>
        <w:pStyle w:val="Heading2"/>
        <w:spacing w:after="100" w:before="220"/>
      </w:pPr>
      <w:r>
        <w:rPr>
          <w:rFonts w:ascii="Calibri" w:cs="Calibri" w:eastAsia="Calibri" w:hAnsi="Calibri"/>
          <w:b/>
          <w:bCs/>
          <w:color w:val="2F5D8A"/>
          <w:sz w:val="25"/>
          <w:szCs w:val="25"/>
        </w:rPr>
        <w:t xml:space="preserve">6.4 The institutional map</w:t>
      </w:r>
    </w:p>
    <w:tbl>
      <w:tblPr>
        <w:tblW w:type="dxa" w:w="9360"/>
        <w:tblBorders>
          <w:top w:val="single" w:color="C9D3E0" w:sz="2"/>
          <w:left w:val="none"/>
          <w:bottom w:val="single" w:color="C9D3E0" w:sz="2"/>
          <w:right w:val="none"/>
          <w:insideH w:val="single" w:color="C9D3E0" w:sz="2"/>
          <w:insideV w:val="single" w:color="C9D3E0" w:sz="2"/>
        </w:tblBorders>
      </w:tblPr>
      <w:tblGrid>
        <w:gridCol w:w="2650"/>
        <w:gridCol w:w="6710"/>
      </w:tblGrid>
      <w:tr>
        <w:trPr>
          <w:tblHeader/>
        </w:trPr>
        <w:tc>
          <w:tcPr>
            <w:tcW w:type="dxa" w:w="265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Body</w:t>
            </w:r>
          </w:p>
        </w:tc>
        <w:tc>
          <w:tcPr>
            <w:tcW w:type="dxa" w:w="671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Role in frontier-tech governance</w:t>
            </w:r>
          </w:p>
        </w:tc>
      </w:tr>
      <w:tr>
        <w:tc>
          <w:tcPr>
            <w:tcW w:type="dxa" w:w="26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OECD</w:t>
            </w:r>
          </w:p>
        </w:tc>
        <w:tc>
          <w:tcPr>
            <w:tcW w:type="dxa" w:w="671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reference house for regulatory policy and international regulatory co-operation; OECD AI Principles; the AI Policy Observatory; anticipatory-governance work.</w:t>
            </w:r>
          </w:p>
        </w:tc>
      </w:tr>
      <w:tr>
        <w:tc>
          <w:tcPr>
            <w:tcW w:type="dxa" w:w="26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ISO / IEC / IEEE / CEN-CENELEC</w:t>
            </w:r>
          </w:p>
        </w:tc>
        <w:tc>
          <w:tcPr>
            <w:tcW w:type="dxa" w:w="671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Technical standard-setting — the soft-law machinery regulators reference to give agile rules teeth (e.g. AI Act harmonised standards).</w:t>
            </w:r>
          </w:p>
        </w:tc>
      </w:tr>
      <w:tr>
        <w:tc>
          <w:tcPr>
            <w:tcW w:type="dxa" w:w="26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G7 / G20</w:t>
            </w:r>
          </w:p>
        </w:tc>
        <w:tc>
          <w:tcPr>
            <w:tcW w:type="dxa" w:w="671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Political coordination; the G7 Hiroshima Process on AI; agenda-setting for tech governance.</w:t>
            </w:r>
          </w:p>
        </w:tc>
      </w:tr>
      <w:tr>
        <w:tc>
          <w:tcPr>
            <w:tcW w:type="dxa" w:w="26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UN family (UNOOSA, ITU, UNESCO, WHO)</w:t>
            </w:r>
          </w:p>
        </w:tc>
        <w:tc>
          <w:tcPr>
            <w:tcW w:type="dxa" w:w="671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Space (UNOOSA/COPUOS), telecoms and standards (ITU), AI ethics and neurorights (UNESCO), health/biotech (WHO), plus UN AI processes and the Global Digital Compact.</w:t>
            </w:r>
          </w:p>
        </w:tc>
      </w:tr>
      <w:tr>
        <w:tc>
          <w:tcPr>
            <w:tcW w:type="dxa" w:w="26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Council of Europe</w:t>
            </w:r>
          </w:p>
        </w:tc>
        <w:tc>
          <w:tcPr>
            <w:tcW w:type="dxa" w:w="671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Framework Convention on AI — the first binding international AI treaty, rights-anchored and open beyond Europe.</w:t>
            </w:r>
          </w:p>
        </w:tc>
      </w:tr>
      <w:tr>
        <w:tc>
          <w:tcPr>
            <w:tcW w:type="dxa" w:w="26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NIST</w:t>
            </w:r>
          </w:p>
        </w:tc>
        <w:tc>
          <w:tcPr>
            <w:tcW w:type="dxa" w:w="671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De facto global influence via frameworks (AI RMF) and standards (PQC) despite being a national body.</w:t>
            </w:r>
          </w:p>
        </w:tc>
      </w:tr>
    </w:tbl>
    <w:p>
      <w:pPr>
        <w:spacing w:after="80"/>
      </w:pPr>
    </w:p>
    <w:p>
      <w:pPr>
        <w:pStyle w:val="Heading2"/>
        <w:spacing w:after="100" w:before="220"/>
      </w:pPr>
      <w:r>
        <w:rPr>
          <w:rFonts w:ascii="Calibri" w:cs="Calibri" w:eastAsia="Calibri" w:hAnsi="Calibri"/>
          <w:b/>
          <w:bCs/>
          <w:color w:val="2F5D8A"/>
          <w:sz w:val="25"/>
          <w:szCs w:val="25"/>
        </w:rPr>
        <w:t xml:space="preserve">6.5 The geopolitics of the frontier</w:t>
      </w:r>
    </w:p>
    <w:p>
      <w:pPr>
        <w:spacing w:after="140" w:line="276"/>
        <w:jc w:val="both"/>
      </w:pPr>
      <w:r>
        <w:rPr>
          <w:rFonts w:ascii="Georgia" w:cs="Georgia" w:eastAsia="Georgia" w:hAnsi="Georgia"/>
          <w:color w:val="1A1A1A"/>
          <w:sz w:val="21"/>
          <w:szCs w:val="21"/>
        </w:rPr>
        <w:t xml:space="preserve">Two forces to name. </w:t>
      </w:r>
      <w:r>
        <w:rPr>
          <w:rFonts w:ascii="Georgia" w:cs="Georgia" w:eastAsia="Georgia" w:hAnsi="Georgia"/>
          <w:b/>
          <w:bCs/>
          <w:color w:val="1A1A1A"/>
          <w:sz w:val="21"/>
          <w:szCs w:val="21"/>
        </w:rPr>
        <w:t xml:space="preserve">Techno-nationalism / tech sovereignty:</w:t>
      </w:r>
      <w:r>
        <w:rPr>
          <w:rFonts w:ascii="Georgia" w:cs="Georgia" w:eastAsia="Georgia" w:hAnsi="Georgia"/>
          <w:color w:val="1A1A1A"/>
          <w:sz w:val="21"/>
          <w:szCs w:val="21"/>
        </w:rPr>
        <w:t xml:space="preserve"> states increasingly treat frontier technologies as strategic national assets — via industrial policy, subsidies and </w:t>
      </w:r>
      <w:r>
        <w:rPr>
          <w:rFonts w:ascii="Georgia" w:cs="Georgia" w:eastAsia="Georgia" w:hAnsi="Georgia"/>
          <w:b/>
          <w:bCs/>
          <w:color w:val="1A1A1A"/>
          <w:sz w:val="21"/>
          <w:szCs w:val="21"/>
        </w:rPr>
        <w:t xml:space="preserve">export controls</w:t>
      </w:r>
      <w:r>
        <w:rPr>
          <w:rFonts w:ascii="Georgia" w:cs="Georgia" w:eastAsia="Georgia" w:hAnsi="Georgia"/>
          <w:color w:val="1A1A1A"/>
          <w:sz w:val="21"/>
          <w:szCs w:val="21"/>
        </w:rPr>
        <w:t xml:space="preserve"> (the “small yard, high fence” doctrine of restricting a narrow set of critical technologies while keeping the rest open), with </w:t>
      </w:r>
      <w:r>
        <w:rPr>
          <w:rFonts w:ascii="Georgia" w:cs="Georgia" w:eastAsia="Georgia" w:hAnsi="Georgia"/>
          <w:b/>
          <w:bCs/>
          <w:color w:val="1A1A1A"/>
          <w:sz w:val="21"/>
          <w:szCs w:val="21"/>
        </w:rPr>
        <w:t xml:space="preserve">standard-setting itself now a geopolitical contest</w:t>
      </w:r>
      <w:r>
        <w:rPr>
          <w:rFonts w:ascii="Georgia" w:cs="Georgia" w:eastAsia="Georgia" w:hAnsi="Georgia"/>
          <w:color w:val="1A1A1A"/>
          <w:sz w:val="21"/>
          <w:szCs w:val="21"/>
        </w:rPr>
        <w:t xml:space="preserve">. </w:t>
      </w:r>
      <w:r>
        <w:rPr>
          <w:rFonts w:ascii="Georgia" w:cs="Georgia" w:eastAsia="Georgia" w:hAnsi="Georgia"/>
          <w:b/>
          <w:bCs/>
          <w:color w:val="1A1A1A"/>
          <w:sz w:val="21"/>
          <w:szCs w:val="21"/>
        </w:rPr>
        <w:t xml:space="preserve">The commons counter-pressure:</w:t>
      </w:r>
      <w:r>
        <w:rPr>
          <w:rFonts w:ascii="Georgia" w:cs="Georgia" w:eastAsia="Georgia" w:hAnsi="Georgia"/>
          <w:color w:val="1A1A1A"/>
          <w:sz w:val="21"/>
          <w:szCs w:val="21"/>
        </w:rPr>
        <w:t xml:space="preserve"> some frontier domains — space, climate intervention, catastrophic bio-risk — are irreducibly global and cannot be secured by any state alone, and the </w:t>
      </w:r>
      <w:r>
        <w:rPr>
          <w:rFonts w:ascii="Georgia" w:cs="Georgia" w:eastAsia="Georgia" w:hAnsi="Georgia"/>
          <w:b/>
          <w:bCs/>
          <w:color w:val="1A1A1A"/>
          <w:sz w:val="21"/>
          <w:szCs w:val="21"/>
        </w:rPr>
        <w:t xml:space="preserve">Global South</w:t>
      </w:r>
      <w:r>
        <w:rPr>
          <w:rFonts w:ascii="Georgia" w:cs="Georgia" w:eastAsia="Georgia" w:hAnsi="Georgia"/>
          <w:color w:val="1A1A1A"/>
          <w:sz w:val="21"/>
          <w:szCs w:val="21"/>
        </w:rPr>
        <w:t xml:space="preserve"> risks being rule-taker rather than rule-maker (the digital and capability divide). Your workstream lives in the tension between competitive advantage and shared-risk cooperation; holding both truths at once is the mark of a serious frontier-governance strategist.</w:t>
      </w: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7 · Regulatory Transformation — the Systems Lens</w:t>
      </w:r>
    </w:p>
    <w:p>
      <w:pPr>
        <w:spacing w:after="200" w:line="288"/>
      </w:pPr>
      <w:r>
        <w:rPr>
          <w:rFonts w:ascii="Georgia" w:cs="Georgia" w:eastAsia="Georgia" w:hAnsi="Georgia"/>
          <w:i/>
          <w:iCs/>
          <w:color w:val="55606E"/>
          <w:sz w:val="22"/>
          <w:szCs w:val="22"/>
        </w:rPr>
        <w:t xml:space="preserve">This chapter recasts everything above as a transformation problem, using the exact frameworks a management-consulting panel reasons with. It is your highest-leverage material: it makes governance legible to ex-consultants, and it maps directly onto your own background in industry transformation and replication.</w:t>
      </w:r>
    </w:p>
    <w:p>
      <w:pPr>
        <w:spacing w:after="140" w:line="276"/>
        <w:jc w:val="both"/>
      </w:pPr>
      <w:r>
        <w:rPr>
          <w:rFonts w:ascii="Georgia" w:cs="Georgia" w:eastAsia="Georgia" w:hAnsi="Georgia"/>
          <w:color w:val="1A1A1A"/>
          <w:sz w:val="21"/>
          <w:szCs w:val="21"/>
        </w:rPr>
        <w:t xml:space="preserve">The core move: </w:t>
      </w:r>
      <w:r>
        <w:rPr>
          <w:rFonts w:ascii="Georgia" w:cs="Georgia" w:eastAsia="Georgia" w:hAnsi="Georgia"/>
          <w:b/>
          <w:bCs/>
          <w:color w:val="1A1A1A"/>
          <w:sz w:val="21"/>
          <w:szCs w:val="21"/>
        </w:rPr>
        <w:t xml:space="preserve">treat a country or sector going from an ungoverned frontier technology to responsible, scaled adoption as running a transformation</w:t>
      </w:r>
      <w:r>
        <w:rPr>
          <w:rFonts w:ascii="Georgia" w:cs="Georgia" w:eastAsia="Georgia" w:hAnsi="Georgia"/>
          <w:color w:val="1A1A1A"/>
          <w:sz w:val="21"/>
          <w:szCs w:val="21"/>
        </w:rPr>
        <w:t xml:space="preserve"> — with a maturity curve, a capability gap, a scaling slump, an ecosystem to orchestrate, and reference cases to replicate. Every sub-section below has a manufacturing-transformation analogue your panel will recognise, and a governance translation you can deploy.</w:t>
      </w:r>
    </w:p>
    <w:p>
      <w:pPr>
        <w:pStyle w:val="Heading2"/>
        <w:spacing w:after="100" w:before="220"/>
      </w:pPr>
      <w:r>
        <w:rPr>
          <w:rFonts w:ascii="Calibri" w:cs="Calibri" w:eastAsia="Calibri" w:hAnsi="Calibri"/>
          <w:b/>
          <w:bCs/>
          <w:color w:val="2F5D8A"/>
          <w:sz w:val="25"/>
          <w:szCs w:val="25"/>
        </w:rPr>
        <w:t xml:space="preserve">7.1 The regulatory maturity curve</w:t>
      </w:r>
    </w:p>
    <w:p>
      <w:pPr>
        <w:spacing w:after="140" w:line="276"/>
        <w:jc w:val="both"/>
      </w:pPr>
      <w:r>
        <w:rPr>
          <w:rFonts w:ascii="Georgia" w:cs="Georgia" w:eastAsia="Georgia" w:hAnsi="Georgia"/>
          <w:color w:val="1A1A1A"/>
          <w:sz w:val="21"/>
          <w:szCs w:val="21"/>
        </w:rPr>
        <w:t xml:space="preserve">Just as manufacturers move up a maturity ladder (standardised → digitised → connected → predictive → autonomous), a jurisdiction’s capacity to govern emerging technology can be staged. A useful five-level curve to offer in a case:</w:t>
      </w:r>
    </w:p>
    <w:tbl>
      <w:tblPr>
        <w:tblW w:type="dxa" w:w="9360"/>
        <w:tblBorders>
          <w:top w:val="single" w:color="C9D3E0" w:sz="2"/>
          <w:left w:val="none"/>
          <w:bottom w:val="single" w:color="C9D3E0" w:sz="2"/>
          <w:right w:val="none"/>
          <w:insideH w:val="single" w:color="C9D3E0" w:sz="2"/>
          <w:insideV w:val="single" w:color="C9D3E0" w:sz="2"/>
        </w:tblBorders>
      </w:tblPr>
      <w:tblGrid>
        <w:gridCol w:w="900"/>
        <w:gridCol w:w="2600"/>
        <w:gridCol w:w="5860"/>
      </w:tblGrid>
      <w:tr>
        <w:trPr>
          <w:tblHeader/>
        </w:trPr>
        <w:tc>
          <w:tcPr>
            <w:tcW w:type="dxa" w:w="9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Level</w:t>
            </w:r>
          </w:p>
        </w:tc>
        <w:tc>
          <w:tcPr>
            <w:tcW w:type="dxa" w:w="26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Regulatory maturity</w:t>
            </w:r>
          </w:p>
        </w:tc>
        <w:tc>
          <w:tcPr>
            <w:tcW w:type="dxa" w:w="58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Characteristic</w:t>
            </w:r>
          </w:p>
        </w:tc>
      </w:tr>
      <w:tr>
        <w:tc>
          <w:tcPr>
            <w:tcW w:type="dxa" w:w="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1</w:t>
            </w:r>
          </w:p>
        </w:tc>
        <w:tc>
          <w:tcPr>
            <w:tcW w:type="dxa" w:w="26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Absent</w:t>
            </w:r>
          </w:p>
        </w:tc>
        <w:tc>
          <w:tcPr>
            <w:tcW w:type="dxa" w:w="58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No rules; the technology outpaces any framework (the default frontier state).</w:t>
            </w:r>
          </w:p>
        </w:tc>
      </w:tr>
      <w:tr>
        <w:tc>
          <w:tcPr>
            <w:tcW w:type="dxa" w:w="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2</w:t>
            </w:r>
          </w:p>
        </w:tc>
        <w:tc>
          <w:tcPr>
            <w:tcW w:type="dxa" w:w="26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Reactive</w:t>
            </w:r>
          </w:p>
        </w:tc>
        <w:tc>
          <w:tcPr>
            <w:tcW w:type="dxa" w:w="58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Rules written after harm occurs; slow, litigation-driven, backward-looking.</w:t>
            </w:r>
          </w:p>
        </w:tc>
      </w:tr>
      <w:tr>
        <w:tc>
          <w:tcPr>
            <w:tcW w:type="dxa" w:w="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3</w:t>
            </w:r>
          </w:p>
        </w:tc>
        <w:tc>
          <w:tcPr>
            <w:tcW w:type="dxa" w:w="26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Structured</w:t>
            </w:r>
          </w:p>
        </w:tc>
        <w:tc>
          <w:tcPr>
            <w:tcW w:type="dxa" w:w="58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Risk-based rules and RIA in place, but static and quick to date.</w:t>
            </w:r>
          </w:p>
        </w:tc>
      </w:tr>
      <w:tr>
        <w:tc>
          <w:tcPr>
            <w:tcW w:type="dxa" w:w="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4</w:t>
            </w:r>
          </w:p>
        </w:tc>
        <w:tc>
          <w:tcPr>
            <w:tcW w:type="dxa" w:w="26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Anticipatory</w:t>
            </w:r>
          </w:p>
        </w:tc>
        <w:tc>
          <w:tcPr>
            <w:tcW w:type="dxa" w:w="58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Foresight, sandboxes and pilots generate evidence </w:t>
            </w:r>
            <w:r>
              <w:rPr>
                <w:rFonts w:ascii="Georgia" w:cs="Georgia" w:eastAsia="Georgia" w:hAnsi="Georgia"/>
                <w:i/>
                <w:iCs/>
                <w:color w:val="1A1A1A"/>
                <w:sz w:val="18"/>
                <w:szCs w:val="18"/>
              </w:rPr>
              <w:t xml:space="preserve">before</w:t>
            </w:r>
            <w:r>
              <w:rPr>
                <w:rFonts w:ascii="Georgia" w:cs="Georgia" w:eastAsia="Georgia" w:hAnsi="Georgia"/>
                <w:color w:val="1A1A1A"/>
                <w:sz w:val="18"/>
                <w:szCs w:val="18"/>
              </w:rPr>
              <w:t xml:space="preserve"> rules are fixed.</w:t>
            </w:r>
          </w:p>
        </w:tc>
      </w:tr>
      <w:tr>
        <w:tc>
          <w:tcPr>
            <w:tcW w:type="dxa" w:w="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5</w:t>
            </w:r>
          </w:p>
        </w:tc>
        <w:tc>
          <w:tcPr>
            <w:tcW w:type="dxa" w:w="26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Adaptive / Agile</w:t>
            </w:r>
          </w:p>
        </w:tc>
        <w:tc>
          <w:tcPr>
            <w:tcW w:type="dxa" w:w="58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Living rules with feedback loops; the regime learns and revises continuously.</w:t>
            </w:r>
          </w:p>
        </w:tc>
      </w:tr>
    </w:tbl>
    <w:p>
      <w:pPr>
        <w:spacing w:after="80"/>
      </w:pPr>
    </w:p>
    <w:p>
      <w:pPr>
        <w:spacing w:after="140" w:line="276"/>
        <w:jc w:val="both"/>
      </w:pPr>
      <w:r>
        <w:rPr>
          <w:rFonts w:ascii="Georgia" w:cs="Georgia" w:eastAsia="Georgia" w:hAnsi="Georgia"/>
          <w:color w:val="1A1A1A"/>
          <w:sz w:val="21"/>
          <w:szCs w:val="21"/>
        </w:rPr>
        <w:t xml:space="preserve">The strategic point: most frontier domains sit at Level 1–2, GRIP’s ambition is to move jurisdictions to Level 4–5, and the Readiness Index is the diagnostic that scores where a country sits. This staging is also how you </w:t>
      </w:r>
      <w:r>
        <w:rPr>
          <w:rFonts w:ascii="Georgia" w:cs="Georgia" w:eastAsia="Georgia" w:hAnsi="Georgia"/>
          <w:i/>
          <w:iCs/>
          <w:color w:val="1A1A1A"/>
          <w:sz w:val="21"/>
          <w:szCs w:val="21"/>
        </w:rPr>
        <w:t xml:space="preserve">sequence</w:t>
      </w:r>
      <w:r>
        <w:rPr>
          <w:rFonts w:ascii="Georgia" w:cs="Georgia" w:eastAsia="Georgia" w:hAnsi="Georgia"/>
          <w:color w:val="1A1A1A"/>
          <w:sz w:val="21"/>
          <w:szCs w:val="21"/>
        </w:rPr>
        <w:t xml:space="preserve"> your workstream — you cannot sell an adaptive regime to a jurisdiction that lacks basic institutional capacity, any more than you sell an autonomous factory to a plant that has not yet digitised.</w:t>
      </w:r>
    </w:p>
    <w:p>
      <w:pPr>
        <w:pStyle w:val="Heading2"/>
        <w:spacing w:after="100" w:before="220"/>
      </w:pPr>
      <w:r>
        <w:rPr>
          <w:rFonts w:ascii="Calibri" w:cs="Calibri" w:eastAsia="Calibri" w:hAnsi="Calibri"/>
          <w:b/>
          <w:bCs/>
          <w:color w:val="2F5D8A"/>
          <w:sz w:val="25"/>
          <w:szCs w:val="25"/>
        </w:rPr>
        <w:t xml:space="preserve">7.2 The capability gap, not the technology gap</w:t>
      </w:r>
    </w:p>
    <w:p>
      <w:pPr>
        <w:spacing w:after="140" w:line="276"/>
        <w:jc w:val="both"/>
      </w:pPr>
      <w:r>
        <w:rPr>
          <w:rFonts w:ascii="Georgia" w:cs="Georgia" w:eastAsia="Georgia" w:hAnsi="Georgia"/>
          <w:color w:val="1A1A1A"/>
          <w:sz w:val="21"/>
          <w:szCs w:val="21"/>
        </w:rPr>
        <w:t xml:space="preserve">Borrow the single most important insight in your manufacturing notes and apply it to governance: </w:t>
      </w:r>
      <w:r>
        <w:rPr>
          <w:rFonts w:ascii="Georgia" w:cs="Georgia" w:eastAsia="Georgia" w:hAnsi="Georgia"/>
          <w:b/>
          <w:bCs/>
          <w:color w:val="1A1A1A"/>
          <w:sz w:val="21"/>
          <w:szCs w:val="21"/>
        </w:rPr>
        <w:t xml:space="preserve">jurisdictions that fail to govern emerging technology usually have a capability gap, not a rules gap.</w:t>
      </w:r>
      <w:r>
        <w:rPr>
          <w:rFonts w:ascii="Georgia" w:cs="Georgia" w:eastAsia="Georgia" w:hAnsi="Georgia"/>
          <w:color w:val="1A1A1A"/>
          <w:sz w:val="21"/>
          <w:szCs w:val="21"/>
        </w:rPr>
        <w:t xml:space="preserve"> The bottleneck is rarely the absence of a statute; it is the absence of the </w:t>
      </w:r>
      <w:r>
        <w:rPr>
          <w:rFonts w:ascii="Georgia" w:cs="Georgia" w:eastAsia="Georgia" w:hAnsi="Georgia"/>
          <w:i/>
          <w:iCs/>
          <w:color w:val="1A1A1A"/>
          <w:sz w:val="21"/>
          <w:szCs w:val="21"/>
        </w:rPr>
        <w:t xml:space="preserve">capability</w:t>
      </w:r>
      <w:r>
        <w:rPr>
          <w:rFonts w:ascii="Georgia" w:cs="Georgia" w:eastAsia="Georgia" w:hAnsi="Georgia"/>
          <w:color w:val="1A1A1A"/>
          <w:sz w:val="21"/>
          <w:szCs w:val="21"/>
        </w:rPr>
        <w:t xml:space="preserve"> to design, run and adapt one — technical literacy inside the regulator, cross-agency coordination, data and analytics, foresight capacity, and workforce. Three capability layers, mirroring the manufacturing model:</w:t>
      </w:r>
    </w:p>
    <w:p>
      <w:pPr>
        <w:pStyle w:val="ListParagraph"/>
        <w:numPr>
          <w:ilvl w:val="0"/>
          <w:numId w:val="1"/>
        </w:numPr>
        <w:spacing w:after="70" w:line="268"/>
      </w:pPr>
      <w:r>
        <w:rPr>
          <w:rFonts w:ascii="Georgia" w:cs="Georgia" w:eastAsia="Georgia" w:hAnsi="Georgia"/>
          <w:b/>
          <w:bCs/>
          <w:color w:val="1A1A1A"/>
          <w:sz w:val="21"/>
          <w:szCs w:val="21"/>
        </w:rPr>
        <w:t xml:space="preserve">Technical / institutional capability</w:t>
      </w:r>
      <w:r>
        <w:rPr>
          <w:rFonts w:ascii="Georgia" w:cs="Georgia" w:eastAsia="Georgia" w:hAnsi="Georgia"/>
          <w:color w:val="1A1A1A"/>
          <w:sz w:val="21"/>
          <w:szCs w:val="21"/>
        </w:rPr>
        <w:t xml:space="preserve"> — can the regulator understand the technology, run a sandbox, read a model evaluation, coordinate across agencies?</w:t>
      </w:r>
    </w:p>
    <w:p>
      <w:pPr>
        <w:pStyle w:val="ListParagraph"/>
        <w:numPr>
          <w:ilvl w:val="0"/>
          <w:numId w:val="1"/>
        </w:numPr>
        <w:spacing w:after="70" w:line="268"/>
      </w:pPr>
      <w:r>
        <w:rPr>
          <w:rFonts w:ascii="Georgia" w:cs="Georgia" w:eastAsia="Georgia" w:hAnsi="Georgia"/>
          <w:b/>
          <w:bCs/>
          <w:color w:val="1A1A1A"/>
          <w:sz w:val="21"/>
          <w:szCs w:val="21"/>
        </w:rPr>
        <w:t xml:space="preserve">Organisational capability</w:t>
      </w:r>
      <w:r>
        <w:rPr>
          <w:rFonts w:ascii="Georgia" w:cs="Georgia" w:eastAsia="Georgia" w:hAnsi="Georgia"/>
          <w:color w:val="1A1A1A"/>
          <w:sz w:val="21"/>
          <w:szCs w:val="21"/>
        </w:rPr>
        <w:t xml:space="preserve"> — governance structures, cross-functional coordination, change management, and a learning-organisation culture that captures and reuses experience.</w:t>
      </w:r>
    </w:p>
    <w:p>
      <w:pPr>
        <w:pStyle w:val="ListParagraph"/>
        <w:numPr>
          <w:ilvl w:val="0"/>
          <w:numId w:val="1"/>
        </w:numPr>
        <w:spacing w:after="70" w:line="268"/>
      </w:pPr>
      <w:r>
        <w:rPr>
          <w:rFonts w:ascii="Georgia" w:cs="Georgia" w:eastAsia="Georgia" w:hAnsi="Georgia"/>
          <w:b/>
          <w:bCs/>
          <w:color w:val="1A1A1A"/>
          <w:sz w:val="21"/>
          <w:szCs w:val="21"/>
        </w:rPr>
        <w:t xml:space="preserve">Workforce capability</w:t>
      </w:r>
      <w:r>
        <w:rPr>
          <w:rFonts w:ascii="Georgia" w:cs="Georgia" w:eastAsia="Georgia" w:hAnsi="Georgia"/>
          <w:color w:val="1A1A1A"/>
          <w:sz w:val="21"/>
          <w:szCs w:val="21"/>
        </w:rPr>
        <w:t xml:space="preserve"> — the scarce “translator” and technical-supervisor layer (the governance analogue of the manufacturing technician shortage) who sit between policymakers and technologists.</w:t>
      </w:r>
    </w:p>
    <w:p>
      <w:pPr>
        <w:spacing w:after="140" w:line="276"/>
        <w:jc w:val="both"/>
      </w:pPr>
      <w:r>
        <w:rPr>
          <w:rFonts w:ascii="Georgia" w:cs="Georgia" w:eastAsia="Georgia" w:hAnsi="Georgia"/>
          <w:color w:val="1A1A1A"/>
          <w:sz w:val="21"/>
          <w:szCs w:val="21"/>
        </w:rPr>
        <w:t xml:space="preserve">So the right question in a case is rarely “what rule should they write?” It is “</w:t>
      </w:r>
      <w:r>
        <w:rPr>
          <w:rFonts w:ascii="Georgia" w:cs="Georgia" w:eastAsia="Georgia" w:hAnsi="Georgia"/>
          <w:b/>
          <w:bCs/>
          <w:color w:val="1A1A1A"/>
          <w:sz w:val="21"/>
          <w:szCs w:val="21"/>
        </w:rPr>
        <w:t xml:space="preserve">what capability are they missing, and how do we build it?</w:t>
      </w:r>
      <w:r>
        <w:rPr>
          <w:rFonts w:ascii="Georgia" w:cs="Georgia" w:eastAsia="Georgia" w:hAnsi="Georgia"/>
          <w:color w:val="1A1A1A"/>
          <w:sz w:val="21"/>
          <w:szCs w:val="21"/>
        </w:rPr>
        <w:t xml:space="preserve">” That reframe is exactly what a consultant panel wants to hear, and it is where your regulatory-innovation toolkit (sandboxes to build technical capacity, standards to import expertise, international cooperation to borrow capability) becomes the answer.</w:t>
      </w:r>
    </w:p>
    <w:p>
      <w:pPr>
        <w:pStyle w:val="Heading2"/>
        <w:spacing w:after="100" w:before="220"/>
      </w:pPr>
      <w:r>
        <w:rPr>
          <w:rFonts w:ascii="Calibri" w:cs="Calibri" w:eastAsia="Calibri" w:hAnsi="Calibri"/>
          <w:b/>
          <w:bCs/>
          <w:color w:val="2F5D8A"/>
          <w:sz w:val="25"/>
          <w:szCs w:val="25"/>
        </w:rPr>
        <w:t xml:space="preserve">7.3 The governance scaling slump</w:t>
      </w:r>
    </w:p>
    <w:p>
      <w:pPr>
        <w:spacing w:after="140" w:line="276"/>
        <w:jc w:val="both"/>
      </w:pPr>
      <w:r>
        <w:rPr>
          <w:rFonts w:ascii="Georgia" w:cs="Georgia" w:eastAsia="Georgia" w:hAnsi="Georgia"/>
          <w:color w:val="1A1A1A"/>
          <w:sz w:val="21"/>
          <w:szCs w:val="21"/>
        </w:rPr>
        <w:t xml:space="preserve">Manufacturers stall in “pilot purgatory” — successful pilots that never scale because they were built as standalone experiments, not as replicable systems, and because integration across functions is the expensive, un-owned part. Governance has an exact analogue:</w:t>
      </w:r>
    </w:p>
    <w:p>
      <w:pPr>
        <w:pStyle w:val="ListParagraph"/>
        <w:numPr>
          <w:ilvl w:val="0"/>
          <w:numId w:val="1"/>
        </w:numPr>
        <w:spacing w:after="70" w:line="268"/>
      </w:pPr>
      <w:r>
        <w:rPr>
          <w:rFonts w:ascii="Georgia" w:cs="Georgia" w:eastAsia="Georgia" w:hAnsi="Georgia"/>
          <w:b/>
          <w:bCs/>
          <w:color w:val="1A1A1A"/>
          <w:sz w:val="21"/>
          <w:szCs w:val="21"/>
        </w:rPr>
        <w:t xml:space="preserve">Pilot purgatory in policy:</w:t>
      </w:r>
      <w:r>
        <w:rPr>
          <w:rFonts w:ascii="Georgia" w:cs="Georgia" w:eastAsia="Georgia" w:hAnsi="Georgia"/>
          <w:color w:val="1A1A1A"/>
          <w:sz w:val="21"/>
          <w:szCs w:val="21"/>
        </w:rPr>
        <w:t xml:space="preserve"> a sandbox or pilot proves a concept but never graduates into permanent, scaled rules — because no one designed the codification path and no one owns cross-agency integration.</w:t>
      </w:r>
    </w:p>
    <w:p>
      <w:pPr>
        <w:pStyle w:val="ListParagraph"/>
        <w:numPr>
          <w:ilvl w:val="0"/>
          <w:numId w:val="1"/>
        </w:numPr>
        <w:spacing w:after="70" w:line="268"/>
      </w:pPr>
      <w:r>
        <w:rPr>
          <w:rFonts w:ascii="Georgia" w:cs="Georgia" w:eastAsia="Georgia" w:hAnsi="Georgia"/>
          <w:b/>
          <w:bCs/>
          <w:color w:val="1A1A1A"/>
          <w:sz w:val="21"/>
          <w:szCs w:val="21"/>
        </w:rPr>
        <w:t xml:space="preserve">Siloed functions:</w:t>
      </w:r>
      <w:r>
        <w:rPr>
          <w:rFonts w:ascii="Georgia" w:cs="Georgia" w:eastAsia="Georgia" w:hAnsi="Georgia"/>
          <w:color w:val="1A1A1A"/>
          <w:sz w:val="21"/>
          <w:szCs w:val="21"/>
        </w:rPr>
        <w:t xml:space="preserve"> the most-cited barrier to scale. Frontier governance cuts across ministries (economy, health, security, digital), and regimes with strong silos fail — the fix is shared mandates, cross-functional governance bodies, and reorganising the work around outcomes rather than departments.</w:t>
      </w:r>
    </w:p>
    <w:p>
      <w:pPr>
        <w:pStyle w:val="ListParagraph"/>
        <w:numPr>
          <w:ilvl w:val="0"/>
          <w:numId w:val="1"/>
        </w:numPr>
        <w:spacing w:after="70" w:line="268"/>
      </w:pPr>
      <w:r>
        <w:rPr>
          <w:rFonts w:ascii="Georgia" w:cs="Georgia" w:eastAsia="Georgia" w:hAnsi="Georgia"/>
          <w:b/>
          <w:bCs/>
          <w:color w:val="1A1A1A"/>
          <w:sz w:val="21"/>
          <w:szCs w:val="21"/>
        </w:rPr>
        <w:t xml:space="preserve">Two-speed regulators:</w:t>
      </w:r>
      <w:r>
        <w:rPr>
          <w:rFonts w:ascii="Georgia" w:cs="Georgia" w:eastAsia="Georgia" w:hAnsi="Georgia"/>
          <w:color w:val="1A1A1A"/>
          <w:sz w:val="21"/>
          <w:szCs w:val="21"/>
        </w:rPr>
        <w:t xml:space="preserve"> advanced capability in pockets, legacy everywhere else — the governance version of the manufacturing “two-speed organisation.”</w:t>
      </w:r>
    </w:p>
    <w:p>
      <w:pPr>
        <w:spacing w:after="140" w:line="276"/>
        <w:jc w:val="both"/>
      </w:pPr>
      <w:r>
        <w:rPr>
          <w:rFonts w:ascii="Georgia" w:cs="Georgia" w:eastAsia="Georgia" w:hAnsi="Georgia"/>
          <w:color w:val="1A1A1A"/>
          <w:sz w:val="21"/>
          <w:szCs w:val="21"/>
        </w:rPr>
        <w:t xml:space="preserve">The lever that breaks the slump is the same in both worlds: </w:t>
      </w:r>
      <w:r>
        <w:rPr>
          <w:rFonts w:ascii="Georgia" w:cs="Georgia" w:eastAsia="Georgia" w:hAnsi="Georgia"/>
          <w:b/>
          <w:bCs/>
          <w:color w:val="1A1A1A"/>
          <w:sz w:val="21"/>
          <w:szCs w:val="21"/>
        </w:rPr>
        <w:t xml:space="preserve">cross-functional governance with a real mandate, shared metrics, and a codification/replication plan built in from the pilot stage.</w:t>
      </w:r>
    </w:p>
    <w:p>
      <w:pPr>
        <w:pStyle w:val="Heading2"/>
        <w:spacing w:after="100" w:before="220"/>
      </w:pPr>
      <w:r>
        <w:rPr>
          <w:rFonts w:ascii="Calibri" w:cs="Calibri" w:eastAsia="Calibri" w:hAnsi="Calibri"/>
          <w:b/>
          <w:bCs/>
          <w:color w:val="2F5D8A"/>
          <w:sz w:val="25"/>
          <w:szCs w:val="25"/>
        </w:rPr>
        <w:t xml:space="preserve">7.4 Ecosystem orchestration</w:t>
      </w:r>
    </w:p>
    <w:p>
      <w:pPr>
        <w:spacing w:after="140" w:line="276"/>
        <w:jc w:val="both"/>
      </w:pPr>
      <w:r>
        <w:rPr>
          <w:rFonts w:ascii="Georgia" w:cs="Georgia" w:eastAsia="Georgia" w:hAnsi="Georgia"/>
          <w:color w:val="1A1A1A"/>
          <w:sz w:val="21"/>
          <w:szCs w:val="21"/>
        </w:rPr>
        <w:t xml:space="preserve">No single actor governs a frontier technology; an </w:t>
      </w:r>
      <w:r>
        <w:rPr>
          <w:rFonts w:ascii="Georgia" w:cs="Georgia" w:eastAsia="Georgia" w:hAnsi="Georgia"/>
          <w:i/>
          <w:iCs/>
          <w:color w:val="1A1A1A"/>
          <w:sz w:val="21"/>
          <w:szCs w:val="21"/>
        </w:rPr>
        <w:t xml:space="preserve">ecosystem</w:t>
      </w:r>
      <w:r>
        <w:rPr>
          <w:rFonts w:ascii="Georgia" w:cs="Georgia" w:eastAsia="Georgia" w:hAnsi="Georgia"/>
          <w:color w:val="1A1A1A"/>
          <w:sz w:val="21"/>
          <w:szCs w:val="21"/>
        </w:rPr>
        <w:t xml:space="preserve"> does. Orchestration means </w:t>
      </w:r>
      <w:r>
        <w:rPr>
          <w:rFonts w:ascii="Georgia" w:cs="Georgia" w:eastAsia="Georgia" w:hAnsi="Georgia"/>
          <w:b/>
          <w:bCs/>
          <w:color w:val="1A1A1A"/>
          <w:sz w:val="21"/>
          <w:szCs w:val="21"/>
        </w:rPr>
        <w:t xml:space="preserve">designing the conditions and incentives under which independent actors — with different and sometimes conflicting interests — collectively produce an outcome none could produce alone.</w:t>
      </w:r>
      <w:r>
        <w:rPr>
          <w:rFonts w:ascii="Georgia" w:cs="Georgia" w:eastAsia="Georgia" w:hAnsi="Georgia"/>
          <w:color w:val="1A1A1A"/>
          <w:sz w:val="21"/>
          <w:szCs w:val="21"/>
        </w:rPr>
        <w:t xml:space="preserve"> The actor groups in a regulatory ecosystem:</w:t>
      </w:r>
    </w:p>
    <w:tbl>
      <w:tblPr>
        <w:tblW w:type="dxa" w:w="9360"/>
        <w:tblBorders>
          <w:top w:val="single" w:color="C9D3E0" w:sz="2"/>
          <w:left w:val="none"/>
          <w:bottom w:val="single" w:color="C9D3E0" w:sz="2"/>
          <w:right w:val="none"/>
          <w:insideH w:val="single" w:color="C9D3E0" w:sz="2"/>
          <w:insideV w:val="single" w:color="C9D3E0" w:sz="2"/>
        </w:tblBorders>
      </w:tblPr>
      <w:tblGrid>
        <w:gridCol w:w="2500"/>
        <w:gridCol w:w="3700"/>
        <w:gridCol w:w="3160"/>
      </w:tblGrid>
      <w:tr>
        <w:trPr>
          <w:tblHeader/>
        </w:trPr>
        <w:tc>
          <w:tcPr>
            <w:tcW w:type="dxa" w:w="25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Actor group</w:t>
            </w:r>
          </w:p>
        </w:tc>
        <w:tc>
          <w:tcPr>
            <w:tcW w:type="dxa" w:w="37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Role</w:t>
            </w:r>
          </w:p>
        </w:tc>
        <w:tc>
          <w:tcPr>
            <w:tcW w:type="dxa" w:w="31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What they need to move</w:t>
            </w:r>
          </w:p>
        </w:tc>
      </w:tr>
      <w:tr>
        <w:tc>
          <w:tcPr>
            <w:tcW w:type="dxa" w:w="25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Regulators &amp; governments</w:t>
            </w:r>
          </w:p>
        </w:tc>
        <w:tc>
          <w:tcPr>
            <w:tcW w:type="dxa" w:w="3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Set rules, standards, mandates.</w:t>
            </w:r>
          </w:p>
        </w:tc>
        <w:tc>
          <w:tcPr>
            <w:tcW w:type="dxa" w:w="31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Political cover, evidence, capability.</w:t>
            </w:r>
          </w:p>
        </w:tc>
      </w:tr>
      <w:tr>
        <w:tc>
          <w:tcPr>
            <w:tcW w:type="dxa" w:w="25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Industry / operators</w:t>
            </w:r>
          </w:p>
        </w:tc>
        <w:tc>
          <w:tcPr>
            <w:tcW w:type="dxa" w:w="37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Build and deploy the technology.</w:t>
            </w:r>
          </w:p>
        </w:tc>
        <w:tc>
          <w:tcPr>
            <w:tcW w:type="dxa" w:w="31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Certainty, a legal path to test, a level field.</w:t>
            </w:r>
          </w:p>
        </w:tc>
      </w:tr>
      <w:tr>
        <w:tc>
          <w:tcPr>
            <w:tcW w:type="dxa" w:w="25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Standards &amp; enabler bodies</w:t>
            </w:r>
          </w:p>
        </w:tc>
        <w:tc>
          <w:tcPr>
            <w:tcW w:type="dxa" w:w="3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Provide technical norms and validation.</w:t>
            </w:r>
          </w:p>
        </w:tc>
        <w:tc>
          <w:tcPr>
            <w:tcW w:type="dxa" w:w="31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Consensus and reference use by regulators.</w:t>
            </w:r>
          </w:p>
        </w:tc>
      </w:tr>
      <w:tr>
        <w:tc>
          <w:tcPr>
            <w:tcW w:type="dxa" w:w="25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Academia &amp; research</w:t>
            </w:r>
          </w:p>
        </w:tc>
        <w:tc>
          <w:tcPr>
            <w:tcW w:type="dxa" w:w="37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Generate evidence and foresight.</w:t>
            </w:r>
          </w:p>
        </w:tc>
        <w:tc>
          <w:tcPr>
            <w:tcW w:type="dxa" w:w="31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Access, funding, translation into policy.</w:t>
            </w:r>
          </w:p>
        </w:tc>
      </w:tr>
      <w:tr>
        <w:tc>
          <w:tcPr>
            <w:tcW w:type="dxa" w:w="25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Civil society</w:t>
            </w:r>
          </w:p>
        </w:tc>
        <w:tc>
          <w:tcPr>
            <w:tcW w:type="dxa" w:w="3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Represent rights, safety, the public interest.</w:t>
            </w:r>
          </w:p>
        </w:tc>
        <w:tc>
          <w:tcPr>
            <w:tcW w:type="dxa" w:w="31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Genuine inclusion and transparency.</w:t>
            </w:r>
          </w:p>
        </w:tc>
      </w:tr>
      <w:tr>
        <w:tc>
          <w:tcPr>
            <w:tcW w:type="dxa" w:w="25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Financial institutions</w:t>
            </w:r>
          </w:p>
        </w:tc>
        <w:tc>
          <w:tcPr>
            <w:tcW w:type="dxa" w:w="37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Provide the capital that scales adoption.</w:t>
            </w:r>
          </w:p>
        </w:tc>
        <w:tc>
          <w:tcPr>
            <w:tcW w:type="dxa" w:w="31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Predictable rules and de-risking.</w:t>
            </w:r>
          </w:p>
        </w:tc>
      </w:tr>
      <w:tr>
        <w:tc>
          <w:tcPr>
            <w:tcW w:type="dxa" w:w="25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International organisations</w:t>
            </w:r>
          </w:p>
        </w:tc>
        <w:tc>
          <w:tcPr>
            <w:tcW w:type="dxa" w:w="3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Enable interoperability and cooperation.</w:t>
            </w:r>
          </w:p>
        </w:tc>
        <w:tc>
          <w:tcPr>
            <w:tcW w:type="dxa" w:w="31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Aligned incentives across borders.</w:t>
            </w:r>
          </w:p>
        </w:tc>
      </w:tr>
    </w:tbl>
    <w:p>
      <w:pPr>
        <w:spacing w:after="80"/>
      </w:pPr>
    </w:p>
    <w:p>
      <w:pPr>
        <w:spacing w:after="140" w:line="276"/>
        <w:jc w:val="both"/>
      </w:pPr>
      <w:r>
        <w:rPr>
          <w:rFonts w:ascii="Georgia" w:cs="Georgia" w:eastAsia="Georgia" w:hAnsi="Georgia"/>
          <w:color w:val="1A1A1A"/>
          <w:sz w:val="21"/>
          <w:szCs w:val="21"/>
        </w:rPr>
        <w:t xml:space="preserve">The orchestration insight that connects directly to your own background: </w:t>
      </w:r>
      <w:r>
        <w:rPr>
          <w:rFonts w:ascii="Georgia" w:cs="Georgia" w:eastAsia="Georgia" w:hAnsi="Georgia"/>
          <w:b/>
          <w:bCs/>
          <w:color w:val="1A1A1A"/>
          <w:sz w:val="21"/>
          <w:szCs w:val="21"/>
        </w:rPr>
        <w:t xml:space="preserve">sequencing.</w:t>
      </w:r>
      <w:r>
        <w:rPr>
          <w:rFonts w:ascii="Georgia" w:cs="Georgia" w:eastAsia="Georgia" w:hAnsi="Georgia"/>
          <w:color w:val="1A1A1A"/>
          <w:sz w:val="21"/>
          <w:szCs w:val="21"/>
        </w:rPr>
        <w:t xml:space="preserve"> You do not need every actor at once — you identify the minimum set of </w:t>
      </w:r>
      <w:r>
        <w:rPr>
          <w:rFonts w:ascii="Georgia" w:cs="Georgia" w:eastAsia="Georgia" w:hAnsi="Georgia"/>
          <w:i/>
          <w:iCs/>
          <w:color w:val="1A1A1A"/>
          <w:sz w:val="21"/>
          <w:szCs w:val="21"/>
        </w:rPr>
        <w:t xml:space="preserve">first-mover commitments</w:t>
      </w:r>
      <w:r>
        <w:rPr>
          <w:rFonts w:ascii="Georgia" w:cs="Georgia" w:eastAsia="Georgia" w:hAnsi="Georgia"/>
          <w:color w:val="1A1A1A"/>
          <w:sz w:val="21"/>
          <w:szCs w:val="21"/>
        </w:rPr>
        <w:t xml:space="preserve"> that make others follow (a lead government commits, two or three industry players join, standards bodies codify, financiers price it in), and you engineer the government’s role to taper as the ecosystem matures — heavy scaffolding and de-risking early, graduating to lighter, self- and co-regulation as capability builds. This is the regulatory expression of exactly the industry-transformation sequencing you studied in the renewable-energy transition.</w:t>
      </w:r>
    </w:p>
    <w:p>
      <w:pPr>
        <w:pStyle w:val="Heading2"/>
        <w:spacing w:after="100" w:before="220"/>
      </w:pPr>
      <w:r>
        <w:rPr>
          <w:rFonts w:ascii="Calibri" w:cs="Calibri" w:eastAsia="Calibri" w:hAnsi="Calibri"/>
          <w:b/>
          <w:bCs/>
          <w:color w:val="2F5D8A"/>
          <w:sz w:val="25"/>
          <w:szCs w:val="25"/>
        </w:rPr>
        <w:t xml:space="preserve">7.5 Reference cases and replication logic</w:t>
      </w:r>
    </w:p>
    <w:p>
      <w:pPr>
        <w:spacing w:after="140" w:line="276"/>
        <w:jc w:val="both"/>
      </w:pPr>
      <w:r>
        <w:rPr>
          <w:rFonts w:ascii="Georgia" w:cs="Georgia" w:eastAsia="Georgia" w:hAnsi="Georgia"/>
          <w:color w:val="1A1A1A"/>
          <w:sz w:val="21"/>
          <w:szCs w:val="21"/>
        </w:rPr>
        <w:t xml:space="preserve">GRIP’s Playbook, and the “scalable, replicable model” in your JD, both rest on one idea: a </w:t>
      </w:r>
      <w:r>
        <w:rPr>
          <w:rFonts w:ascii="Georgia" w:cs="Georgia" w:eastAsia="Georgia" w:hAnsi="Georgia"/>
          <w:b/>
          <w:bCs/>
          <w:color w:val="1A1A1A"/>
          <w:sz w:val="21"/>
          <w:szCs w:val="21"/>
        </w:rPr>
        <w:t xml:space="preserve">reference case</w:t>
      </w:r>
      <w:r>
        <w:rPr>
          <w:rFonts w:ascii="Georgia" w:cs="Georgia" w:eastAsia="Georgia" w:hAnsi="Georgia"/>
          <w:color w:val="1A1A1A"/>
          <w:sz w:val="21"/>
          <w:szCs w:val="21"/>
        </w:rPr>
        <w:t xml:space="preserve"> — a real-world implementation documented rigorously enough to serve as a blueprint others can learn from, adapt and replicate. For a reference case to be valuable it must capture three things:</w:t>
      </w:r>
    </w:p>
    <w:p>
      <w:pPr>
        <w:pStyle w:val="ListParagraph"/>
        <w:numPr>
          <w:ilvl w:val="0"/>
          <w:numId w:val="2"/>
        </w:numPr>
        <w:spacing w:after="70" w:line="268"/>
      </w:pPr>
      <w:r>
        <w:rPr>
          <w:rFonts w:ascii="Georgia" w:cs="Georgia" w:eastAsia="Georgia" w:hAnsi="Georgia"/>
          <w:b/>
          <w:bCs/>
          <w:color w:val="1A1A1A"/>
          <w:sz w:val="21"/>
          <w:szCs w:val="21"/>
        </w:rPr>
        <w:t xml:space="preserve">What was done</w:t>
      </w:r>
      <w:r>
        <w:rPr>
          <w:rFonts w:ascii="Georgia" w:cs="Georgia" w:eastAsia="Georgia" w:hAnsi="Georgia"/>
          <w:color w:val="1A1A1A"/>
          <w:sz w:val="21"/>
          <w:szCs w:val="21"/>
        </w:rPr>
        <w:t xml:space="preserve"> — the actual intervention.</w:t>
      </w:r>
    </w:p>
    <w:p>
      <w:pPr>
        <w:pStyle w:val="ListParagraph"/>
        <w:numPr>
          <w:ilvl w:val="0"/>
          <w:numId w:val="2"/>
        </w:numPr>
        <w:spacing w:after="70" w:line="268"/>
      </w:pPr>
      <w:r>
        <w:rPr>
          <w:rFonts w:ascii="Georgia" w:cs="Georgia" w:eastAsia="Georgia" w:hAnsi="Georgia"/>
          <w:b/>
          <w:bCs/>
          <w:color w:val="1A1A1A"/>
          <w:sz w:val="21"/>
          <w:szCs w:val="21"/>
        </w:rPr>
        <w:t xml:space="preserve">What conditions made it work</w:t>
      </w:r>
      <w:r>
        <w:rPr>
          <w:rFonts w:ascii="Georgia" w:cs="Georgia" w:eastAsia="Georgia" w:hAnsi="Georgia"/>
          <w:color w:val="1A1A1A"/>
          <w:sz w:val="21"/>
          <w:szCs w:val="21"/>
        </w:rPr>
        <w:t xml:space="preserve"> — the context that mattered.</w:t>
      </w:r>
    </w:p>
    <w:p>
      <w:pPr>
        <w:pStyle w:val="ListParagraph"/>
        <w:numPr>
          <w:ilvl w:val="0"/>
          <w:numId w:val="2"/>
        </w:numPr>
        <w:spacing w:after="70" w:line="268"/>
      </w:pPr>
      <w:r>
        <w:rPr>
          <w:rFonts w:ascii="Georgia" w:cs="Georgia" w:eastAsia="Georgia" w:hAnsi="Georgia"/>
          <w:b/>
          <w:bCs/>
          <w:color w:val="1A1A1A"/>
          <w:sz w:val="21"/>
          <w:szCs w:val="21"/>
        </w:rPr>
        <w:t xml:space="preserve">What is transferable</w:t>
      </w:r>
      <w:r>
        <w:rPr>
          <w:rFonts w:ascii="Georgia" w:cs="Georgia" w:eastAsia="Georgia" w:hAnsi="Georgia"/>
          <w:color w:val="1A1A1A"/>
          <w:sz w:val="21"/>
          <w:szCs w:val="21"/>
        </w:rPr>
        <w:t xml:space="preserve"> — the underlying logic others can apply.</w:t>
      </w:r>
    </w:p>
    <w:p>
      <w:pPr>
        <w:spacing w:after="140" w:line="276"/>
        <w:jc w:val="both"/>
      </w:pPr>
      <w:r>
        <w:rPr>
          <w:rFonts w:ascii="Georgia" w:cs="Georgia" w:eastAsia="Georgia" w:hAnsi="Georgia"/>
          <w:color w:val="1A1A1A"/>
          <w:sz w:val="21"/>
          <w:szCs w:val="21"/>
        </w:rPr>
        <w:t xml:space="preserve">And it must contain </w:t>
      </w:r>
      <w:r>
        <w:rPr>
          <w:rFonts w:ascii="Georgia" w:cs="Georgia" w:eastAsia="Georgia" w:hAnsi="Georgia"/>
          <w:b/>
          <w:bCs/>
          <w:color w:val="1A1A1A"/>
          <w:sz w:val="21"/>
          <w:szCs w:val="21"/>
        </w:rPr>
        <w:t xml:space="preserve">conditional logic</w:t>
      </w:r>
      <w:r>
        <w:rPr>
          <w:rFonts w:ascii="Georgia" w:cs="Georgia" w:eastAsia="Georgia" w:hAnsi="Georgia"/>
          <w:color w:val="1A1A1A"/>
          <w:sz w:val="21"/>
          <w:szCs w:val="21"/>
        </w:rPr>
        <w:t xml:space="preserve">, not a copy-paste template: </w:t>
      </w:r>
      <w:r>
        <w:rPr>
          <w:rFonts w:ascii="Georgia" w:cs="Georgia" w:eastAsia="Georgia" w:hAnsi="Georgia"/>
          <w:i/>
          <w:iCs/>
          <w:color w:val="1A1A1A"/>
          <w:sz w:val="21"/>
          <w:szCs w:val="21"/>
        </w:rPr>
        <w:t xml:space="preserve">“if your context is X, do Y; if your context is W, adapt by doing Z.”</w:t>
      </w:r>
      <w:r>
        <w:rPr>
          <w:rFonts w:ascii="Georgia" w:cs="Georgia" w:eastAsia="Georgia" w:hAnsi="Georgia"/>
          <w:color w:val="1A1A1A"/>
          <w:sz w:val="21"/>
          <w:szCs w:val="21"/>
        </w:rPr>
        <w:t xml:space="preserve"> This is the difference between a case study and a playbook. It is also, precisely, the intellectual move behind your own work reverse-engineering the ecosystem conditions and sequencing of a national transformation into a replication framework for other jurisdictions — you have already built the artefact GRIP is trying to build, in a different domain.</w:t>
      </w:r>
    </w:p>
    <w:tbl>
      <w:tblPr>
        <w:tblW w:type="pct" w:w="100%"/>
        <w:tblBorders>
          <w:top w:val="single" w:color="2F5D8A" w:sz="4"/>
          <w:left w:val="single" w:color="2F5D8A" w:sz="24"/>
          <w:bottom w:val="single" w:color="2F5D8A" w:sz="4"/>
          <w:right w:val="single" w:color="2F5D8A" w:sz="4"/>
          <w:insideH w:val="none"/>
          <w:insideV w:val="none"/>
        </w:tblBorders>
      </w:tblPr>
      <w:tblGrid>
        <w:gridCol w:w="9360"/>
      </w:tblGrid>
      <w:tr>
        <w:tc>
          <w:tcPr>
            <w:tcW w:type="dxa" w:w="9360"/>
            <w:shd w:fill="EEF3F9" w:val="clear"/>
            <w:tcMar>
              <w:top w:type="dxa" w:w="120"/>
              <w:left w:type="dxa" w:w="200"/>
              <w:bottom w:type="dxa" w:w="120"/>
              <w:right w:type="dxa" w:w="200"/>
            </w:tcMar>
          </w:tcPr>
          <w:p>
            <w:pPr>
              <w:spacing w:after="0" w:line="264"/>
            </w:pPr>
            <w:r>
              <w:rPr>
                <w:rFonts w:ascii="Georgia" w:cs="Georgia" w:eastAsia="Georgia" w:hAnsi="Georgia"/>
                <w:b/>
                <w:bCs/>
                <w:color w:val="1F2A44"/>
                <w:sz w:val="20"/>
                <w:szCs w:val="20"/>
              </w:rPr>
              <w:t xml:space="preserve">The line to land with the panel:</w:t>
            </w:r>
            <w:r>
              <w:rPr>
                <w:rFonts w:ascii="Georgia" w:cs="Georgia" w:eastAsia="Georgia" w:hAnsi="Georgia"/>
                <w:color w:val="1F2A44"/>
                <w:sz w:val="20"/>
                <w:szCs w:val="20"/>
              </w:rPr>
              <w:t xml:space="preserve"> “A reference case isn’t a success story — it’s a transferable model with the conditional logic made explicit. You don’t export the rule; you export the method: if context X, do Y; if W, adapt by Z. That’s what makes a governance approach replicable across jurisdictions, and it’s the work I’ve done before in industrial transformation.”</w:t>
            </w:r>
          </w:p>
        </w:tc>
      </w:tr>
    </w:tbl>
    <w:p>
      <w:pPr>
        <w:spacing w:after="80"/>
      </w:pPr>
    </w:p>
    <w:p>
      <w:pPr>
        <w:pStyle w:val="Heading2"/>
        <w:spacing w:after="100" w:before="220"/>
      </w:pPr>
      <w:r>
        <w:rPr>
          <w:rFonts w:ascii="Calibri" w:cs="Calibri" w:eastAsia="Calibri" w:hAnsi="Calibri"/>
          <w:b/>
          <w:bCs/>
          <w:color w:val="2F5D8A"/>
          <w:sz w:val="25"/>
          <w:szCs w:val="25"/>
        </w:rPr>
        <w:t xml:space="preserve">7.6 Transformation design applied to your workstream</w:t>
      </w:r>
    </w:p>
    <w:p>
      <w:pPr>
        <w:spacing w:after="140" w:line="276"/>
        <w:jc w:val="both"/>
      </w:pPr>
      <w:r>
        <w:rPr>
          <w:rFonts w:ascii="Georgia" w:cs="Georgia" w:eastAsia="Georgia" w:hAnsi="Georgia"/>
          <w:color w:val="1A1A1A"/>
          <w:sz w:val="21"/>
          <w:szCs w:val="21"/>
        </w:rPr>
        <w:t xml:space="preserve">Finally, the design sequence a consultant uses to run any transformation — and which you can apply verbatim to standing up a frontier-tech governance initiative:</w:t>
      </w:r>
    </w:p>
    <w:p>
      <w:pPr>
        <w:pStyle w:val="ListParagraph"/>
        <w:numPr>
          <w:ilvl w:val="0"/>
          <w:numId w:val="2"/>
        </w:numPr>
        <w:spacing w:after="70" w:line="268"/>
      </w:pPr>
      <w:r>
        <w:rPr>
          <w:rFonts w:ascii="Georgia" w:cs="Georgia" w:eastAsia="Georgia" w:hAnsi="Georgia"/>
          <w:b/>
          <w:bCs/>
          <w:color w:val="1A1A1A"/>
          <w:sz w:val="21"/>
          <w:szCs w:val="21"/>
        </w:rPr>
        <w:t xml:space="preserve">Diagnostic</w:t>
      </w:r>
      <w:r>
        <w:rPr>
          <w:rFonts w:ascii="Georgia" w:cs="Georgia" w:eastAsia="Georgia" w:hAnsi="Georgia"/>
          <w:color w:val="1A1A1A"/>
          <w:sz w:val="21"/>
          <w:szCs w:val="21"/>
        </w:rPr>
        <w:t xml:space="preserve"> — where a jurisdiction/sector is on the maturity curve; its capabilities (technical, institutional, workforce); the gap between start-point and goal.</w:t>
      </w:r>
    </w:p>
    <w:p>
      <w:pPr>
        <w:pStyle w:val="ListParagraph"/>
        <w:numPr>
          <w:ilvl w:val="0"/>
          <w:numId w:val="2"/>
        </w:numPr>
        <w:spacing w:after="70" w:line="268"/>
      </w:pPr>
      <w:r>
        <w:rPr>
          <w:rFonts w:ascii="Georgia" w:cs="Georgia" w:eastAsia="Georgia" w:hAnsi="Georgia"/>
          <w:b/>
          <w:bCs/>
          <w:color w:val="1A1A1A"/>
          <w:sz w:val="21"/>
          <w:szCs w:val="21"/>
        </w:rPr>
        <w:t xml:space="preserve">Define the ambition</w:t>
      </w:r>
      <w:r>
        <w:rPr>
          <w:rFonts w:ascii="Georgia" w:cs="Georgia" w:eastAsia="Georgia" w:hAnsi="Georgia"/>
          <w:color w:val="1A1A1A"/>
          <w:sz w:val="21"/>
          <w:szCs w:val="21"/>
        </w:rPr>
        <w:t xml:space="preserve"> — a concrete picture of the end state, co-designed with the actors who will own and drive it; start with the most advanced or willing sector and keep ambition at a level the ecosystem can actually carry.</w:t>
      </w:r>
    </w:p>
    <w:p>
      <w:pPr>
        <w:pStyle w:val="ListParagraph"/>
        <w:numPr>
          <w:ilvl w:val="0"/>
          <w:numId w:val="2"/>
        </w:numPr>
        <w:spacing w:after="70" w:line="268"/>
      </w:pPr>
      <w:r>
        <w:rPr>
          <w:rFonts w:ascii="Georgia" w:cs="Georgia" w:eastAsia="Georgia" w:hAnsi="Georgia"/>
          <w:b/>
          <w:bCs/>
          <w:color w:val="1A1A1A"/>
          <w:sz w:val="21"/>
          <w:szCs w:val="21"/>
        </w:rPr>
        <w:t xml:space="preserve">Design the roadmap and levers</w:t>
      </w:r>
      <w:r>
        <w:rPr>
          <w:rFonts w:ascii="Georgia" w:cs="Georgia" w:eastAsia="Georgia" w:hAnsi="Georgia"/>
          <w:color w:val="1A1A1A"/>
          <w:sz w:val="21"/>
          <w:szCs w:val="21"/>
        </w:rPr>
        <w:t xml:space="preserve"> — the workstreams (capability-building, sandboxes, standards, cooperation), each broken into levers, each into measures: </w:t>
      </w:r>
      <w:r>
        <w:rPr>
          <w:rFonts w:ascii="Georgia" w:cs="Georgia" w:eastAsia="Georgia" w:hAnsi="Georgia"/>
          <w:b/>
          <w:bCs/>
          <w:color w:val="1A1A1A"/>
          <w:sz w:val="21"/>
          <w:szCs w:val="21"/>
        </w:rPr>
        <w:t xml:space="preserve">workstreams → levers → measures.</w:t>
      </w:r>
    </w:p>
    <w:p>
      <w:pPr>
        <w:pStyle w:val="ListParagraph"/>
        <w:numPr>
          <w:ilvl w:val="0"/>
          <w:numId w:val="2"/>
        </w:numPr>
        <w:spacing w:after="70" w:line="268"/>
      </w:pPr>
      <w:r>
        <w:rPr>
          <w:rFonts w:ascii="Georgia" w:cs="Georgia" w:eastAsia="Georgia" w:hAnsi="Georgia"/>
          <w:b/>
          <w:bCs/>
          <w:color w:val="1A1A1A"/>
          <w:sz w:val="21"/>
          <w:szCs w:val="21"/>
        </w:rPr>
        <w:t xml:space="preserve">Roll out</w:t>
      </w:r>
      <w:r>
        <w:rPr>
          <w:rFonts w:ascii="Georgia" w:cs="Georgia" w:eastAsia="Georgia" w:hAnsi="Georgia"/>
          <w:color w:val="1A1A1A"/>
          <w:sz w:val="21"/>
          <w:szCs w:val="21"/>
        </w:rPr>
        <w:t xml:space="preserve"> — sequence first-mover commitments, prove a reference case, then replicate.</w:t>
      </w:r>
    </w:p>
    <w:p>
      <w:pPr>
        <w:spacing w:after="140" w:line="276"/>
        <w:jc w:val="both"/>
      </w:pPr>
      <w:r>
        <w:rPr>
          <w:rFonts w:ascii="Georgia" w:cs="Georgia" w:eastAsia="Georgia" w:hAnsi="Georgia"/>
          <w:color w:val="1A1A1A"/>
          <w:sz w:val="21"/>
          <w:szCs w:val="21"/>
        </w:rPr>
        <w:t xml:space="preserve">This is the backbone of your 100-day plan (Part B) and the answer to any “how would you build this?” case: </w:t>
      </w:r>
      <w:r>
        <w:rPr>
          <w:rFonts w:ascii="Georgia" w:cs="Georgia" w:eastAsia="Georgia" w:hAnsi="Georgia"/>
          <w:b/>
          <w:bCs/>
          <w:color w:val="1A1A1A"/>
          <w:sz w:val="21"/>
          <w:szCs w:val="21"/>
        </w:rPr>
        <w:t xml:space="preserve">diagnose → define ambition → design levers → roll out and replicate</w:t>
      </w:r>
      <w:r>
        <w:rPr>
          <w:rFonts w:ascii="Georgia" w:cs="Georgia" w:eastAsia="Georgia" w:hAnsi="Georgia"/>
          <w:color w:val="1A1A1A"/>
          <w:sz w:val="21"/>
          <w:szCs w:val="21"/>
        </w:rPr>
        <w:t xml:space="preserve">, with evidence before scale, capability before rules, and the government’s role engineered to taper as the ecosystem matures.</w:t>
      </w: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Appendix A · The Regulatory-Innovation Instruments Compendium</w:t>
      </w:r>
    </w:p>
    <w:p>
      <w:pPr>
        <w:spacing w:after="200" w:line="288"/>
      </w:pPr>
      <w:r>
        <w:rPr>
          <w:rFonts w:ascii="Georgia" w:cs="Georgia" w:eastAsia="Georgia" w:hAnsi="Georgia"/>
          <w:i/>
          <w:iCs/>
          <w:color w:val="55606E"/>
          <w:sz w:val="22"/>
          <w:szCs w:val="22"/>
        </w:rPr>
        <w:t xml:space="preserve">A working catalogue of the instruments in the toolkit, beyond the headline five. Being able to reach for the right one — and say why — is the practitioner signal.</w:t>
      </w:r>
    </w:p>
    <w:tbl>
      <w:tblPr>
        <w:tblW w:type="dxa" w:w="9360"/>
        <w:tblBorders>
          <w:top w:val="single" w:color="C9D3E0" w:sz="2"/>
          <w:left w:val="none"/>
          <w:bottom w:val="single" w:color="C9D3E0" w:sz="2"/>
          <w:right w:val="none"/>
          <w:insideH w:val="single" w:color="C9D3E0" w:sz="2"/>
          <w:insideV w:val="single" w:color="C9D3E0" w:sz="2"/>
        </w:tblBorders>
      </w:tblPr>
      <w:tblGrid>
        <w:gridCol w:w="2350"/>
        <w:gridCol w:w="4200"/>
        <w:gridCol w:w="2810"/>
      </w:tblGrid>
      <w:tr>
        <w:trPr>
          <w:tblHeader/>
        </w:trPr>
        <w:tc>
          <w:tcPr>
            <w:tcW w:type="dxa" w:w="235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Instrument</w:t>
            </w:r>
          </w:p>
        </w:tc>
        <w:tc>
          <w:tcPr>
            <w:tcW w:type="dxa" w:w="42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What it is</w:t>
            </w:r>
          </w:p>
        </w:tc>
        <w:tc>
          <w:tcPr>
            <w:tcW w:type="dxa" w:w="281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Best when</w:t>
            </w:r>
          </w:p>
        </w:tc>
      </w:tr>
      <w:tr>
        <w:tc>
          <w:tcPr>
            <w:tcW w:type="dxa" w:w="23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Regulatory sandbox</w:t>
            </w:r>
          </w:p>
        </w:tc>
        <w:tc>
          <w:tcPr>
            <w:tcW w:type="dxa" w:w="42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Time-limited live testing with relaxed rules and supervision.</w:t>
            </w:r>
          </w:p>
        </w:tc>
        <w:tc>
          <w:tcPr>
            <w:tcW w:type="dxa" w:w="281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High uncertainty; need real-world evidence.</w:t>
            </w:r>
          </w:p>
        </w:tc>
      </w:tr>
      <w:tr>
        <w:tc>
          <w:tcPr>
            <w:tcW w:type="dxa" w:w="23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Innovation hub / advice</w:t>
            </w:r>
          </w:p>
        </w:tc>
        <w:tc>
          <w:tcPr>
            <w:tcW w:type="dxa" w:w="42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‘front door’ where innovators get informal regulatory guidance.</w:t>
            </w:r>
          </w:p>
        </w:tc>
        <w:tc>
          <w:tcPr>
            <w:tcW w:type="dxa" w:w="281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Lower-intensity than a sandbox; early-stage.</w:t>
            </w:r>
          </w:p>
        </w:tc>
      </w:tr>
      <w:tr>
        <w:tc>
          <w:tcPr>
            <w:tcW w:type="dxa" w:w="23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Testbed / living lab</w:t>
            </w:r>
          </w:p>
        </w:tc>
        <w:tc>
          <w:tcPr>
            <w:tcW w:type="dxa" w:w="42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physical or virtual environment to trial technology at scale.</w:t>
            </w:r>
          </w:p>
        </w:tc>
        <w:tc>
          <w:tcPr>
            <w:tcW w:type="dxa" w:w="281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Hardware, mobility, infrastructure.</w:t>
            </w:r>
          </w:p>
        </w:tc>
      </w:tr>
      <w:tr>
        <w:tc>
          <w:tcPr>
            <w:tcW w:type="dxa" w:w="23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Pilot / policy prototyping</w:t>
            </w:r>
          </w:p>
        </w:tc>
        <w:tc>
          <w:tcPr>
            <w:tcW w:type="dxa" w:w="42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bounded real-world trial of a rule itself.</w:t>
            </w:r>
          </w:p>
        </w:tc>
        <w:tc>
          <w:tcPr>
            <w:tcW w:type="dxa" w:w="281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Testing a regulation before committing.</w:t>
            </w:r>
          </w:p>
        </w:tc>
      </w:tr>
      <w:tr>
        <w:tc>
          <w:tcPr>
            <w:tcW w:type="dxa" w:w="23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Waivers / no-action letters</w:t>
            </w:r>
          </w:p>
        </w:tc>
        <w:tc>
          <w:tcPr>
            <w:tcW w:type="dxa" w:w="42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Regulator forbears from enforcement for a defined activity.</w:t>
            </w:r>
          </w:p>
        </w:tc>
        <w:tc>
          <w:tcPr>
            <w:tcW w:type="dxa" w:w="281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Removing a specific legal blocker fast.</w:t>
            </w:r>
          </w:p>
        </w:tc>
      </w:tr>
      <w:tr>
        <w:tc>
          <w:tcPr>
            <w:tcW w:type="dxa" w:w="23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Outcome-based rules</w:t>
            </w:r>
          </w:p>
        </w:tc>
        <w:tc>
          <w:tcPr>
            <w:tcW w:type="dxa" w:w="42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Specify the goal, not the method.</w:t>
            </w:r>
          </w:p>
        </w:tc>
        <w:tc>
          <w:tcPr>
            <w:tcW w:type="dxa" w:w="281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Fast-moving tech that would date a prescriptive rule.</w:t>
            </w:r>
          </w:p>
        </w:tc>
      </w:tr>
      <w:tr>
        <w:tc>
          <w:tcPr>
            <w:tcW w:type="dxa" w:w="23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Risk-tiering / taxonomy</w:t>
            </w:r>
          </w:p>
        </w:tc>
        <w:tc>
          <w:tcPr>
            <w:tcW w:type="dxa" w:w="42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Classify by risk and regulate proportionately.</w:t>
            </w:r>
          </w:p>
        </w:tc>
        <w:tc>
          <w:tcPr>
            <w:tcW w:type="dxa" w:w="281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Uneven risk across use-cases.</w:t>
            </w:r>
          </w:p>
        </w:tc>
      </w:tr>
      <w:tr>
        <w:tc>
          <w:tcPr>
            <w:tcW w:type="dxa" w:w="23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Standards (de jure/de facto)</w:t>
            </w:r>
          </w:p>
        </w:tc>
        <w:tc>
          <w:tcPr>
            <w:tcW w:type="dxa" w:w="42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Technical norms via ISO/IEC/IEEE or the market.</w:t>
            </w:r>
          </w:p>
        </w:tc>
        <w:tc>
          <w:tcPr>
            <w:tcW w:type="dxa" w:w="281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Cross-border technical alignment; giving soft law teeth.</w:t>
            </w:r>
          </w:p>
        </w:tc>
      </w:tr>
      <w:tr>
        <w:tc>
          <w:tcPr>
            <w:tcW w:type="dxa" w:w="23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Codes of practice</w:t>
            </w:r>
          </w:p>
        </w:tc>
        <w:tc>
          <w:tcPr>
            <w:tcW w:type="dxa" w:w="42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Structured voluntary commitments, often regulator-blessed.</w:t>
            </w:r>
          </w:p>
        </w:tc>
        <w:tc>
          <w:tcPr>
            <w:tcW w:type="dxa" w:w="281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Building consensus ahead of binding law.</w:t>
            </w:r>
          </w:p>
        </w:tc>
      </w:tr>
      <w:tr>
        <w:tc>
          <w:tcPr>
            <w:tcW w:type="dxa" w:w="23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Certification / conformity assessment</w:t>
            </w:r>
          </w:p>
        </w:tc>
        <w:tc>
          <w:tcPr>
            <w:tcW w:type="dxa" w:w="42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Third-party attestation against a standard.</w:t>
            </w:r>
          </w:p>
        </w:tc>
        <w:tc>
          <w:tcPr>
            <w:tcW w:type="dxa" w:w="281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Assuring safety of a product before market.</w:t>
            </w:r>
          </w:p>
        </w:tc>
      </w:tr>
      <w:tr>
        <w:tc>
          <w:tcPr>
            <w:tcW w:type="dxa" w:w="23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Licensing / authorisation</w:t>
            </w:r>
          </w:p>
        </w:tc>
        <w:tc>
          <w:tcPr>
            <w:tcW w:type="dxa" w:w="42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Permission to operate, sometimes staged.</w:t>
            </w:r>
          </w:p>
        </w:tc>
        <w:tc>
          <w:tcPr>
            <w:tcW w:type="dxa" w:w="281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High-hazard activities; gatekeeping.</w:t>
            </w:r>
          </w:p>
        </w:tc>
      </w:tr>
      <w:tr>
        <w:tc>
          <w:tcPr>
            <w:tcW w:type="dxa" w:w="23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Disclosure / transparency duties</w:t>
            </w:r>
          </w:p>
        </w:tc>
        <w:tc>
          <w:tcPr>
            <w:tcW w:type="dxa" w:w="42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Mandated information (labels, model cards, registries).</w:t>
            </w:r>
          </w:p>
        </w:tc>
        <w:tc>
          <w:tcPr>
            <w:tcW w:type="dxa" w:w="281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Information asymmetries; limited-risk tech.</w:t>
            </w:r>
          </w:p>
        </w:tc>
      </w:tr>
      <w:tr>
        <w:tc>
          <w:tcPr>
            <w:tcW w:type="dxa" w:w="23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Liability regimes / insurance pools</w:t>
            </w:r>
          </w:p>
        </w:tc>
        <w:tc>
          <w:tcPr>
            <w:tcW w:type="dxa" w:w="42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Allocate who pays when harm occurs.</w:t>
            </w:r>
          </w:p>
        </w:tc>
        <w:tc>
          <w:tcPr>
            <w:tcW w:type="dxa" w:w="281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Autonomous systems; novel-harm technologies.</w:t>
            </w:r>
          </w:p>
        </w:tc>
      </w:tr>
      <w:tr>
        <w:tc>
          <w:tcPr>
            <w:tcW w:type="dxa" w:w="23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Sunset clauses / mandatory review</w:t>
            </w:r>
          </w:p>
        </w:tc>
        <w:tc>
          <w:tcPr>
            <w:tcW w:type="dxa" w:w="42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Rules expire or must be re-appraised.</w:t>
            </w:r>
          </w:p>
        </w:tc>
        <w:tc>
          <w:tcPr>
            <w:tcW w:type="dxa" w:w="281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Building adaptivity into any regime.</w:t>
            </w:r>
          </w:p>
        </w:tc>
      </w:tr>
      <w:tr>
        <w:tc>
          <w:tcPr>
            <w:tcW w:type="dxa" w:w="23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Moratoria / bans</w:t>
            </w:r>
          </w:p>
        </w:tc>
        <w:tc>
          <w:tcPr>
            <w:tcW w:type="dxa" w:w="42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Prohibit an activity, temporarily or permanently.</w:t>
            </w:r>
          </w:p>
        </w:tc>
        <w:tc>
          <w:tcPr>
            <w:tcW w:type="dxa" w:w="281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Catastrophic, irreversible risk (e.g. SRM, germline).</w:t>
            </w:r>
          </w:p>
        </w:tc>
      </w:tr>
      <w:tr>
        <w:tc>
          <w:tcPr>
            <w:tcW w:type="dxa" w:w="23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RegTech / SupTech</w:t>
            </w:r>
          </w:p>
        </w:tc>
        <w:tc>
          <w:tcPr>
            <w:tcW w:type="dxa" w:w="42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Automated compliance and supervision; machine-readable rules.</w:t>
            </w:r>
          </w:p>
        </w:tc>
        <w:tc>
          <w:tcPr>
            <w:tcW w:type="dxa" w:w="281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Scale supervision; continuous oversight.</w:t>
            </w:r>
          </w:p>
        </w:tc>
      </w:tr>
      <w:tr>
        <w:tc>
          <w:tcPr>
            <w:tcW w:type="dxa" w:w="23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International cooperation / mutual recognition</w:t>
            </w:r>
          </w:p>
        </w:tc>
        <w:tc>
          <w:tcPr>
            <w:tcW w:type="dxa" w:w="42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Align or recognise across borders.</w:t>
            </w:r>
          </w:p>
        </w:tc>
        <w:tc>
          <w:tcPr>
            <w:tcW w:type="dxa" w:w="281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Borderless technologies; interoperability.</w:t>
            </w:r>
          </w:p>
        </w:tc>
      </w:tr>
      <w:tr>
        <w:tc>
          <w:tcPr>
            <w:tcW w:type="dxa" w:w="23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Regulatory foresight / horizon scanning</w:t>
            </w:r>
          </w:p>
        </w:tc>
        <w:tc>
          <w:tcPr>
            <w:tcW w:type="dxa" w:w="42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Structured anticipation of what is coming.</w:t>
            </w:r>
          </w:p>
        </w:tc>
        <w:tc>
          <w:tcPr>
            <w:tcW w:type="dxa" w:w="281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Feeding the whole adaptive cycle.</w:t>
            </w:r>
          </w:p>
        </w:tc>
      </w:tr>
    </w:tbl>
    <w:p>
      <w:pPr>
        <w:spacing w:after="80"/>
      </w:pP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Appendix B · Domain Reference Mini-Cases</w:t>
      </w:r>
    </w:p>
    <w:p>
      <w:pPr>
        <w:spacing w:after="200" w:line="288"/>
      </w:pPr>
      <w:r>
        <w:rPr>
          <w:rFonts w:ascii="Georgia" w:cs="Georgia" w:eastAsia="Georgia" w:hAnsi="Georgia"/>
          <w:i/>
          <w:iCs/>
          <w:color w:val="55606E"/>
          <w:sz w:val="22"/>
          <w:szCs w:val="22"/>
        </w:rPr>
        <w:t xml:space="preserve">Five real governance interventions, each documented in the reference-case format — what was done, what made it work, what is transferable — so you can deploy a concrete example in any answer and model the replication logic your role is built on.</w:t>
      </w:r>
    </w:p>
    <w:p>
      <w:pPr>
        <w:pStyle w:val="Heading3"/>
        <w:spacing w:after="70" w:before="160"/>
      </w:pPr>
      <w:r>
        <w:rPr>
          <w:rFonts w:ascii="Calibri" w:cs="Calibri" w:eastAsia="Calibri" w:hAnsi="Calibri"/>
          <w:b/>
          <w:bCs/>
          <w:color w:val="1F2A44"/>
          <w:sz w:val="22"/>
          <w:szCs w:val="22"/>
        </w:rPr>
        <w:t xml:space="preserve">B1 · AI — the EU AI Act as a governance experiment</w:t>
      </w:r>
    </w:p>
    <w:p>
      <w:pPr>
        <w:spacing w:after="140" w:line="276"/>
        <w:jc w:val="both"/>
      </w:pPr>
      <w:r>
        <w:rPr>
          <w:rFonts w:ascii="Georgia" w:cs="Georgia" w:eastAsia="Georgia" w:hAnsi="Georgia"/>
          <w:b/>
          <w:bCs/>
          <w:color w:val="1A1A1A"/>
          <w:sz w:val="21"/>
          <w:szCs w:val="21"/>
        </w:rPr>
        <w:t xml:space="preserve">What was done:</w:t>
      </w:r>
      <w:r>
        <w:rPr>
          <w:rFonts w:ascii="Georgia" w:cs="Georgia" w:eastAsia="Georgia" w:hAnsi="Georgia"/>
          <w:color w:val="1A1A1A"/>
          <w:sz w:val="21"/>
          <w:szCs w:val="21"/>
        </w:rPr>
        <w:t xml:space="preserve"> the EU built the first comprehensive, risk-tiered horizontal AI law, pairing binding obligations with a voluntary GPAI Code of Practice and mandated national sandboxes. </w:t>
      </w:r>
      <w:r>
        <w:rPr>
          <w:rFonts w:ascii="Georgia" w:cs="Georgia" w:eastAsia="Georgia" w:hAnsi="Georgia"/>
          <w:b/>
          <w:bCs/>
          <w:color w:val="1A1A1A"/>
          <w:sz w:val="21"/>
          <w:szCs w:val="21"/>
        </w:rPr>
        <w:t xml:space="preserve">What made it work (so far):</w:t>
      </w:r>
      <w:r>
        <w:rPr>
          <w:rFonts w:ascii="Georgia" w:cs="Georgia" w:eastAsia="Georgia" w:hAnsi="Georgia"/>
          <w:color w:val="1A1A1A"/>
          <w:sz w:val="21"/>
          <w:szCs w:val="21"/>
        </w:rPr>
        <w:t xml:space="preserve"> a large single market that gives the rules global reach, a phased timeline that buys implementation time, and a standards backbone (CEN-CENELEC) supplying technical detail. </w:t>
      </w:r>
      <w:r>
        <w:rPr>
          <w:rFonts w:ascii="Georgia" w:cs="Georgia" w:eastAsia="Georgia" w:hAnsi="Georgia"/>
          <w:b/>
          <w:bCs/>
          <w:color w:val="1A1A1A"/>
          <w:sz w:val="21"/>
          <w:szCs w:val="21"/>
        </w:rPr>
        <w:t xml:space="preserve">What is transferable:</w:t>
      </w:r>
      <w:r>
        <w:rPr>
          <w:rFonts w:ascii="Georgia" w:cs="Georgia" w:eastAsia="Georgia" w:hAnsi="Georgia"/>
          <w:color w:val="1A1A1A"/>
          <w:sz w:val="21"/>
          <w:szCs w:val="21"/>
        </w:rPr>
        <w:t xml:space="preserve"> the risk-tiering logic and the soft-law-to-hard-law sequencing. </w:t>
      </w:r>
      <w:r>
        <w:rPr>
          <w:rFonts w:ascii="Georgia" w:cs="Georgia" w:eastAsia="Georgia" w:hAnsi="Georgia"/>
          <w:b/>
          <w:bCs/>
          <w:color w:val="1A1A1A"/>
          <w:sz w:val="21"/>
          <w:szCs w:val="21"/>
        </w:rPr>
        <w:t xml:space="preserve">What to watch / adapt:</w:t>
      </w:r>
      <w:r>
        <w:rPr>
          <w:rFonts w:ascii="Georgia" w:cs="Georgia" w:eastAsia="Georgia" w:hAnsi="Georgia"/>
          <w:color w:val="1A1A1A"/>
          <w:sz w:val="21"/>
          <w:szCs w:val="21"/>
        </w:rPr>
        <w:t xml:space="preserve"> classification gaming, standards delays, and the competitiveness backlash — a jurisdiction with less market power cannot rely on a Brussels effect and should lean harder on interoperability.</w:t>
      </w:r>
    </w:p>
    <w:p>
      <w:pPr>
        <w:pStyle w:val="Heading3"/>
        <w:spacing w:after="70" w:before="160"/>
      </w:pPr>
      <w:r>
        <w:rPr>
          <w:rFonts w:ascii="Calibri" w:cs="Calibri" w:eastAsia="Calibri" w:hAnsi="Calibri"/>
          <w:b/>
          <w:bCs/>
          <w:color w:val="1F2A44"/>
          <w:sz w:val="22"/>
          <w:szCs w:val="22"/>
        </w:rPr>
        <w:t xml:space="preserve">B2 · Quantum — the post-quantum cryptography migration</w:t>
      </w:r>
    </w:p>
    <w:p>
      <w:pPr>
        <w:spacing w:after="140" w:line="276"/>
        <w:jc w:val="both"/>
      </w:pPr>
      <w:r>
        <w:rPr>
          <w:rFonts w:ascii="Georgia" w:cs="Georgia" w:eastAsia="Georgia" w:hAnsi="Georgia"/>
          <w:b/>
          <w:bCs/>
          <w:color w:val="1A1A1A"/>
          <w:sz w:val="21"/>
          <w:szCs w:val="21"/>
        </w:rPr>
        <w:t xml:space="preserve">What was done:</w:t>
      </w:r>
      <w:r>
        <w:rPr>
          <w:rFonts w:ascii="Georgia" w:cs="Georgia" w:eastAsia="Georgia" w:hAnsi="Georgia"/>
          <w:color w:val="1A1A1A"/>
          <w:sz w:val="21"/>
          <w:szCs w:val="21"/>
        </w:rPr>
        <w:t xml:space="preserve"> NIST ran a multi-year, open, international competition to standardise quantum-resistant cryptography, finalising the first standards in 2024, while governments mandated migration timelines. </w:t>
      </w:r>
      <w:r>
        <w:rPr>
          <w:rFonts w:ascii="Georgia" w:cs="Georgia" w:eastAsia="Georgia" w:hAnsi="Georgia"/>
          <w:b/>
          <w:bCs/>
          <w:color w:val="1A1A1A"/>
          <w:sz w:val="21"/>
          <w:szCs w:val="21"/>
        </w:rPr>
        <w:t xml:space="preserve">What made it work:</w:t>
      </w:r>
      <w:r>
        <w:rPr>
          <w:rFonts w:ascii="Georgia" w:cs="Georgia" w:eastAsia="Georgia" w:hAnsi="Georgia"/>
          <w:color w:val="1A1A1A"/>
          <w:sz w:val="21"/>
          <w:szCs w:val="21"/>
        </w:rPr>
        <w:t xml:space="preserve"> a clear, bounded technical problem; an open process that built global trust; and a concrete deadline logic (‘harvest now, decrypt later’). </w:t>
      </w:r>
      <w:r>
        <w:rPr>
          <w:rFonts w:ascii="Georgia" w:cs="Georgia" w:eastAsia="Georgia" w:hAnsi="Georgia"/>
          <w:b/>
          <w:bCs/>
          <w:color w:val="1A1A1A"/>
          <w:sz w:val="21"/>
          <w:szCs w:val="21"/>
        </w:rPr>
        <w:t xml:space="preserve">What is transferable:</w:t>
      </w:r>
      <w:r>
        <w:rPr>
          <w:rFonts w:ascii="Georgia" w:cs="Georgia" w:eastAsia="Georgia" w:hAnsi="Georgia"/>
          <w:color w:val="1A1A1A"/>
          <w:sz w:val="21"/>
          <w:szCs w:val="21"/>
        </w:rPr>
        <w:t xml:space="preserve"> anticipatory governance done well — acting years before the risk materialises, via a neutral standard-setter and a migration roadmap. </w:t>
      </w:r>
      <w:r>
        <w:rPr>
          <w:rFonts w:ascii="Georgia" w:cs="Georgia" w:eastAsia="Georgia" w:hAnsi="Georgia"/>
          <w:b/>
          <w:bCs/>
          <w:color w:val="1A1A1A"/>
          <w:sz w:val="21"/>
          <w:szCs w:val="21"/>
        </w:rPr>
        <w:t xml:space="preserve">The convening lesson for you:</w:t>
      </w:r>
      <w:r>
        <w:rPr>
          <w:rFonts w:ascii="Georgia" w:cs="Georgia" w:eastAsia="Georgia" w:hAnsi="Georgia"/>
          <w:color w:val="1A1A1A"/>
          <w:sz w:val="21"/>
          <w:szCs w:val="21"/>
        </w:rPr>
        <w:t xml:space="preserve"> a technical, non-partisan agenda where a neutral platform can coordinate is the ideal beachhead for a new workstream.</w:t>
      </w:r>
    </w:p>
    <w:p>
      <w:pPr>
        <w:pStyle w:val="Heading3"/>
        <w:spacing w:after="70" w:before="160"/>
      </w:pPr>
      <w:r>
        <w:rPr>
          <w:rFonts w:ascii="Calibri" w:cs="Calibri" w:eastAsia="Calibri" w:hAnsi="Calibri"/>
          <w:b/>
          <w:bCs/>
          <w:color w:val="1F2A44"/>
          <w:sz w:val="22"/>
          <w:szCs w:val="22"/>
        </w:rPr>
        <w:t xml:space="preserve">B3 · Biotechnology — DNA-synthesis screening norms</w:t>
      </w:r>
    </w:p>
    <w:p>
      <w:pPr>
        <w:spacing w:after="140" w:line="276"/>
        <w:jc w:val="both"/>
      </w:pPr>
      <w:r>
        <w:rPr>
          <w:rFonts w:ascii="Georgia" w:cs="Georgia" w:eastAsia="Georgia" w:hAnsi="Georgia"/>
          <w:b/>
          <w:bCs/>
          <w:color w:val="1A1A1A"/>
          <w:sz w:val="21"/>
          <w:szCs w:val="21"/>
        </w:rPr>
        <w:t xml:space="preserve">What was done:</w:t>
      </w:r>
      <w:r>
        <w:rPr>
          <w:rFonts w:ascii="Georgia" w:cs="Georgia" w:eastAsia="Georgia" w:hAnsi="Georgia"/>
          <w:color w:val="1A1A1A"/>
          <w:sz w:val="21"/>
          <w:szCs w:val="21"/>
        </w:rPr>
        <w:t xml:space="preserve"> industry (the International Gene Synthesis Consortium), with governments and NGOs, built voluntary screening of synthesis orders against known threat sequences. </w:t>
      </w:r>
      <w:r>
        <w:rPr>
          <w:rFonts w:ascii="Georgia" w:cs="Georgia" w:eastAsia="Georgia" w:hAnsi="Georgia"/>
          <w:b/>
          <w:bCs/>
          <w:color w:val="1A1A1A"/>
          <w:sz w:val="21"/>
          <w:szCs w:val="21"/>
        </w:rPr>
        <w:t xml:space="preserve">What made it work:</w:t>
      </w:r>
      <w:r>
        <w:rPr>
          <w:rFonts w:ascii="Georgia" w:cs="Georgia" w:eastAsia="Georgia" w:hAnsi="Georgia"/>
          <w:color w:val="1A1A1A"/>
          <w:sz w:val="21"/>
          <w:szCs w:val="21"/>
        </w:rPr>
        <w:t xml:space="preserve"> a concentrated set of providers, shared reputational interest, and light-touch coordination. </w:t>
      </w:r>
      <w:r>
        <w:rPr>
          <w:rFonts w:ascii="Georgia" w:cs="Georgia" w:eastAsia="Georgia" w:hAnsi="Georgia"/>
          <w:b/>
          <w:bCs/>
          <w:color w:val="1A1A1A"/>
          <w:sz w:val="21"/>
          <w:szCs w:val="21"/>
        </w:rPr>
        <w:t xml:space="preserve">What is failing now:</w:t>
      </w:r>
      <w:r>
        <w:rPr>
          <w:rFonts w:ascii="Georgia" w:cs="Georgia" w:eastAsia="Georgia" w:hAnsi="Georgia"/>
          <w:color w:val="1A1A1A"/>
          <w:sz w:val="21"/>
          <w:szCs w:val="21"/>
        </w:rPr>
        <w:t xml:space="preserve"> AI-designed novel sequences evade sequence-matching, so the safeguard is being outrun — the live governance frontier. </w:t>
      </w:r>
      <w:r>
        <w:rPr>
          <w:rFonts w:ascii="Georgia" w:cs="Georgia" w:eastAsia="Georgia" w:hAnsi="Georgia"/>
          <w:b/>
          <w:bCs/>
          <w:color w:val="1A1A1A"/>
          <w:sz w:val="21"/>
          <w:szCs w:val="21"/>
        </w:rPr>
        <w:t xml:space="preserve">What is transferable:</w:t>
      </w:r>
      <w:r>
        <w:rPr>
          <w:rFonts w:ascii="Georgia" w:cs="Georgia" w:eastAsia="Georgia" w:hAnsi="Georgia"/>
          <w:color w:val="1A1A1A"/>
          <w:sz w:val="21"/>
          <w:szCs w:val="21"/>
        </w:rPr>
        <w:t xml:space="preserve"> collaborative regulation among a small provider set; </w:t>
      </w:r>
      <w:r>
        <w:rPr>
          <w:rFonts w:ascii="Georgia" w:cs="Georgia" w:eastAsia="Georgia" w:hAnsi="Georgia"/>
          <w:b/>
          <w:bCs/>
          <w:color w:val="1A1A1A"/>
          <w:sz w:val="21"/>
          <w:szCs w:val="21"/>
        </w:rPr>
        <w:t xml:space="preserve">the caution:</w:t>
      </w:r>
      <w:r>
        <w:rPr>
          <w:rFonts w:ascii="Georgia" w:cs="Georgia" w:eastAsia="Georgia" w:hAnsi="Georgia"/>
          <w:color w:val="1A1A1A"/>
          <w:sz w:val="21"/>
          <w:szCs w:val="21"/>
        </w:rPr>
        <w:t xml:space="preserve"> where the downside is catastrophic, voluntary norms need a path to binding standards.</w:t>
      </w:r>
    </w:p>
    <w:p>
      <w:pPr>
        <w:pStyle w:val="Heading3"/>
        <w:spacing w:after="70" w:before="160"/>
      </w:pPr>
      <w:r>
        <w:rPr>
          <w:rFonts w:ascii="Calibri" w:cs="Calibri" w:eastAsia="Calibri" w:hAnsi="Calibri"/>
          <w:b/>
          <w:bCs/>
          <w:color w:val="1F2A44"/>
          <w:sz w:val="22"/>
          <w:szCs w:val="22"/>
        </w:rPr>
        <w:t xml:space="preserve">B4 · Autonomous mobility — the UNECE safety-case approach</w:t>
      </w:r>
    </w:p>
    <w:p>
      <w:pPr>
        <w:spacing w:after="140" w:line="276"/>
        <w:jc w:val="both"/>
      </w:pPr>
      <w:r>
        <w:rPr>
          <w:rFonts w:ascii="Georgia" w:cs="Georgia" w:eastAsia="Georgia" w:hAnsi="Georgia"/>
          <w:b/>
          <w:bCs/>
          <w:color w:val="1A1A1A"/>
          <w:sz w:val="21"/>
          <w:szCs w:val="21"/>
        </w:rPr>
        <w:t xml:space="preserve">What was done:</w:t>
      </w:r>
      <w:r>
        <w:rPr>
          <w:rFonts w:ascii="Georgia" w:cs="Georgia" w:eastAsia="Georgia" w:hAnsi="Georgia"/>
          <w:color w:val="1A1A1A"/>
          <w:sz w:val="21"/>
          <w:szCs w:val="21"/>
        </w:rPr>
        <w:t xml:space="preserve"> UNECE’s GRVA moved vehicle approval from fixed, prescriptive type-approval toward a </w:t>
      </w:r>
      <w:r>
        <w:rPr>
          <w:rFonts w:ascii="Georgia" w:cs="Georgia" w:eastAsia="Georgia" w:hAnsi="Georgia"/>
          <w:b/>
          <w:bCs/>
          <w:color w:val="1A1A1A"/>
          <w:sz w:val="21"/>
          <w:szCs w:val="21"/>
        </w:rPr>
        <w:t xml:space="preserve">safety-case</w:t>
      </w:r>
      <w:r>
        <w:rPr>
          <w:rFonts w:ascii="Georgia" w:cs="Georgia" w:eastAsia="Georgia" w:hAnsi="Georgia"/>
          <w:color w:val="1A1A1A"/>
          <w:sz w:val="21"/>
          <w:szCs w:val="21"/>
        </w:rPr>
        <w:t xml:space="preserve"> model — the manufacturer must argue, with evidence, that the system is acceptably safe within a defined operational design domain — culminating in the 2026 UN ADS regulation. </w:t>
      </w:r>
      <w:r>
        <w:rPr>
          <w:rFonts w:ascii="Georgia" w:cs="Georgia" w:eastAsia="Georgia" w:hAnsi="Georgia"/>
          <w:b/>
          <w:bCs/>
          <w:color w:val="1A1A1A"/>
          <w:sz w:val="21"/>
          <w:szCs w:val="21"/>
        </w:rPr>
        <w:t xml:space="preserve">What made it work:</w:t>
      </w:r>
      <w:r>
        <w:rPr>
          <w:rFonts w:ascii="Georgia" w:cs="Georgia" w:eastAsia="Georgia" w:hAnsi="Georgia"/>
          <w:color w:val="1A1A1A"/>
          <w:sz w:val="21"/>
          <w:szCs w:val="21"/>
        </w:rPr>
        <w:t xml:space="preserve"> an existing international harmonisation forum (WP.29) and a shared safety vocabulary (SAE levels). </w:t>
      </w:r>
      <w:r>
        <w:rPr>
          <w:rFonts w:ascii="Georgia" w:cs="Georgia" w:eastAsia="Georgia" w:hAnsi="Georgia"/>
          <w:b/>
          <w:bCs/>
          <w:color w:val="1A1A1A"/>
          <w:sz w:val="21"/>
          <w:szCs w:val="21"/>
        </w:rPr>
        <w:t xml:space="preserve">What is transferable:</w:t>
      </w:r>
      <w:r>
        <w:rPr>
          <w:rFonts w:ascii="Georgia" w:cs="Georgia" w:eastAsia="Georgia" w:hAnsi="Georgia"/>
          <w:color w:val="1A1A1A"/>
          <w:sz w:val="21"/>
          <w:szCs w:val="21"/>
        </w:rPr>
        <w:t xml:space="preserve"> outcome-based certification for systems that learn and change after deployment. </w:t>
      </w:r>
      <w:r>
        <w:rPr>
          <w:rFonts w:ascii="Georgia" w:cs="Georgia" w:eastAsia="Georgia" w:hAnsi="Georgia"/>
          <w:b/>
          <w:bCs/>
          <w:color w:val="1A1A1A"/>
          <w:sz w:val="21"/>
          <w:szCs w:val="21"/>
        </w:rPr>
        <w:t xml:space="preserve">The gap:</w:t>
      </w:r>
      <w:r>
        <w:rPr>
          <w:rFonts w:ascii="Georgia" w:cs="Georgia" w:eastAsia="Georgia" w:hAnsi="Georgia"/>
          <w:color w:val="1A1A1A"/>
          <w:sz w:val="21"/>
          <w:szCs w:val="21"/>
        </w:rPr>
        <w:t xml:space="preserve"> liability allocation remains unresolved (the EU withdrew its AI Liability Directive).</w:t>
      </w:r>
    </w:p>
    <w:p>
      <w:pPr>
        <w:pStyle w:val="Heading3"/>
        <w:spacing w:after="70" w:before="160"/>
      </w:pPr>
      <w:r>
        <w:rPr>
          <w:rFonts w:ascii="Calibri" w:cs="Calibri" w:eastAsia="Calibri" w:hAnsi="Calibri"/>
          <w:b/>
          <w:bCs/>
          <w:color w:val="1F2A44"/>
          <w:sz w:val="22"/>
          <w:szCs w:val="22"/>
        </w:rPr>
        <w:t xml:space="preserve">B5 · Planetary systems — solar-geoengineering governance by moratorium</w:t>
      </w:r>
    </w:p>
    <w:p>
      <w:pPr>
        <w:spacing w:after="140" w:line="276"/>
        <w:jc w:val="both"/>
      </w:pPr>
      <w:r>
        <w:rPr>
          <w:rFonts w:ascii="Georgia" w:cs="Georgia" w:eastAsia="Georgia" w:hAnsi="Georgia"/>
          <w:b/>
          <w:bCs/>
          <w:color w:val="1A1A1A"/>
          <w:sz w:val="21"/>
          <w:szCs w:val="21"/>
        </w:rPr>
        <w:t xml:space="preserve">What was done:</w:t>
      </w:r>
      <w:r>
        <w:rPr>
          <w:rFonts w:ascii="Georgia" w:cs="Georgia" w:eastAsia="Georgia" w:hAnsi="Georgia"/>
          <w:color w:val="1A1A1A"/>
          <w:sz w:val="21"/>
          <w:szCs w:val="21"/>
        </w:rPr>
        <w:t xml:space="preserve"> in the absence of a treaty, governance has proceeded by soft instruments — a CBD deployment moratorium, a scientist-led Non-Use Agreement, and regional rejections — alongside a countervailing push to govern </w:t>
      </w:r>
      <w:r>
        <w:rPr>
          <w:rFonts w:ascii="Georgia" w:cs="Georgia" w:eastAsia="Georgia" w:hAnsi="Georgia"/>
          <w:i/>
          <w:iCs/>
          <w:color w:val="1A1A1A"/>
          <w:sz w:val="21"/>
          <w:szCs w:val="21"/>
        </w:rPr>
        <w:t xml:space="preserve">research</w:t>
      </w:r>
      <w:r>
        <w:rPr>
          <w:rFonts w:ascii="Georgia" w:cs="Georgia" w:eastAsia="Georgia" w:hAnsi="Georgia"/>
          <w:color w:val="1A1A1A"/>
          <w:sz w:val="21"/>
          <w:szCs w:val="21"/>
        </w:rPr>
        <w:t xml:space="preserve"> transparently. </w:t>
      </w:r>
      <w:r>
        <w:rPr>
          <w:rFonts w:ascii="Georgia" w:cs="Georgia" w:eastAsia="Georgia" w:hAnsi="Georgia"/>
          <w:b/>
          <w:bCs/>
          <w:color w:val="1A1A1A"/>
          <w:sz w:val="21"/>
          <w:szCs w:val="21"/>
        </w:rPr>
        <w:t xml:space="preserve">What made it work (as far as it has):</w:t>
      </w:r>
      <w:r>
        <w:rPr>
          <w:rFonts w:ascii="Georgia" w:cs="Georgia" w:eastAsia="Georgia" w:hAnsi="Georgia"/>
          <w:color w:val="1A1A1A"/>
          <w:sz w:val="21"/>
          <w:szCs w:val="21"/>
        </w:rPr>
        <w:t xml:space="preserve"> the legitimacy of scientific consensus and civil-society mobilisation. </w:t>
      </w:r>
      <w:r>
        <w:rPr>
          <w:rFonts w:ascii="Georgia" w:cs="Georgia" w:eastAsia="Georgia" w:hAnsi="Georgia"/>
          <w:b/>
          <w:bCs/>
          <w:color w:val="1A1A1A"/>
          <w:sz w:val="21"/>
          <w:szCs w:val="21"/>
        </w:rPr>
        <w:t xml:space="preserve">What it exposes:</w:t>
      </w:r>
      <w:r>
        <w:rPr>
          <w:rFonts w:ascii="Georgia" w:cs="Georgia" w:eastAsia="Georgia" w:hAnsi="Georgia"/>
          <w:color w:val="1A1A1A"/>
          <w:sz w:val="21"/>
          <w:szCs w:val="21"/>
        </w:rPr>
        <w:t xml:space="preserve"> the limits of soft law for a planet-scale, single-actor-deployable, irreversible risk with no legitimate global authority. </w:t>
      </w:r>
      <w:r>
        <w:rPr>
          <w:rFonts w:ascii="Georgia" w:cs="Georgia" w:eastAsia="Georgia" w:hAnsi="Georgia"/>
          <w:b/>
          <w:bCs/>
          <w:color w:val="1A1A1A"/>
          <w:sz w:val="21"/>
          <w:szCs w:val="21"/>
        </w:rPr>
        <w:t xml:space="preserve">The transferable judgement:</w:t>
      </w:r>
      <w:r>
        <w:rPr>
          <w:rFonts w:ascii="Georgia" w:cs="Georgia" w:eastAsia="Georgia" w:hAnsi="Georgia"/>
          <w:color w:val="1A1A1A"/>
          <w:sz w:val="21"/>
          <w:szCs w:val="21"/>
        </w:rPr>
        <w:t xml:space="preserve"> name when agility and voluntarism are the wrong tools, and precaution plus legitimacy must lead.</w:t>
      </w: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Appendix C · Two Adjacent Domains to Master</w:t>
      </w:r>
    </w:p>
    <w:p>
      <w:pPr>
        <w:pStyle w:val="Heading2"/>
        <w:spacing w:after="100" w:before="220"/>
      </w:pPr>
      <w:r>
        <w:rPr>
          <w:rFonts w:ascii="Calibri" w:cs="Calibri" w:eastAsia="Calibri" w:hAnsi="Calibri"/>
          <w:b/>
          <w:bCs/>
          <w:color w:val="2F5D8A"/>
          <w:sz w:val="25"/>
          <w:szCs w:val="25"/>
        </w:rPr>
        <w:t xml:space="preserve">C1 · Cybersecurity — the connective risk</w:t>
      </w:r>
    </w:p>
    <w:p>
      <w:pPr>
        <w:spacing w:after="140" w:line="276"/>
        <w:jc w:val="both"/>
      </w:pPr>
      <w:r>
        <w:rPr>
          <w:rFonts w:ascii="Georgia" w:cs="Georgia" w:eastAsia="Georgia" w:hAnsi="Georgia"/>
          <w:color w:val="1A1A1A"/>
          <w:sz w:val="21"/>
          <w:szCs w:val="21"/>
        </w:rPr>
        <w:t xml:space="preserve">Cybersecurity is the risk that runs under every connected frontier technology, and the Centre for Cybersecurity is a named partner in your JD. The primer: the shift from perimeter defence to </w:t>
      </w:r>
      <w:r>
        <w:rPr>
          <w:rFonts w:ascii="Georgia" w:cs="Georgia" w:eastAsia="Georgia" w:hAnsi="Georgia"/>
          <w:b/>
          <w:bCs/>
          <w:color w:val="1A1A1A"/>
          <w:sz w:val="21"/>
          <w:szCs w:val="21"/>
        </w:rPr>
        <w:t xml:space="preserve">zero-trust</w:t>
      </w:r>
      <w:r>
        <w:rPr>
          <w:rFonts w:ascii="Georgia" w:cs="Georgia" w:eastAsia="Georgia" w:hAnsi="Georgia"/>
          <w:color w:val="1A1A1A"/>
          <w:sz w:val="21"/>
          <w:szCs w:val="21"/>
        </w:rPr>
        <w:t xml:space="preserve"> architectures; </w:t>
      </w:r>
      <w:r>
        <w:rPr>
          <w:rFonts w:ascii="Georgia" w:cs="Georgia" w:eastAsia="Georgia" w:hAnsi="Georgia"/>
          <w:b/>
          <w:bCs/>
          <w:color w:val="1A1A1A"/>
          <w:sz w:val="21"/>
          <w:szCs w:val="21"/>
        </w:rPr>
        <w:t xml:space="preserve">supply-chain</w:t>
      </w:r>
      <w:r>
        <w:rPr>
          <w:rFonts w:ascii="Georgia" w:cs="Georgia" w:eastAsia="Georgia" w:hAnsi="Georgia"/>
          <w:color w:val="1A1A1A"/>
          <w:sz w:val="21"/>
          <w:szCs w:val="21"/>
        </w:rPr>
        <w:t xml:space="preserve"> and software-bill-of-materials (SBOM) risk; </w:t>
      </w:r>
      <w:r>
        <w:rPr>
          <w:rFonts w:ascii="Georgia" w:cs="Georgia" w:eastAsia="Georgia" w:hAnsi="Georgia"/>
          <w:b/>
          <w:bCs/>
          <w:color w:val="1A1A1A"/>
          <w:sz w:val="21"/>
          <w:szCs w:val="21"/>
        </w:rPr>
        <w:t xml:space="preserve">operational-technology (OT)</w:t>
      </w:r>
      <w:r>
        <w:rPr>
          <w:rFonts w:ascii="Georgia" w:cs="Georgia" w:eastAsia="Georgia" w:hAnsi="Georgia"/>
          <w:color w:val="1A1A1A"/>
          <w:sz w:val="21"/>
          <w:szCs w:val="21"/>
        </w:rPr>
        <w:t xml:space="preserve"> security as factories and infrastructure connect; and the coming </w:t>
      </w:r>
      <w:r>
        <w:rPr>
          <w:rFonts w:ascii="Georgia" w:cs="Georgia" w:eastAsia="Georgia" w:hAnsi="Georgia"/>
          <w:b/>
          <w:bCs/>
          <w:color w:val="1A1A1A"/>
          <w:sz w:val="21"/>
          <w:szCs w:val="21"/>
        </w:rPr>
        <w:t xml:space="preserve">quantum threat</w:t>
      </w:r>
      <w:r>
        <w:rPr>
          <w:rFonts w:ascii="Georgia" w:cs="Georgia" w:eastAsia="Georgia" w:hAnsi="Georgia"/>
          <w:color w:val="1A1A1A"/>
          <w:sz w:val="21"/>
          <w:szCs w:val="21"/>
        </w:rPr>
        <w:t xml:space="preserve"> to cryptography. The governance landscape: the EU’s </w:t>
      </w:r>
      <w:r>
        <w:rPr>
          <w:rFonts w:ascii="Georgia" w:cs="Georgia" w:eastAsia="Georgia" w:hAnsi="Georgia"/>
          <w:b/>
          <w:bCs/>
          <w:color w:val="1A1A1A"/>
          <w:sz w:val="21"/>
          <w:szCs w:val="21"/>
        </w:rPr>
        <w:t xml:space="preserve">NIS2 Directive</w:t>
      </w:r>
      <w:r>
        <w:rPr>
          <w:rFonts w:ascii="Georgia" w:cs="Georgia" w:eastAsia="Georgia" w:hAnsi="Georgia"/>
          <w:color w:val="1A1A1A"/>
          <w:sz w:val="21"/>
          <w:szCs w:val="21"/>
        </w:rPr>
        <w:t xml:space="preserve"> (raising cyber-resilience obligations across critical sectors), the </w:t>
      </w:r>
      <w:r>
        <w:rPr>
          <w:rFonts w:ascii="Georgia" w:cs="Georgia" w:eastAsia="Georgia" w:hAnsi="Georgia"/>
          <w:b/>
          <w:bCs/>
          <w:color w:val="1A1A1A"/>
          <w:sz w:val="21"/>
          <w:szCs w:val="21"/>
        </w:rPr>
        <w:t xml:space="preserve">Cyber Resilience Act</w:t>
      </w:r>
      <w:r>
        <w:rPr>
          <w:rFonts w:ascii="Georgia" w:cs="Georgia" w:eastAsia="Georgia" w:hAnsi="Georgia"/>
          <w:color w:val="1A1A1A"/>
          <w:sz w:val="21"/>
          <w:szCs w:val="21"/>
        </w:rPr>
        <w:t xml:space="preserve"> (security-by-design duties for products with digital elements), the US </w:t>
      </w:r>
      <w:r>
        <w:rPr>
          <w:rFonts w:ascii="Georgia" w:cs="Georgia" w:eastAsia="Georgia" w:hAnsi="Georgia"/>
          <w:b/>
          <w:bCs/>
          <w:color w:val="1A1A1A"/>
          <w:sz w:val="21"/>
          <w:szCs w:val="21"/>
        </w:rPr>
        <w:t xml:space="preserve">NIST Cybersecurity Framework</w:t>
      </w:r>
      <w:r>
        <w:rPr>
          <w:rFonts w:ascii="Georgia" w:cs="Georgia" w:eastAsia="Georgia" w:hAnsi="Georgia"/>
          <w:color w:val="1A1A1A"/>
          <w:sz w:val="21"/>
          <w:szCs w:val="21"/>
        </w:rPr>
        <w:t xml:space="preserve"> and sectoral rules, and, internationally, norms of responsible state behaviour in cyberspace under UN processes. The governance dilemma mirrors the others: mandatory baselines vs. innovation and cost, and attribution/accountability across a borderless attack surface. Toolkit angle: standards and certification, information-sharing, and machine-speed (SupTech-style) supervision.</w:t>
      </w:r>
    </w:p>
    <w:p>
      <w:pPr>
        <w:pStyle w:val="Heading2"/>
        <w:spacing w:after="100" w:before="220"/>
      </w:pPr>
      <w:r>
        <w:rPr>
          <w:rFonts w:ascii="Calibri" w:cs="Calibri" w:eastAsia="Calibri" w:hAnsi="Calibri"/>
          <w:b/>
          <w:bCs/>
          <w:color w:val="2F5D8A"/>
          <w:sz w:val="25"/>
          <w:szCs w:val="25"/>
        </w:rPr>
        <w:t xml:space="preserve">C2 · Neurotechnology — the next frontier</w:t>
      </w:r>
    </w:p>
    <w:p>
      <w:pPr>
        <w:spacing w:after="140" w:line="276"/>
        <w:jc w:val="both"/>
      </w:pPr>
      <w:r>
        <w:rPr>
          <w:rFonts w:ascii="Georgia" w:cs="Georgia" w:eastAsia="Georgia" w:hAnsi="Georgia"/>
          <w:color w:val="1A1A1A"/>
          <w:sz w:val="21"/>
          <w:szCs w:val="21"/>
        </w:rPr>
        <w:t xml:space="preserve">Neurotechnology — brain-computer interfaces, neural sensing and neurostimulation — is the emerging domain most likely to be raised as a ‘where next’ question. The primer: invasive vs non-invasive interfaces; the sensitivity of </w:t>
      </w:r>
      <w:r>
        <w:rPr>
          <w:rFonts w:ascii="Georgia" w:cs="Georgia" w:eastAsia="Georgia" w:hAnsi="Georgia"/>
          <w:b/>
          <w:bCs/>
          <w:color w:val="1A1A1A"/>
          <w:sz w:val="21"/>
          <w:szCs w:val="21"/>
        </w:rPr>
        <w:t xml:space="preserve">neural data</w:t>
      </w:r>
      <w:r>
        <w:rPr>
          <w:rFonts w:ascii="Georgia" w:cs="Georgia" w:eastAsia="Georgia" w:hAnsi="Georgia"/>
          <w:color w:val="1A1A1A"/>
          <w:sz w:val="21"/>
          <w:szCs w:val="21"/>
        </w:rPr>
        <w:t xml:space="preserve"> (arguably the most intimate personal data there is); and the concept of </w:t>
      </w:r>
      <w:r>
        <w:rPr>
          <w:rFonts w:ascii="Georgia" w:cs="Georgia" w:eastAsia="Georgia" w:hAnsi="Georgia"/>
          <w:b/>
          <w:bCs/>
          <w:color w:val="1A1A1A"/>
          <w:sz w:val="21"/>
          <w:szCs w:val="21"/>
        </w:rPr>
        <w:t xml:space="preserve">neurorights</w:t>
      </w:r>
      <w:r>
        <w:rPr>
          <w:rFonts w:ascii="Georgia" w:cs="Georgia" w:eastAsia="Georgia" w:hAnsi="Georgia"/>
          <w:color w:val="1A1A1A"/>
          <w:sz w:val="21"/>
          <w:szCs w:val="21"/>
        </w:rPr>
        <w:t xml:space="preserve"> — mental privacy, cognitive liberty, agency and protection from bias. The governance landscape: </w:t>
      </w:r>
      <w:r>
        <w:rPr>
          <w:rFonts w:ascii="Georgia" w:cs="Georgia" w:eastAsia="Georgia" w:hAnsi="Georgia"/>
          <w:b/>
          <w:bCs/>
          <w:color w:val="1A1A1A"/>
          <w:sz w:val="21"/>
          <w:szCs w:val="21"/>
        </w:rPr>
        <w:t xml:space="preserve">Chile</w:t>
      </w:r>
      <w:r>
        <w:rPr>
          <w:rFonts w:ascii="Georgia" w:cs="Georgia" w:eastAsia="Georgia" w:hAnsi="Georgia"/>
          <w:color w:val="1A1A1A"/>
          <w:sz w:val="21"/>
          <w:szCs w:val="21"/>
        </w:rPr>
        <w:t xml:space="preserve"> amended its constitution and passed neurorights legislation; </w:t>
      </w:r>
      <w:r>
        <w:rPr>
          <w:rFonts w:ascii="Georgia" w:cs="Georgia" w:eastAsia="Georgia" w:hAnsi="Georgia"/>
          <w:b/>
          <w:bCs/>
          <w:color w:val="1A1A1A"/>
          <w:sz w:val="21"/>
          <w:szCs w:val="21"/>
        </w:rPr>
        <w:t xml:space="preserve">UNESCO</w:t>
      </w:r>
      <w:r>
        <w:rPr>
          <w:rFonts w:ascii="Georgia" w:cs="Georgia" w:eastAsia="Georgia" w:hAnsi="Georgia"/>
          <w:color w:val="1A1A1A"/>
          <w:sz w:val="21"/>
          <w:szCs w:val="21"/>
        </w:rPr>
        <w:t xml:space="preserve"> adopted a global </w:t>
      </w:r>
      <w:r>
        <w:rPr>
          <w:rFonts w:ascii="Georgia" w:cs="Georgia" w:eastAsia="Georgia" w:hAnsi="Georgia"/>
          <w:b/>
          <w:bCs/>
          <w:color w:val="1A1A1A"/>
          <w:sz w:val="21"/>
          <w:szCs w:val="21"/>
        </w:rPr>
        <w:t xml:space="preserve">Recommendation on the Ethics of Neurotechnology (2025)</w:t>
      </w:r>
      <w:r>
        <w:rPr>
          <w:rFonts w:ascii="Georgia" w:cs="Georgia" w:eastAsia="Georgia" w:hAnsi="Georgia"/>
          <w:color w:val="1A1A1A"/>
          <w:sz w:val="21"/>
          <w:szCs w:val="21"/>
        </w:rPr>
        <w:t xml:space="preserve">; the OECD issued neurotech recommendations; and several US states have moved to protect neural data. The dilemma: enabling therapeutic and cognitive benefits while pre-empting surveillance and manipulation of the brain itself — a textbook Collingridge case, and a natural candidate for the anticipatory-governance playbook.</w:t>
      </w: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Appendix D · Institutions and Names to Know</w:t>
      </w:r>
    </w:p>
    <w:p>
      <w:pPr>
        <w:spacing w:after="200" w:line="288"/>
      </w:pPr>
      <w:r>
        <w:rPr>
          <w:rFonts w:ascii="Georgia" w:cs="Georgia" w:eastAsia="Georgia" w:hAnsi="Georgia"/>
          <w:i/>
          <w:iCs/>
          <w:color w:val="55606E"/>
          <w:sz w:val="22"/>
          <w:szCs w:val="22"/>
        </w:rPr>
        <w:t xml:space="preserve">A quick-reference roster so you can drop the right institution or reference into an answer with confidence.</w:t>
      </w:r>
    </w:p>
    <w:tbl>
      <w:tblPr>
        <w:tblW w:type="dxa" w:w="9360"/>
        <w:tblBorders>
          <w:top w:val="single" w:color="C9D3E0" w:sz="2"/>
          <w:left w:val="none"/>
          <w:bottom w:val="single" w:color="C9D3E0" w:sz="2"/>
          <w:right w:val="none"/>
          <w:insideH w:val="single" w:color="C9D3E0" w:sz="2"/>
          <w:insideV w:val="single" w:color="C9D3E0" w:sz="2"/>
        </w:tblBorders>
      </w:tblPr>
      <w:tblGrid>
        <w:gridCol w:w="2500"/>
        <w:gridCol w:w="6860"/>
      </w:tblGrid>
      <w:tr>
        <w:trPr>
          <w:tblHeader/>
        </w:trPr>
        <w:tc>
          <w:tcPr>
            <w:tcW w:type="dxa" w:w="25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Category</w:t>
            </w:r>
          </w:p>
        </w:tc>
        <w:tc>
          <w:tcPr>
            <w:tcW w:type="dxa" w:w="68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Names worth knowing</w:t>
            </w:r>
          </w:p>
        </w:tc>
      </w:tr>
      <w:tr>
        <w:tc>
          <w:tcPr>
            <w:tcW w:type="dxa" w:w="25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Regulatory-policy homes</w:t>
            </w:r>
          </w:p>
        </w:tc>
        <w:tc>
          <w:tcPr>
            <w:tcW w:type="dxa" w:w="68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OECD (regulatory policy, IRC, AI Observatory, anticipatory governance); the World Bank / CGAP (sandbox research); the Datasphere Initiative (sandbox tracking).</w:t>
            </w:r>
          </w:p>
        </w:tc>
      </w:tr>
      <w:tr>
        <w:tc>
          <w:tcPr>
            <w:tcW w:type="dxa" w:w="25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AI governance</w:t>
            </w:r>
          </w:p>
        </w:tc>
        <w:tc>
          <w:tcPr>
            <w:tcW w:type="dxa" w:w="68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EU AI Office; NIST; UK AI Security Institute; the network of national AI Safety/Security Institutes; OECD.AI; the Council of Europe (AI Convention); the G7 Hiroshima Process.</w:t>
            </w:r>
          </w:p>
        </w:tc>
      </w:tr>
      <w:tr>
        <w:tc>
          <w:tcPr>
            <w:tcW w:type="dxa" w:w="25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Standards bodies</w:t>
            </w:r>
          </w:p>
        </w:tc>
        <w:tc>
          <w:tcPr>
            <w:tcW w:type="dxa" w:w="68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ISO, IEC, IEEE, ITU, CEN-CENELEC (EU harmonised standards); NIST (cryptography, AI RMF).</w:t>
            </w:r>
          </w:p>
        </w:tc>
      </w:tr>
      <w:tr>
        <w:tc>
          <w:tcPr>
            <w:tcW w:type="dxa" w:w="25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Quantum</w:t>
            </w:r>
          </w:p>
        </w:tc>
        <w:tc>
          <w:tcPr>
            <w:tcW w:type="dxa" w:w="68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NIST (PQC standards); QED-C; national quantum initiatives (US, EU Flagship, UK, China).</w:t>
            </w:r>
          </w:p>
        </w:tc>
      </w:tr>
      <w:tr>
        <w:tc>
          <w:tcPr>
            <w:tcW w:type="dxa" w:w="25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Biotechnology</w:t>
            </w:r>
          </w:p>
        </w:tc>
        <w:tc>
          <w:tcPr>
            <w:tcW w:type="dxa" w:w="68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Biological Weapons Convention regime; International Gene Synthesis Consortium; WHO and UNESCO bioethics; the Nuclear Threat Initiative (NTI bio).</w:t>
            </w:r>
          </w:p>
        </w:tc>
      </w:tr>
      <w:tr>
        <w:tc>
          <w:tcPr>
            <w:tcW w:type="dxa" w:w="25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Mobility &amp; robotics</w:t>
            </w:r>
          </w:p>
        </w:tc>
        <w:tc>
          <w:tcPr>
            <w:tcW w:type="dxa" w:w="68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UNECE WP.29 / GRVA; SAE International; ISO (robot safety standards).</w:t>
            </w:r>
          </w:p>
        </w:tc>
      </w:tr>
      <w:tr>
        <w:tc>
          <w:tcPr>
            <w:tcW w:type="dxa" w:w="25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Space &amp; climate</w:t>
            </w:r>
          </w:p>
        </w:tc>
        <w:tc>
          <w:tcPr>
            <w:tcW w:type="dxa" w:w="68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UNOOSA / COPUOS; the Artemis Accords group; COSPAR (planetary protection); the CBD (geoengineering moratorium).</w:t>
            </w:r>
          </w:p>
        </w:tc>
      </w:tr>
      <w:tr>
        <w:tc>
          <w:tcPr>
            <w:tcW w:type="dxa" w:w="25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Concepts &amp; authors</w:t>
            </w:r>
          </w:p>
        </w:tc>
        <w:tc>
          <w:tcPr>
            <w:tcW w:type="dxa" w:w="68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Anu Bradford (Brussels effect); Collingridge (dilemma of control); Gary Marchant (pacing problem); Deloitte / William Eggers (five principles of agile regulation).</w:t>
            </w:r>
          </w:p>
        </w:tc>
      </w:tr>
    </w:tbl>
    <w:p>
      <w:pPr>
        <w:spacing w:after="80"/>
      </w:pP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Appendix E · Figures, Markets and Timelines</w:t>
      </w:r>
    </w:p>
    <w:p>
      <w:pPr>
        <w:spacing w:after="200" w:line="288"/>
      </w:pPr>
      <w:r>
        <w:rPr>
          <w:rFonts w:ascii="Georgia" w:cs="Georgia" w:eastAsia="Georgia" w:hAnsi="Georgia"/>
          <w:i/>
          <w:iCs/>
          <w:color w:val="55606E"/>
          <w:sz w:val="22"/>
          <w:szCs w:val="22"/>
        </w:rPr>
        <w:t xml:space="preserve">A compact data layer for credibility. Use figures sparingly and directionally — the order of magnitude and trend matter more than the decimal.</w:t>
      </w:r>
    </w:p>
    <w:p>
      <w:pPr>
        <w:pStyle w:val="Heading3"/>
        <w:spacing w:after="70" w:before="160"/>
      </w:pPr>
      <w:r>
        <w:rPr>
          <w:rFonts w:ascii="Calibri" w:cs="Calibri" w:eastAsia="Calibri" w:hAnsi="Calibri"/>
          <w:b/>
          <w:bCs/>
          <w:color w:val="1F2A44"/>
          <w:sz w:val="22"/>
          <w:szCs w:val="22"/>
        </w:rPr>
        <w:t xml:space="preserve">Market scale (2025, approximate; all growing double-digit)</w:t>
      </w:r>
    </w:p>
    <w:tbl>
      <w:tblPr>
        <w:tblW w:type="dxa" w:w="9360"/>
        <w:tblBorders>
          <w:top w:val="single" w:color="C9D3E0" w:sz="2"/>
          <w:left w:val="none"/>
          <w:bottom w:val="single" w:color="C9D3E0" w:sz="2"/>
          <w:right w:val="none"/>
          <w:insideH w:val="single" w:color="C9D3E0" w:sz="2"/>
          <w:insideV w:val="single" w:color="C9D3E0" w:sz="2"/>
        </w:tblBorders>
      </w:tblPr>
      <w:tblGrid>
        <w:gridCol w:w="3000"/>
        <w:gridCol w:w="3000"/>
        <w:gridCol w:w="3360"/>
      </w:tblGrid>
      <w:tr>
        <w:trPr>
          <w:tblHeader/>
        </w:trPr>
        <w:tc>
          <w:tcPr>
            <w:tcW w:type="dxa" w:w="30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Domain</w:t>
            </w:r>
          </w:p>
        </w:tc>
        <w:tc>
          <w:tcPr>
            <w:tcW w:type="dxa" w:w="30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 2025 market</w:t>
            </w:r>
          </w:p>
        </w:tc>
        <w:tc>
          <w:tcPr>
            <w:tcW w:type="dxa" w:w="33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Trajectory</w:t>
            </w:r>
          </w:p>
        </w:tc>
      </w:tr>
      <w:tr>
        <w:tc>
          <w:tcPr>
            <w:tcW w:type="dxa" w:w="30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Artificial intelligence</w:t>
            </w:r>
          </w:p>
        </w:tc>
        <w:tc>
          <w:tcPr>
            <w:tcW w:type="dxa" w:w="30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Hundreds of $bn</w:t>
            </w:r>
          </w:p>
        </w:tc>
        <w:tc>
          <w:tcPr>
            <w:tcW w:type="dxa" w:w="33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largest and fastest-compounding; compute-constrained.</w:t>
            </w:r>
          </w:p>
        </w:tc>
      </w:tr>
      <w:tr>
        <w:tc>
          <w:tcPr>
            <w:tcW w:type="dxa" w:w="30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Robotics (all)</w:t>
            </w:r>
          </w:p>
        </w:tc>
        <w:tc>
          <w:tcPr>
            <w:tcW w:type="dxa" w:w="30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~$100–110 bn</w:t>
            </w:r>
          </w:p>
        </w:tc>
        <w:tc>
          <w:tcPr>
            <w:tcW w:type="dxa" w:w="33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 ~$400 bn by mid-2030s (~14% CAGR); humanoid segment emerging.</w:t>
            </w:r>
          </w:p>
        </w:tc>
      </w:tr>
      <w:tr>
        <w:tc>
          <w:tcPr>
            <w:tcW w:type="dxa" w:w="30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Space economy</w:t>
            </w:r>
          </w:p>
        </w:tc>
        <w:tc>
          <w:tcPr>
            <w:tcW w:type="dxa" w:w="30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~$440–460 bn</w:t>
            </w:r>
          </w:p>
        </w:tc>
        <w:tc>
          <w:tcPr>
            <w:tcW w:type="dxa" w:w="33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 ~$850 bn by 2035 (~7% CAGR); constellation-driven.</w:t>
            </w:r>
          </w:p>
        </w:tc>
      </w:tr>
      <w:tr>
        <w:tc>
          <w:tcPr>
            <w:tcW w:type="dxa" w:w="30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Synthetic biology</w:t>
            </w:r>
          </w:p>
        </w:tc>
        <w:tc>
          <w:tcPr>
            <w:tcW w:type="dxa" w:w="30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~$25–27 bn</w:t>
            </w:r>
          </w:p>
        </w:tc>
        <w:tc>
          <w:tcPr>
            <w:tcW w:type="dxa" w:w="33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~20%+ CAGR; AI-bio convergence accelerating.</w:t>
            </w:r>
          </w:p>
        </w:tc>
      </w:tr>
      <w:tr>
        <w:tc>
          <w:tcPr>
            <w:tcW w:type="dxa" w:w="30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Quantum computing</w:t>
            </w:r>
          </w:p>
        </w:tc>
        <w:tc>
          <w:tcPr>
            <w:tcW w:type="dxa" w:w="30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~$1.9 bn</w:t>
            </w:r>
          </w:p>
        </w:tc>
        <w:tc>
          <w:tcPr>
            <w:tcW w:type="dxa" w:w="33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 $3 bn+ by 2028 (~30% CAGR); pre-fault-tolerant.</w:t>
            </w:r>
          </w:p>
        </w:tc>
      </w:tr>
    </w:tbl>
    <w:p>
      <w:pPr>
        <w:spacing w:after="80"/>
      </w:pPr>
    </w:p>
    <w:p>
      <w:pPr>
        <w:pStyle w:val="Heading3"/>
        <w:spacing w:after="70" w:before="160"/>
      </w:pPr>
      <w:r>
        <w:rPr>
          <w:rFonts w:ascii="Calibri" w:cs="Calibri" w:eastAsia="Calibri" w:hAnsi="Calibri"/>
          <w:b/>
          <w:bCs/>
          <w:color w:val="1F2A44"/>
          <w:sz w:val="22"/>
          <w:szCs w:val="22"/>
        </w:rPr>
        <w:t xml:space="preserve">Regulatory timeline — the dates to have ready</w:t>
      </w:r>
    </w:p>
    <w:tbl>
      <w:tblPr>
        <w:tblW w:type="dxa" w:w="9360"/>
        <w:tblBorders>
          <w:top w:val="single" w:color="C9D3E0" w:sz="2"/>
          <w:left w:val="none"/>
          <w:bottom w:val="single" w:color="C9D3E0" w:sz="2"/>
          <w:right w:val="none"/>
          <w:insideH w:val="single" w:color="C9D3E0" w:sz="2"/>
          <w:insideV w:val="single" w:color="C9D3E0" w:sz="2"/>
        </w:tblBorders>
      </w:tblPr>
      <w:tblGrid>
        <w:gridCol w:w="1900"/>
        <w:gridCol w:w="7460"/>
      </w:tblGrid>
      <w:tr>
        <w:trPr>
          <w:tblHeader/>
        </w:trPr>
        <w:tc>
          <w:tcPr>
            <w:tcW w:type="dxa" w:w="19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When</w:t>
            </w:r>
          </w:p>
        </w:tc>
        <w:tc>
          <w:tcPr>
            <w:tcW w:type="dxa" w:w="74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What</w:t>
            </w:r>
          </w:p>
        </w:tc>
      </w:tr>
      <w:tr>
        <w:tc>
          <w:tcPr>
            <w:tcW w:type="dxa" w:w="1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1967</w:t>
            </w:r>
          </w:p>
        </w:tc>
        <w:tc>
          <w:tcPr>
            <w:tcW w:type="dxa" w:w="74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Outer Space Treaty enters into force.</w:t>
            </w:r>
          </w:p>
        </w:tc>
      </w:tr>
      <w:tr>
        <w:tc>
          <w:tcPr>
            <w:tcW w:type="dxa" w:w="1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2016</w:t>
            </w:r>
          </w:p>
        </w:tc>
        <w:tc>
          <w:tcPr>
            <w:tcW w:type="dxa" w:w="74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UK FCA launches the first fintech regulatory sandbox.</w:t>
            </w:r>
          </w:p>
        </w:tc>
      </w:tr>
      <w:tr>
        <w:tc>
          <w:tcPr>
            <w:tcW w:type="dxa" w:w="1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2018</w:t>
            </w:r>
          </w:p>
        </w:tc>
        <w:tc>
          <w:tcPr>
            <w:tcW w:type="dxa" w:w="74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Deloitte publishes the five principles of agile regulation; He Jiankui affair (human germline editing).</w:t>
            </w:r>
          </w:p>
        </w:tc>
      </w:tr>
      <w:tr>
        <w:tc>
          <w:tcPr>
            <w:tcW w:type="dxa" w:w="1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2020</w:t>
            </w:r>
          </w:p>
        </w:tc>
        <w:tc>
          <w:tcPr>
            <w:tcW w:type="dxa" w:w="74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WEF ‘Agile Regulation’ toolkit.</w:t>
            </w:r>
          </w:p>
        </w:tc>
      </w:tr>
      <w:tr>
        <w:tc>
          <w:tcPr>
            <w:tcW w:type="dxa" w:w="1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Aug 2024</w:t>
            </w:r>
          </w:p>
        </w:tc>
        <w:tc>
          <w:tcPr>
            <w:tcW w:type="dxa" w:w="74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NIST finalises first PQC standards (FIPS 203/204/205); EU AI Act enters into force.</w:t>
            </w:r>
          </w:p>
        </w:tc>
      </w:tr>
      <w:tr>
        <w:tc>
          <w:tcPr>
            <w:tcW w:type="dxa" w:w="1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2024</w:t>
            </w:r>
          </w:p>
        </w:tc>
        <w:tc>
          <w:tcPr>
            <w:tcW w:type="dxa" w:w="74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Council of Europe AI Convention opened; CBD geoengineering moratorium reaffirmed.</w:t>
            </w:r>
          </w:p>
        </w:tc>
      </w:tr>
      <w:tr>
        <w:tc>
          <w:tcPr>
            <w:tcW w:type="dxa" w:w="1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Feb 2025</w:t>
            </w:r>
          </w:p>
        </w:tc>
        <w:tc>
          <w:tcPr>
            <w:tcW w:type="dxa" w:w="74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EU AI Act prohibited practices apply; UK renames AISI to AI Security Institute.</w:t>
            </w:r>
          </w:p>
        </w:tc>
      </w:tr>
      <w:tr>
        <w:tc>
          <w:tcPr>
            <w:tcW w:type="dxa" w:w="1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Jul 2025</w:t>
            </w:r>
          </w:p>
        </w:tc>
        <w:tc>
          <w:tcPr>
            <w:tcW w:type="dxa" w:w="74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GRIP launched (WEF + UAE); EU GPAI Code of Practice published.</w:t>
            </w:r>
          </w:p>
        </w:tc>
      </w:tr>
      <w:tr>
        <w:tc>
          <w:tcPr>
            <w:tcW w:type="dxa" w:w="1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Aug 2025</w:t>
            </w:r>
          </w:p>
        </w:tc>
        <w:tc>
          <w:tcPr>
            <w:tcW w:type="dxa" w:w="74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EU AI Act GPAI-model obligations apply.</w:t>
            </w:r>
          </w:p>
        </w:tc>
      </w:tr>
      <w:tr>
        <w:tc>
          <w:tcPr>
            <w:tcW w:type="dxa" w:w="1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Jan 2026</w:t>
            </w:r>
          </w:p>
        </w:tc>
        <w:tc>
          <w:tcPr>
            <w:tcW w:type="dxa" w:w="74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UN regulation on Automated Driving Systems adopted (safety-case approach).</w:t>
            </w:r>
          </w:p>
        </w:tc>
      </w:tr>
      <w:tr>
        <w:tc>
          <w:tcPr>
            <w:tcW w:type="dxa" w:w="1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Aug 2026</w:t>
            </w:r>
          </w:p>
        </w:tc>
        <w:tc>
          <w:tcPr>
            <w:tcW w:type="dxa" w:w="74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EU AI Act high-risk rules apply; member-state AI sandboxes due.</w:t>
            </w:r>
          </w:p>
        </w:tc>
      </w:tr>
      <w:tr>
        <w:tc>
          <w:tcPr>
            <w:tcW w:type="dxa" w:w="1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Jan 2027</w:t>
            </w:r>
          </w:p>
        </w:tc>
        <w:tc>
          <w:tcPr>
            <w:tcW w:type="dxa" w:w="74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EU Machinery Regulation (2023/1230) applies.</w:t>
            </w:r>
          </w:p>
        </w:tc>
      </w:tr>
      <w:tr>
        <w:tc>
          <w:tcPr>
            <w:tcW w:type="dxa" w:w="1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2027</w:t>
            </w:r>
          </w:p>
        </w:tc>
        <w:tc>
          <w:tcPr>
            <w:tcW w:type="dxa" w:w="74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EU AI Act full application; GRIP roadmap horizon; this role’s end date (May 2027).</w:t>
            </w:r>
          </w:p>
        </w:tc>
      </w:tr>
    </w:tbl>
    <w:p>
      <w:pPr>
        <w:spacing w:after="80"/>
      </w:pP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8 · Glossary</w:t>
      </w:r>
    </w:p>
    <w:p>
      <w:pPr>
        <w:spacing w:after="200" w:line="288"/>
      </w:pPr>
      <w:r>
        <w:rPr>
          <w:rFonts w:ascii="Georgia" w:cs="Georgia" w:eastAsia="Georgia" w:hAnsi="Georgia"/>
          <w:i/>
          <w:iCs/>
          <w:color w:val="55606E"/>
          <w:sz w:val="22"/>
          <w:szCs w:val="22"/>
        </w:rPr>
        <w:t xml:space="preserve">The working vocabulary of frontier-tech regulatory innovation. Fluency with these terms is the fastest signal that you belong in the conversation.</w:t>
      </w:r>
    </w:p>
    <w:p>
      <w:pPr>
        <w:spacing w:after="140" w:line="276"/>
        <w:jc w:val="both"/>
      </w:pPr>
      <w:r>
        <w:rPr>
          <w:rFonts w:ascii="Georgia" w:cs="Georgia" w:eastAsia="Georgia" w:hAnsi="Georgia"/>
          <w:b/>
          <w:bCs/>
          <w:color w:val="1A1A1A"/>
          <w:sz w:val="21"/>
          <w:szCs w:val="21"/>
        </w:rPr>
        <w:t xml:space="preserve">Adaptive regulation.</w:t>
      </w:r>
      <w:r>
        <w:rPr>
          <w:rFonts w:ascii="Georgia" w:cs="Georgia" w:eastAsia="Georgia" w:hAnsi="Georgia"/>
          <w:color w:val="1A1A1A"/>
          <w:sz w:val="21"/>
          <w:szCs w:val="21"/>
        </w:rPr>
        <w:t xml:space="preserve"> Rules designed to be revised as evidence accrues; ‘regulate, monitor, iterate,’ with review clauses and feedback loops.</w:t>
      </w:r>
    </w:p>
    <w:p>
      <w:pPr>
        <w:spacing w:after="140" w:line="276"/>
        <w:jc w:val="both"/>
      </w:pPr>
      <w:r>
        <w:rPr>
          <w:rFonts w:ascii="Georgia" w:cs="Georgia" w:eastAsia="Georgia" w:hAnsi="Georgia"/>
          <w:b/>
          <w:bCs/>
          <w:color w:val="1A1A1A"/>
          <w:sz w:val="21"/>
          <w:szCs w:val="21"/>
        </w:rPr>
        <w:t xml:space="preserve">Agentic AI.</w:t>
      </w:r>
      <w:r>
        <w:rPr>
          <w:rFonts w:ascii="Georgia" w:cs="Georgia" w:eastAsia="Georgia" w:hAnsi="Georgia"/>
          <w:color w:val="1A1A1A"/>
          <w:sz w:val="21"/>
          <w:szCs w:val="21"/>
        </w:rPr>
        <w:t xml:space="preserve"> AI that plans and takes actions through tools, not just generates content; raises new accountability questions.</w:t>
      </w:r>
    </w:p>
    <w:p>
      <w:pPr>
        <w:spacing w:after="140" w:line="276"/>
        <w:jc w:val="both"/>
      </w:pPr>
      <w:r>
        <w:rPr>
          <w:rFonts w:ascii="Georgia" w:cs="Georgia" w:eastAsia="Georgia" w:hAnsi="Georgia"/>
          <w:b/>
          <w:bCs/>
          <w:color w:val="1A1A1A"/>
          <w:sz w:val="21"/>
          <w:szCs w:val="21"/>
        </w:rPr>
        <w:t xml:space="preserve">Agile governance.</w:t>
      </w:r>
      <w:r>
        <w:rPr>
          <w:rFonts w:ascii="Georgia" w:cs="Georgia" w:eastAsia="Georgia" w:hAnsi="Georgia"/>
          <w:color w:val="1A1A1A"/>
          <w:sz w:val="21"/>
          <w:szCs w:val="21"/>
        </w:rPr>
        <w:t xml:space="preserve"> The Forum’s umbrella term for adaptive, responsive, human-centred policy-making that keeps pace with technology.</w:t>
      </w:r>
    </w:p>
    <w:p>
      <w:pPr>
        <w:spacing w:after="140" w:line="276"/>
        <w:jc w:val="both"/>
      </w:pPr>
      <w:r>
        <w:rPr>
          <w:rFonts w:ascii="Georgia" w:cs="Georgia" w:eastAsia="Georgia" w:hAnsi="Georgia"/>
          <w:b/>
          <w:bCs/>
          <w:color w:val="1A1A1A"/>
          <w:sz w:val="21"/>
          <w:szCs w:val="21"/>
        </w:rPr>
        <w:t xml:space="preserve">Anticipatory governance.</w:t>
      </w:r>
      <w:r>
        <w:rPr>
          <w:rFonts w:ascii="Georgia" w:cs="Georgia" w:eastAsia="Georgia" w:hAnsi="Georgia"/>
          <w:color w:val="1A1A1A"/>
          <w:sz w:val="21"/>
          <w:szCs w:val="21"/>
        </w:rPr>
        <w:t xml:space="preserve"> Acting on emerging technologies before impacts are certain, via foresight, experimentation and learning.</w:t>
      </w:r>
    </w:p>
    <w:p>
      <w:pPr>
        <w:spacing w:after="140" w:line="276"/>
        <w:jc w:val="both"/>
      </w:pPr>
      <w:r>
        <w:rPr>
          <w:rFonts w:ascii="Georgia" w:cs="Georgia" w:eastAsia="Georgia" w:hAnsi="Georgia"/>
          <w:b/>
          <w:bCs/>
          <w:color w:val="1A1A1A"/>
          <w:sz w:val="21"/>
          <w:szCs w:val="21"/>
        </w:rPr>
        <w:t xml:space="preserve">Artemis Accords.</w:t>
      </w:r>
      <w:r>
        <w:rPr>
          <w:rFonts w:ascii="Georgia" w:cs="Georgia" w:eastAsia="Georgia" w:hAnsi="Georgia"/>
          <w:color w:val="1A1A1A"/>
          <w:sz w:val="21"/>
          <w:szCs w:val="21"/>
        </w:rPr>
        <w:t xml:space="preserve"> US-led principles for civil space exploration and resource use; soft law filling gaps in the Outer Space Treaty.</w:t>
      </w:r>
    </w:p>
    <w:p>
      <w:pPr>
        <w:spacing w:after="140" w:line="276"/>
        <w:jc w:val="both"/>
      </w:pPr>
      <w:r>
        <w:rPr>
          <w:rFonts w:ascii="Georgia" w:cs="Georgia" w:eastAsia="Georgia" w:hAnsi="Georgia"/>
          <w:b/>
          <w:bCs/>
          <w:color w:val="1A1A1A"/>
          <w:sz w:val="21"/>
          <w:szCs w:val="21"/>
        </w:rPr>
        <w:t xml:space="preserve">Biosafety vs biosecurity.</w:t>
      </w:r>
      <w:r>
        <w:rPr>
          <w:rFonts w:ascii="Georgia" w:cs="Georgia" w:eastAsia="Georgia" w:hAnsi="Georgia"/>
          <w:color w:val="1A1A1A"/>
          <w:sz w:val="21"/>
          <w:szCs w:val="21"/>
        </w:rPr>
        <w:t xml:space="preserve"> Biosafety protects people from accidental exposure; biosecurity prevents deliberate misuse.</w:t>
      </w:r>
    </w:p>
    <w:p>
      <w:pPr>
        <w:spacing w:after="140" w:line="276"/>
        <w:jc w:val="both"/>
      </w:pPr>
      <w:r>
        <w:rPr>
          <w:rFonts w:ascii="Georgia" w:cs="Georgia" w:eastAsia="Georgia" w:hAnsi="Georgia"/>
          <w:b/>
          <w:bCs/>
          <w:color w:val="1A1A1A"/>
          <w:sz w:val="21"/>
          <w:szCs w:val="21"/>
        </w:rPr>
        <w:t xml:space="preserve">Biological Weapons Convention (BWC).</w:t>
      </w:r>
      <w:r>
        <w:rPr>
          <w:rFonts w:ascii="Georgia" w:cs="Georgia" w:eastAsia="Georgia" w:hAnsi="Georgia"/>
          <w:color w:val="1A1A1A"/>
          <w:sz w:val="21"/>
          <w:szCs w:val="21"/>
        </w:rPr>
        <w:t xml:space="preserve"> The treaty banning biological weapons; notable for lacking a verification mechanism.</w:t>
      </w:r>
    </w:p>
    <w:p>
      <w:pPr>
        <w:spacing w:after="140" w:line="276"/>
        <w:jc w:val="both"/>
      </w:pPr>
      <w:r>
        <w:rPr>
          <w:rFonts w:ascii="Georgia" w:cs="Georgia" w:eastAsia="Georgia" w:hAnsi="Georgia"/>
          <w:b/>
          <w:bCs/>
          <w:color w:val="1A1A1A"/>
          <w:sz w:val="21"/>
          <w:szCs w:val="21"/>
        </w:rPr>
        <w:t xml:space="preserve">Brussels effect.</w:t>
      </w:r>
      <w:r>
        <w:rPr>
          <w:rFonts w:ascii="Georgia" w:cs="Georgia" w:eastAsia="Georgia" w:hAnsi="Georgia"/>
          <w:color w:val="1A1A1A"/>
          <w:sz w:val="21"/>
          <w:szCs w:val="21"/>
        </w:rPr>
        <w:t xml:space="preserve"> The tendency of EU regulation to become a de facto global standard through market access (Anu Bradford).</w:t>
      </w:r>
    </w:p>
    <w:p>
      <w:pPr>
        <w:spacing w:after="140" w:line="276"/>
        <w:jc w:val="both"/>
      </w:pPr>
      <w:r>
        <w:rPr>
          <w:rFonts w:ascii="Georgia" w:cs="Georgia" w:eastAsia="Georgia" w:hAnsi="Georgia"/>
          <w:b/>
          <w:bCs/>
          <w:color w:val="1A1A1A"/>
          <w:sz w:val="21"/>
          <w:szCs w:val="21"/>
        </w:rPr>
        <w:t xml:space="preserve">Capability gap (not technology gap).</w:t>
      </w:r>
      <w:r>
        <w:rPr>
          <w:rFonts w:ascii="Georgia" w:cs="Georgia" w:eastAsia="Georgia" w:hAnsi="Georgia"/>
          <w:color w:val="1A1A1A"/>
          <w:sz w:val="21"/>
          <w:szCs w:val="21"/>
        </w:rPr>
        <w:t xml:space="preserve"> The insight that failure to govern (or transform) usually reflects missing capability, not a missing rule or tool.</w:t>
      </w:r>
    </w:p>
    <w:p>
      <w:pPr>
        <w:spacing w:after="140" w:line="276"/>
        <w:jc w:val="both"/>
      </w:pPr>
      <w:r>
        <w:rPr>
          <w:rFonts w:ascii="Georgia" w:cs="Georgia" w:eastAsia="Georgia" w:hAnsi="Georgia"/>
          <w:b/>
          <w:bCs/>
          <w:color w:val="1A1A1A"/>
          <w:sz w:val="21"/>
          <w:szCs w:val="21"/>
        </w:rPr>
        <w:t xml:space="preserve">Carbon dioxide removal (CDR).</w:t>
      </w:r>
      <w:r>
        <w:rPr>
          <w:rFonts w:ascii="Georgia" w:cs="Georgia" w:eastAsia="Georgia" w:hAnsi="Georgia"/>
          <w:color w:val="1A1A1A"/>
          <w:sz w:val="21"/>
          <w:szCs w:val="21"/>
        </w:rPr>
        <w:t xml:space="preserve"> Geoengineering that removes CO2 from the atmosphere; generally seen as more governable than SRM.</w:t>
      </w:r>
    </w:p>
    <w:p>
      <w:pPr>
        <w:spacing w:after="140" w:line="276"/>
        <w:jc w:val="both"/>
      </w:pPr>
      <w:r>
        <w:rPr>
          <w:rFonts w:ascii="Georgia" w:cs="Georgia" w:eastAsia="Georgia" w:hAnsi="Georgia"/>
          <w:b/>
          <w:bCs/>
          <w:color w:val="1A1A1A"/>
          <w:sz w:val="21"/>
          <w:szCs w:val="21"/>
        </w:rPr>
        <w:t xml:space="preserve">Cartagena / Nagoya Protocols.</w:t>
      </w:r>
      <w:r>
        <w:rPr>
          <w:rFonts w:ascii="Georgia" w:cs="Georgia" w:eastAsia="Georgia" w:hAnsi="Georgia"/>
          <w:color w:val="1A1A1A"/>
          <w:sz w:val="21"/>
          <w:szCs w:val="21"/>
        </w:rPr>
        <w:t xml:space="preserve"> Biosafety (living modified organisms) and access-and-benefit-sharing protocols under the CBD.</w:t>
      </w:r>
    </w:p>
    <w:p>
      <w:pPr>
        <w:spacing w:after="140" w:line="276"/>
        <w:jc w:val="both"/>
      </w:pPr>
      <w:r>
        <w:rPr>
          <w:rFonts w:ascii="Georgia" w:cs="Georgia" w:eastAsia="Georgia" w:hAnsi="Georgia"/>
          <w:b/>
          <w:bCs/>
          <w:color w:val="1A1A1A"/>
          <w:sz w:val="21"/>
          <w:szCs w:val="21"/>
        </w:rPr>
        <w:t xml:space="preserve">C4IR.</w:t>
      </w:r>
      <w:r>
        <w:rPr>
          <w:rFonts w:ascii="Georgia" w:cs="Georgia" w:eastAsia="Georgia" w:hAnsi="Georgia"/>
          <w:color w:val="1A1A1A"/>
          <w:sz w:val="21"/>
          <w:szCs w:val="21"/>
        </w:rPr>
        <w:t xml:space="preserve"> The Forum’s Centre for the Fourth Industrial Revolution and its global network of government-hosted centres.</w:t>
      </w:r>
    </w:p>
    <w:p>
      <w:pPr>
        <w:spacing w:after="140" w:line="276"/>
        <w:jc w:val="both"/>
      </w:pPr>
      <w:r>
        <w:rPr>
          <w:rFonts w:ascii="Georgia" w:cs="Georgia" w:eastAsia="Georgia" w:hAnsi="Georgia"/>
          <w:b/>
          <w:bCs/>
          <w:color w:val="1A1A1A"/>
          <w:sz w:val="21"/>
          <w:szCs w:val="21"/>
        </w:rPr>
        <w:t xml:space="preserve">Collingridge dilemma.</w:t>
      </w:r>
      <w:r>
        <w:rPr>
          <w:rFonts w:ascii="Georgia" w:cs="Georgia" w:eastAsia="Georgia" w:hAnsi="Georgia"/>
          <w:color w:val="1A1A1A"/>
          <w:sz w:val="21"/>
          <w:szCs w:val="21"/>
        </w:rPr>
        <w:t xml:space="preserve"> Early tech is easy to shape but hard to predict; once understood, it is entrenched and hard to change.</w:t>
      </w:r>
    </w:p>
    <w:p>
      <w:pPr>
        <w:spacing w:after="140" w:line="276"/>
        <w:jc w:val="both"/>
      </w:pPr>
      <w:r>
        <w:rPr>
          <w:rFonts w:ascii="Georgia" w:cs="Georgia" w:eastAsia="Georgia" w:hAnsi="Georgia"/>
          <w:b/>
          <w:bCs/>
          <w:color w:val="1A1A1A"/>
          <w:sz w:val="21"/>
          <w:szCs w:val="21"/>
        </w:rPr>
        <w:t xml:space="preserve">Collaborative regulation.</w:t>
      </w:r>
      <w:r>
        <w:rPr>
          <w:rFonts w:ascii="Georgia" w:cs="Georgia" w:eastAsia="Georgia" w:hAnsi="Georgia"/>
          <w:color w:val="1A1A1A"/>
          <w:sz w:val="21"/>
          <w:szCs w:val="21"/>
        </w:rPr>
        <w:t xml:space="preserve"> Co- and self-regulation with industry, plus alignment across regulators and borders.</w:t>
      </w:r>
    </w:p>
    <w:p>
      <w:pPr>
        <w:spacing w:after="140" w:line="276"/>
        <w:jc w:val="both"/>
      </w:pPr>
      <w:r>
        <w:rPr>
          <w:rFonts w:ascii="Georgia" w:cs="Georgia" w:eastAsia="Georgia" w:hAnsi="Georgia"/>
          <w:b/>
          <w:bCs/>
          <w:color w:val="1A1A1A"/>
          <w:sz w:val="21"/>
          <w:szCs w:val="21"/>
        </w:rPr>
        <w:t xml:space="preserve">Compute governance.</w:t>
      </w:r>
      <w:r>
        <w:rPr>
          <w:rFonts w:ascii="Georgia" w:cs="Georgia" w:eastAsia="Georgia" w:hAnsi="Georgia"/>
          <w:color w:val="1A1A1A"/>
          <w:sz w:val="21"/>
          <w:szCs w:val="21"/>
        </w:rPr>
        <w:t xml:space="preserve"> Governing AI via the concentrated supply of computing power (chips, data centres) used to train frontier models.</w:t>
      </w:r>
    </w:p>
    <w:p>
      <w:pPr>
        <w:spacing w:after="140" w:line="276"/>
        <w:jc w:val="both"/>
      </w:pPr>
      <w:r>
        <w:rPr>
          <w:rFonts w:ascii="Georgia" w:cs="Georgia" w:eastAsia="Georgia" w:hAnsi="Georgia"/>
          <w:b/>
          <w:bCs/>
          <w:color w:val="1A1A1A"/>
          <w:sz w:val="21"/>
          <w:szCs w:val="21"/>
        </w:rPr>
        <w:t xml:space="preserve">Convergence.</w:t>
      </w:r>
      <w:r>
        <w:rPr>
          <w:rFonts w:ascii="Georgia" w:cs="Georgia" w:eastAsia="Georgia" w:hAnsi="Georgia"/>
          <w:color w:val="1A1A1A"/>
          <w:sz w:val="21"/>
          <w:szCs w:val="21"/>
        </w:rPr>
        <w:t xml:space="preserve"> The merging of frontier technologies (AI-bio, AI-quantum, AI-robotics) that defeats siloed, sector-by-sector regulation.</w:t>
      </w:r>
    </w:p>
    <w:p>
      <w:pPr>
        <w:spacing w:after="140" w:line="276"/>
        <w:jc w:val="both"/>
      </w:pPr>
      <w:r>
        <w:rPr>
          <w:rFonts w:ascii="Georgia" w:cs="Georgia" w:eastAsia="Georgia" w:hAnsi="Georgia"/>
          <w:b/>
          <w:bCs/>
          <w:color w:val="1A1A1A"/>
          <w:sz w:val="21"/>
          <w:szCs w:val="21"/>
        </w:rPr>
        <w:t xml:space="preserve">Council of Europe AI Convention.</w:t>
      </w:r>
      <w:r>
        <w:rPr>
          <w:rFonts w:ascii="Georgia" w:cs="Georgia" w:eastAsia="Georgia" w:hAnsi="Georgia"/>
          <w:color w:val="1A1A1A"/>
          <w:sz w:val="21"/>
          <w:szCs w:val="21"/>
        </w:rPr>
        <w:t xml:space="preserve"> The first binding international treaty on AI, rights-anchored and open beyond Europe.</w:t>
      </w:r>
    </w:p>
    <w:p>
      <w:pPr>
        <w:spacing w:after="140" w:line="276"/>
        <w:jc w:val="both"/>
      </w:pPr>
      <w:r>
        <w:rPr>
          <w:rFonts w:ascii="Georgia" w:cs="Georgia" w:eastAsia="Georgia" w:hAnsi="Georgia"/>
          <w:b/>
          <w:bCs/>
          <w:color w:val="1A1A1A"/>
          <w:sz w:val="21"/>
          <w:szCs w:val="21"/>
        </w:rPr>
        <w:t xml:space="preserve">CRISPR-Cas.</w:t>
      </w:r>
      <w:r>
        <w:rPr>
          <w:rFonts w:ascii="Georgia" w:cs="Georgia" w:eastAsia="Georgia" w:hAnsi="Georgia"/>
          <w:color w:val="1A1A1A"/>
          <w:sz w:val="21"/>
          <w:szCs w:val="21"/>
        </w:rPr>
        <w:t xml:space="preserve"> Precise gene-editing tools (with base/prime-editing successors) central to the biotech revolution.</w:t>
      </w:r>
    </w:p>
    <w:p>
      <w:pPr>
        <w:spacing w:after="140" w:line="276"/>
        <w:jc w:val="both"/>
      </w:pPr>
      <w:r>
        <w:rPr>
          <w:rFonts w:ascii="Georgia" w:cs="Georgia" w:eastAsia="Georgia" w:hAnsi="Georgia"/>
          <w:b/>
          <w:bCs/>
          <w:color w:val="1A1A1A"/>
          <w:sz w:val="21"/>
          <w:szCs w:val="21"/>
        </w:rPr>
        <w:t xml:space="preserve">De jure vs de facto standards.</w:t>
      </w:r>
      <w:r>
        <w:rPr>
          <w:rFonts w:ascii="Georgia" w:cs="Georgia" w:eastAsia="Georgia" w:hAnsi="Georgia"/>
          <w:color w:val="1A1A1A"/>
          <w:sz w:val="21"/>
          <w:szCs w:val="21"/>
        </w:rPr>
        <w:t xml:space="preserve"> Standards set by formal bodies versus those that win in the market.</w:t>
      </w:r>
    </w:p>
    <w:p>
      <w:pPr>
        <w:spacing w:after="140" w:line="276"/>
        <w:jc w:val="both"/>
      </w:pPr>
      <w:r>
        <w:rPr>
          <w:rFonts w:ascii="Georgia" w:cs="Georgia" w:eastAsia="Georgia" w:hAnsi="Georgia"/>
          <w:b/>
          <w:bCs/>
          <w:color w:val="1A1A1A"/>
          <w:sz w:val="21"/>
          <w:szCs w:val="21"/>
        </w:rPr>
        <w:t xml:space="preserve">DNA-synthesis screening.</w:t>
      </w:r>
      <w:r>
        <w:rPr>
          <w:rFonts w:ascii="Georgia" w:cs="Georgia" w:eastAsia="Georgia" w:hAnsi="Georgia"/>
          <w:color w:val="1A1A1A"/>
          <w:sz w:val="21"/>
          <w:szCs w:val="21"/>
        </w:rPr>
        <w:t xml:space="preserve"> Checking synthesis orders against known threat sequences; a key, and now strained, biosecurity safeguard.</w:t>
      </w:r>
    </w:p>
    <w:p>
      <w:pPr>
        <w:spacing w:after="140" w:line="276"/>
        <w:jc w:val="both"/>
      </w:pPr>
      <w:r>
        <w:rPr>
          <w:rFonts w:ascii="Georgia" w:cs="Georgia" w:eastAsia="Georgia" w:hAnsi="Georgia"/>
          <w:b/>
          <w:bCs/>
          <w:color w:val="1A1A1A"/>
          <w:sz w:val="21"/>
          <w:szCs w:val="21"/>
        </w:rPr>
        <w:t xml:space="preserve">DURC.</w:t>
      </w:r>
      <w:r>
        <w:rPr>
          <w:rFonts w:ascii="Georgia" w:cs="Georgia" w:eastAsia="Georgia" w:hAnsi="Georgia"/>
          <w:color w:val="1A1A1A"/>
          <w:sz w:val="21"/>
          <w:szCs w:val="21"/>
        </w:rPr>
        <w:t xml:space="preserve"> Dual-use research of concern — life-science research that could be misused to cause harm.</w:t>
      </w:r>
    </w:p>
    <w:p>
      <w:pPr>
        <w:spacing w:after="140" w:line="276"/>
        <w:jc w:val="both"/>
      </w:pPr>
      <w:r>
        <w:rPr>
          <w:rFonts w:ascii="Georgia" w:cs="Georgia" w:eastAsia="Georgia" w:hAnsi="Georgia"/>
          <w:b/>
          <w:bCs/>
          <w:color w:val="1A1A1A"/>
          <w:sz w:val="21"/>
          <w:szCs w:val="21"/>
        </w:rPr>
        <w:t xml:space="preserve">Ecosystem orchestration.</w:t>
      </w:r>
      <w:r>
        <w:rPr>
          <w:rFonts w:ascii="Georgia" w:cs="Georgia" w:eastAsia="Georgia" w:hAnsi="Georgia"/>
          <w:color w:val="1A1A1A"/>
          <w:sz w:val="21"/>
          <w:szCs w:val="21"/>
        </w:rPr>
        <w:t xml:space="preserve"> Designing conditions and incentives so independent actors collectively produce an outcome none could alone.</w:t>
      </w:r>
    </w:p>
    <w:p>
      <w:pPr>
        <w:spacing w:after="140" w:line="276"/>
        <w:jc w:val="both"/>
      </w:pPr>
      <w:r>
        <w:rPr>
          <w:rFonts w:ascii="Georgia" w:cs="Georgia" w:eastAsia="Georgia" w:hAnsi="Georgia"/>
          <w:b/>
          <w:bCs/>
          <w:color w:val="1A1A1A"/>
          <w:sz w:val="21"/>
          <w:szCs w:val="21"/>
        </w:rPr>
        <w:t xml:space="preserve">EU AI Act.</w:t>
      </w:r>
      <w:r>
        <w:rPr>
          <w:rFonts w:ascii="Georgia" w:cs="Georgia" w:eastAsia="Georgia" w:hAnsi="Georgia"/>
          <w:color w:val="1A1A1A"/>
          <w:sz w:val="21"/>
          <w:szCs w:val="21"/>
        </w:rPr>
        <w:t xml:space="preserve"> The first comprehensive horizontal AI law; risk-tiered, with specific duties for general-purpose models.</w:t>
      </w:r>
    </w:p>
    <w:p>
      <w:pPr>
        <w:spacing w:after="140" w:line="276"/>
        <w:jc w:val="both"/>
      </w:pPr>
      <w:r>
        <w:rPr>
          <w:rFonts w:ascii="Georgia" w:cs="Georgia" w:eastAsia="Georgia" w:hAnsi="Georgia"/>
          <w:b/>
          <w:bCs/>
          <w:color w:val="1A1A1A"/>
          <w:sz w:val="21"/>
          <w:szCs w:val="21"/>
        </w:rPr>
        <w:t xml:space="preserve">Foundation model / GPAI.</w:t>
      </w:r>
      <w:r>
        <w:rPr>
          <w:rFonts w:ascii="Georgia" w:cs="Georgia" w:eastAsia="Georgia" w:hAnsi="Georgia"/>
          <w:color w:val="1A1A1A"/>
          <w:sz w:val="21"/>
          <w:szCs w:val="21"/>
        </w:rPr>
        <w:t xml:space="preserve"> A large, broadly capable model adaptable to many tasks; general-purpose AI in EU terminology.</w:t>
      </w:r>
    </w:p>
    <w:p>
      <w:pPr>
        <w:spacing w:after="140" w:line="276"/>
        <w:jc w:val="both"/>
      </w:pPr>
      <w:r>
        <w:rPr>
          <w:rFonts w:ascii="Georgia" w:cs="Georgia" w:eastAsia="Georgia" w:hAnsi="Georgia"/>
          <w:b/>
          <w:bCs/>
          <w:color w:val="1A1A1A"/>
          <w:sz w:val="21"/>
          <w:szCs w:val="21"/>
        </w:rPr>
        <w:t xml:space="preserve">Forum-shopping.</w:t>
      </w:r>
      <w:r>
        <w:rPr>
          <w:rFonts w:ascii="Georgia" w:cs="Georgia" w:eastAsia="Georgia" w:hAnsi="Georgia"/>
          <w:color w:val="1A1A1A"/>
          <w:sz w:val="21"/>
          <w:szCs w:val="21"/>
        </w:rPr>
        <w:t xml:space="preserve"> Actors choosing the most favourable jurisdiction or venue to exploit regulatory gaps.</w:t>
      </w:r>
    </w:p>
    <w:p>
      <w:pPr>
        <w:spacing w:after="140" w:line="276"/>
        <w:jc w:val="both"/>
      </w:pPr>
      <w:r>
        <w:rPr>
          <w:rFonts w:ascii="Georgia" w:cs="Georgia" w:eastAsia="Georgia" w:hAnsi="Georgia"/>
          <w:b/>
          <w:bCs/>
          <w:color w:val="1A1A1A"/>
          <w:sz w:val="21"/>
          <w:szCs w:val="21"/>
        </w:rPr>
        <w:t xml:space="preserve">Gain-of-function.</w:t>
      </w:r>
      <w:r>
        <w:rPr>
          <w:rFonts w:ascii="Georgia" w:cs="Georgia" w:eastAsia="Georgia" w:hAnsi="Georgia"/>
          <w:color w:val="1A1A1A"/>
          <w:sz w:val="21"/>
          <w:szCs w:val="21"/>
        </w:rPr>
        <w:t xml:space="preserve"> Research that enhances a pathogen’s capabilities; a focal point of biosecurity concern.</w:t>
      </w:r>
    </w:p>
    <w:p>
      <w:pPr>
        <w:spacing w:after="140" w:line="276"/>
        <w:jc w:val="both"/>
      </w:pPr>
      <w:r>
        <w:rPr>
          <w:rFonts w:ascii="Georgia" w:cs="Georgia" w:eastAsia="Georgia" w:hAnsi="Georgia"/>
          <w:b/>
          <w:bCs/>
          <w:color w:val="1A1A1A"/>
          <w:sz w:val="21"/>
          <w:szCs w:val="21"/>
        </w:rPr>
        <w:t xml:space="preserve">Harvest now, decrypt later.</w:t>
      </w:r>
      <w:r>
        <w:rPr>
          <w:rFonts w:ascii="Georgia" w:cs="Georgia" w:eastAsia="Georgia" w:hAnsi="Georgia"/>
          <w:color w:val="1A1A1A"/>
          <w:sz w:val="21"/>
          <w:szCs w:val="21"/>
        </w:rPr>
        <w:t xml:space="preserve"> Stealing encrypted data today to decrypt once quantum computers can break current cryptography.</w:t>
      </w:r>
    </w:p>
    <w:p>
      <w:pPr>
        <w:spacing w:after="140" w:line="276"/>
        <w:jc w:val="both"/>
      </w:pPr>
      <w:r>
        <w:rPr>
          <w:rFonts w:ascii="Georgia" w:cs="Georgia" w:eastAsia="Georgia" w:hAnsi="Georgia"/>
          <w:b/>
          <w:bCs/>
          <w:color w:val="1A1A1A"/>
          <w:sz w:val="21"/>
          <w:szCs w:val="21"/>
        </w:rPr>
        <w:t xml:space="preserve">Innovation principle.</w:t>
      </w:r>
      <w:r>
        <w:rPr>
          <w:rFonts w:ascii="Georgia" w:cs="Georgia" w:eastAsia="Georgia" w:hAnsi="Georgia"/>
          <w:color w:val="1A1A1A"/>
          <w:sz w:val="21"/>
          <w:szCs w:val="21"/>
        </w:rPr>
        <w:t xml:space="preserve"> The idea that regulators should explicitly weigh the cost to innovation of a proposed rule.</w:t>
      </w:r>
    </w:p>
    <w:p>
      <w:pPr>
        <w:spacing w:after="140" w:line="276"/>
        <w:jc w:val="both"/>
      </w:pPr>
      <w:r>
        <w:rPr>
          <w:rFonts w:ascii="Georgia" w:cs="Georgia" w:eastAsia="Georgia" w:hAnsi="Georgia"/>
          <w:b/>
          <w:bCs/>
          <w:color w:val="1A1A1A"/>
          <w:sz w:val="21"/>
          <w:szCs w:val="21"/>
        </w:rPr>
        <w:t xml:space="preserve">Interoperability (regulatory).</w:t>
      </w:r>
      <w:r>
        <w:rPr>
          <w:rFonts w:ascii="Georgia" w:cs="Georgia" w:eastAsia="Georgia" w:hAnsi="Georgia"/>
          <w:color w:val="1A1A1A"/>
          <w:sz w:val="21"/>
          <w:szCs w:val="21"/>
        </w:rPr>
        <w:t xml:space="preserve"> Rules different in form but compatible in effect, enabling cross-border function without harmonised law.</w:t>
      </w:r>
    </w:p>
    <w:p>
      <w:pPr>
        <w:spacing w:after="140" w:line="276"/>
        <w:jc w:val="both"/>
      </w:pPr>
      <w:r>
        <w:rPr>
          <w:rFonts w:ascii="Georgia" w:cs="Georgia" w:eastAsia="Georgia" w:hAnsi="Georgia"/>
          <w:b/>
          <w:bCs/>
          <w:color w:val="1A1A1A"/>
          <w:sz w:val="21"/>
          <w:szCs w:val="21"/>
        </w:rPr>
        <w:t xml:space="preserve">Kessler syndrome.</w:t>
      </w:r>
      <w:r>
        <w:rPr>
          <w:rFonts w:ascii="Georgia" w:cs="Georgia" w:eastAsia="Georgia" w:hAnsi="Georgia"/>
          <w:color w:val="1A1A1A"/>
          <w:sz w:val="21"/>
          <w:szCs w:val="21"/>
        </w:rPr>
        <w:t xml:space="preserve"> A cascade of orbital collisions generating debris that triggers further collisions; the systemic space risk.</w:t>
      </w:r>
    </w:p>
    <w:p>
      <w:pPr>
        <w:spacing w:after="140" w:line="276"/>
        <w:jc w:val="both"/>
      </w:pPr>
      <w:r>
        <w:rPr>
          <w:rFonts w:ascii="Georgia" w:cs="Georgia" w:eastAsia="Georgia" w:hAnsi="Georgia"/>
          <w:b/>
          <w:bCs/>
          <w:color w:val="1A1A1A"/>
          <w:sz w:val="21"/>
          <w:szCs w:val="21"/>
        </w:rPr>
        <w:t xml:space="preserve">Machine-readable/executable regulation.</w:t>
      </w:r>
      <w:r>
        <w:rPr>
          <w:rFonts w:ascii="Georgia" w:cs="Georgia" w:eastAsia="Georgia" w:hAnsi="Georgia"/>
          <w:color w:val="1A1A1A"/>
          <w:sz w:val="21"/>
          <w:szCs w:val="21"/>
        </w:rPr>
        <w:t xml:space="preserve"> Rules published as code so compliance can be automated and supervision made continuous.</w:t>
      </w:r>
    </w:p>
    <w:p>
      <w:pPr>
        <w:spacing w:after="140" w:line="276"/>
        <w:jc w:val="both"/>
      </w:pPr>
      <w:r>
        <w:rPr>
          <w:rFonts w:ascii="Georgia" w:cs="Georgia" w:eastAsia="Georgia" w:hAnsi="Georgia"/>
          <w:b/>
          <w:bCs/>
          <w:color w:val="1A1A1A"/>
          <w:sz w:val="21"/>
          <w:szCs w:val="21"/>
        </w:rPr>
        <w:t xml:space="preserve">Maturity curve (regulatory).</w:t>
      </w:r>
      <w:r>
        <w:rPr>
          <w:rFonts w:ascii="Georgia" w:cs="Georgia" w:eastAsia="Georgia" w:hAnsi="Georgia"/>
          <w:color w:val="1A1A1A"/>
          <w:sz w:val="21"/>
          <w:szCs w:val="21"/>
        </w:rPr>
        <w:t xml:space="preserve"> Staging a jurisdiction’s governance capacity from absent → reactive → structured → anticipatory → adaptive.</w:t>
      </w:r>
    </w:p>
    <w:p>
      <w:pPr>
        <w:spacing w:after="140" w:line="276"/>
        <w:jc w:val="both"/>
      </w:pPr>
      <w:r>
        <w:rPr>
          <w:rFonts w:ascii="Georgia" w:cs="Georgia" w:eastAsia="Georgia" w:hAnsi="Georgia"/>
          <w:b/>
          <w:bCs/>
          <w:color w:val="1A1A1A"/>
          <w:sz w:val="21"/>
          <w:szCs w:val="21"/>
        </w:rPr>
        <w:t xml:space="preserve">Multistakeholder governance.</w:t>
      </w:r>
      <w:r>
        <w:rPr>
          <w:rFonts w:ascii="Georgia" w:cs="Georgia" w:eastAsia="Georgia" w:hAnsi="Georgia"/>
          <w:color w:val="1A1A1A"/>
          <w:sz w:val="21"/>
          <w:szCs w:val="21"/>
        </w:rPr>
        <w:t xml:space="preserve"> Governance by convening states, business, academia and civil society together; the Forum’s core method.</w:t>
      </w:r>
    </w:p>
    <w:p>
      <w:pPr>
        <w:spacing w:after="140" w:line="276"/>
        <w:jc w:val="both"/>
      </w:pPr>
      <w:r>
        <w:rPr>
          <w:rFonts w:ascii="Georgia" w:cs="Georgia" w:eastAsia="Georgia" w:hAnsi="Georgia"/>
          <w:b/>
          <w:bCs/>
          <w:color w:val="1A1A1A"/>
          <w:sz w:val="21"/>
          <w:szCs w:val="21"/>
        </w:rPr>
        <w:t xml:space="preserve">Mutual recognition.</w:t>
      </w:r>
      <w:r>
        <w:rPr>
          <w:rFonts w:ascii="Georgia" w:cs="Georgia" w:eastAsia="Georgia" w:hAnsi="Georgia"/>
          <w:color w:val="1A1A1A"/>
          <w:sz w:val="21"/>
          <w:szCs w:val="21"/>
        </w:rPr>
        <w:t xml:space="preserve"> Jurisdictions accepting each other’s conformity assessments to reduce duplication.</w:t>
      </w:r>
    </w:p>
    <w:p>
      <w:pPr>
        <w:spacing w:after="140" w:line="276"/>
        <w:jc w:val="both"/>
      </w:pPr>
      <w:r>
        <w:rPr>
          <w:rFonts w:ascii="Georgia" w:cs="Georgia" w:eastAsia="Georgia" w:hAnsi="Georgia"/>
          <w:b/>
          <w:bCs/>
          <w:color w:val="1A1A1A"/>
          <w:sz w:val="21"/>
          <w:szCs w:val="21"/>
        </w:rPr>
        <w:t xml:space="preserve">Neurorights / neurotechnology.</w:t>
      </w:r>
      <w:r>
        <w:rPr>
          <w:rFonts w:ascii="Georgia" w:cs="Georgia" w:eastAsia="Georgia" w:hAnsi="Georgia"/>
          <w:color w:val="1A1A1A"/>
          <w:sz w:val="21"/>
          <w:szCs w:val="21"/>
        </w:rPr>
        <w:t xml:space="preserve"> Rights and governance for brain data and brain-computer interfaces; Chile has legislated, UNESCO has a recommendation.</w:t>
      </w:r>
    </w:p>
    <w:p>
      <w:pPr>
        <w:spacing w:after="140" w:line="276"/>
        <w:jc w:val="both"/>
      </w:pPr>
      <w:r>
        <w:rPr>
          <w:rFonts w:ascii="Georgia" w:cs="Georgia" w:eastAsia="Georgia" w:hAnsi="Georgia"/>
          <w:b/>
          <w:bCs/>
          <w:color w:val="1A1A1A"/>
          <w:sz w:val="21"/>
          <w:szCs w:val="21"/>
        </w:rPr>
        <w:t xml:space="preserve">New Approach.</w:t>
      </w:r>
      <w:r>
        <w:rPr>
          <w:rFonts w:ascii="Georgia" w:cs="Georgia" w:eastAsia="Georgia" w:hAnsi="Georgia"/>
          <w:color w:val="1A1A1A"/>
          <w:sz w:val="21"/>
          <w:szCs w:val="21"/>
        </w:rPr>
        <w:t xml:space="preserve"> EU technique where legislation sets essential requirements and harmonised standards supply the technical detail.</w:t>
      </w:r>
    </w:p>
    <w:p>
      <w:pPr>
        <w:spacing w:after="140" w:line="276"/>
        <w:jc w:val="both"/>
      </w:pPr>
      <w:r>
        <w:rPr>
          <w:rFonts w:ascii="Georgia" w:cs="Georgia" w:eastAsia="Georgia" w:hAnsi="Georgia"/>
          <w:b/>
          <w:bCs/>
          <w:color w:val="1A1A1A"/>
          <w:sz w:val="21"/>
          <w:szCs w:val="21"/>
        </w:rPr>
        <w:t xml:space="preserve">NISQ.</w:t>
      </w:r>
      <w:r>
        <w:rPr>
          <w:rFonts w:ascii="Georgia" w:cs="Georgia" w:eastAsia="Georgia" w:hAnsi="Georgia"/>
          <w:color w:val="1A1A1A"/>
          <w:sz w:val="21"/>
          <w:szCs w:val="21"/>
        </w:rPr>
        <w:t xml:space="preserve"> Noisy intermediate-scale quantum — today’s error-prone quantum computers, short of fault tolerance.</w:t>
      </w:r>
    </w:p>
    <w:p>
      <w:pPr>
        <w:spacing w:after="140" w:line="276"/>
        <w:jc w:val="both"/>
      </w:pPr>
      <w:r>
        <w:rPr>
          <w:rFonts w:ascii="Georgia" w:cs="Georgia" w:eastAsia="Georgia" w:hAnsi="Georgia"/>
          <w:b/>
          <w:bCs/>
          <w:color w:val="1A1A1A"/>
          <w:sz w:val="21"/>
          <w:szCs w:val="21"/>
        </w:rPr>
        <w:t xml:space="preserve">Outcome-based regulation.</w:t>
      </w:r>
      <w:r>
        <w:rPr>
          <w:rFonts w:ascii="Georgia" w:cs="Georgia" w:eastAsia="Georgia" w:hAnsi="Georgia"/>
          <w:color w:val="1A1A1A"/>
          <w:sz w:val="21"/>
          <w:szCs w:val="21"/>
        </w:rPr>
        <w:t xml:space="preserve"> Specifying the result to achieve rather than the method or technology to use.</w:t>
      </w:r>
    </w:p>
    <w:p>
      <w:pPr>
        <w:spacing w:after="140" w:line="276"/>
        <w:jc w:val="both"/>
      </w:pPr>
      <w:r>
        <w:rPr>
          <w:rFonts w:ascii="Georgia" w:cs="Georgia" w:eastAsia="Georgia" w:hAnsi="Georgia"/>
          <w:b/>
          <w:bCs/>
          <w:color w:val="1A1A1A"/>
          <w:sz w:val="21"/>
          <w:szCs w:val="21"/>
        </w:rPr>
        <w:t xml:space="preserve">Outer Space Treaty (1967).</w:t>
      </w:r>
      <w:r>
        <w:rPr>
          <w:rFonts w:ascii="Georgia" w:cs="Georgia" w:eastAsia="Georgia" w:hAnsi="Georgia"/>
          <w:color w:val="1A1A1A"/>
          <w:sz w:val="21"/>
          <w:szCs w:val="21"/>
        </w:rPr>
        <w:t xml:space="preserve"> The foundational space-law framework: benefit of all, no national appropriation, state responsibility.</w:t>
      </w:r>
    </w:p>
    <w:p>
      <w:pPr>
        <w:spacing w:after="140" w:line="276"/>
        <w:jc w:val="both"/>
      </w:pPr>
      <w:r>
        <w:rPr>
          <w:rFonts w:ascii="Georgia" w:cs="Georgia" w:eastAsia="Georgia" w:hAnsi="Georgia"/>
          <w:b/>
          <w:bCs/>
          <w:color w:val="1A1A1A"/>
          <w:sz w:val="21"/>
          <w:szCs w:val="21"/>
        </w:rPr>
        <w:t xml:space="preserve">Pacing problem.</w:t>
      </w:r>
      <w:r>
        <w:rPr>
          <w:rFonts w:ascii="Georgia" w:cs="Georgia" w:eastAsia="Georgia" w:hAnsi="Georgia"/>
          <w:color w:val="1A1A1A"/>
          <w:sz w:val="21"/>
          <w:szCs w:val="21"/>
        </w:rPr>
        <w:t xml:space="preserve"> Technology advances exponentially while law advances incrementally; the gap between them.</w:t>
      </w:r>
    </w:p>
    <w:p>
      <w:pPr>
        <w:spacing w:after="140" w:line="276"/>
        <w:jc w:val="both"/>
      </w:pPr>
      <w:r>
        <w:rPr>
          <w:rFonts w:ascii="Georgia" w:cs="Georgia" w:eastAsia="Georgia" w:hAnsi="Georgia"/>
          <w:b/>
          <w:bCs/>
          <w:color w:val="1A1A1A"/>
          <w:sz w:val="21"/>
          <w:szCs w:val="21"/>
        </w:rPr>
        <w:t xml:space="preserve">Permissionless innovation.</w:t>
      </w:r>
      <w:r>
        <w:rPr>
          <w:rFonts w:ascii="Georgia" w:cs="Georgia" w:eastAsia="Georgia" w:hAnsi="Georgia"/>
          <w:color w:val="1A1A1A"/>
          <w:sz w:val="21"/>
          <w:szCs w:val="21"/>
        </w:rPr>
        <w:t xml:space="preserve"> Allow innovation by default and intervene only on evidence of harm; contrast with precaution.</w:t>
      </w:r>
    </w:p>
    <w:p>
      <w:pPr>
        <w:spacing w:after="140" w:line="276"/>
        <w:jc w:val="both"/>
      </w:pPr>
      <w:r>
        <w:rPr>
          <w:rFonts w:ascii="Georgia" w:cs="Georgia" w:eastAsia="Georgia" w:hAnsi="Georgia"/>
          <w:b/>
          <w:bCs/>
          <w:color w:val="1A1A1A"/>
          <w:sz w:val="21"/>
          <w:szCs w:val="21"/>
        </w:rPr>
        <w:t xml:space="preserve">Pilot purgatory.</w:t>
      </w:r>
      <w:r>
        <w:rPr>
          <w:rFonts w:ascii="Georgia" w:cs="Georgia" w:eastAsia="Georgia" w:hAnsi="Georgia"/>
          <w:color w:val="1A1A1A"/>
          <w:sz w:val="21"/>
          <w:szCs w:val="21"/>
        </w:rPr>
        <w:t xml:space="preserve"> A pilot that proves a concept but never scales into permanent, replicated practice.</w:t>
      </w:r>
    </w:p>
    <w:p>
      <w:pPr>
        <w:spacing w:after="140" w:line="276"/>
        <w:jc w:val="both"/>
      </w:pPr>
      <w:r>
        <w:rPr>
          <w:rFonts w:ascii="Georgia" w:cs="Georgia" w:eastAsia="Georgia" w:hAnsi="Georgia"/>
          <w:b/>
          <w:bCs/>
          <w:color w:val="1A1A1A"/>
          <w:sz w:val="21"/>
          <w:szCs w:val="21"/>
        </w:rPr>
        <w:t xml:space="preserve">Post-quantum cryptography (PQC).</w:t>
      </w:r>
      <w:r>
        <w:rPr>
          <w:rFonts w:ascii="Georgia" w:cs="Georgia" w:eastAsia="Georgia" w:hAnsi="Georgia"/>
          <w:color w:val="1A1A1A"/>
          <w:sz w:val="21"/>
          <w:szCs w:val="21"/>
        </w:rPr>
        <w:t xml:space="preserve"> Encryption resistant to quantum attack; first NIST standards finalised 2024 (ML-KEM, ML-DSA, SLH-DSA).</w:t>
      </w:r>
    </w:p>
    <w:p>
      <w:pPr>
        <w:spacing w:after="140" w:line="276"/>
        <w:jc w:val="both"/>
      </w:pPr>
      <w:r>
        <w:rPr>
          <w:rFonts w:ascii="Georgia" w:cs="Georgia" w:eastAsia="Georgia" w:hAnsi="Georgia"/>
          <w:b/>
          <w:bCs/>
          <w:color w:val="1A1A1A"/>
          <w:sz w:val="21"/>
          <w:szCs w:val="21"/>
        </w:rPr>
        <w:t xml:space="preserve">Precautionary principle.</w:t>
      </w:r>
      <w:r>
        <w:rPr>
          <w:rFonts w:ascii="Georgia" w:cs="Georgia" w:eastAsia="Georgia" w:hAnsi="Georgia"/>
          <w:color w:val="1A1A1A"/>
          <w:sz w:val="21"/>
          <w:szCs w:val="21"/>
        </w:rPr>
        <w:t xml:space="preserve"> Requiring proof of safety before deployment where potential harm is serious; dominant in the EU.</w:t>
      </w:r>
    </w:p>
    <w:p>
      <w:pPr>
        <w:spacing w:after="140" w:line="276"/>
        <w:jc w:val="both"/>
      </w:pPr>
      <w:r>
        <w:rPr>
          <w:rFonts w:ascii="Georgia" w:cs="Georgia" w:eastAsia="Georgia" w:hAnsi="Georgia"/>
          <w:b/>
          <w:bCs/>
          <w:color w:val="1A1A1A"/>
          <w:sz w:val="21"/>
          <w:szCs w:val="21"/>
        </w:rPr>
        <w:t xml:space="preserve">Reference case.</w:t>
      </w:r>
      <w:r>
        <w:rPr>
          <w:rFonts w:ascii="Georgia" w:cs="Georgia" w:eastAsia="Georgia" w:hAnsi="Georgia"/>
          <w:color w:val="1A1A1A"/>
          <w:sz w:val="21"/>
          <w:szCs w:val="21"/>
        </w:rPr>
        <w:t xml:space="preserve"> A rigorously documented real implementation that serves as a replicable blueprint, with conditional (‘if X, do Y’) logic.</w:t>
      </w:r>
    </w:p>
    <w:p>
      <w:pPr>
        <w:spacing w:after="140" w:line="276"/>
        <w:jc w:val="both"/>
      </w:pPr>
      <w:r>
        <w:rPr>
          <w:rFonts w:ascii="Georgia" w:cs="Georgia" w:eastAsia="Georgia" w:hAnsi="Georgia"/>
          <w:b/>
          <w:bCs/>
          <w:color w:val="1A1A1A"/>
          <w:sz w:val="21"/>
          <w:szCs w:val="21"/>
        </w:rPr>
        <w:t xml:space="preserve">Regulatory foresight.</w:t>
      </w:r>
      <w:r>
        <w:rPr>
          <w:rFonts w:ascii="Georgia" w:cs="Georgia" w:eastAsia="Georgia" w:hAnsi="Georgia"/>
          <w:color w:val="1A1A1A"/>
          <w:sz w:val="21"/>
          <w:szCs w:val="21"/>
        </w:rPr>
        <w:t xml:space="preserve"> Systematic horizon-scanning and scenario work to anticipate emerging technologies.</w:t>
      </w:r>
    </w:p>
    <w:p>
      <w:pPr>
        <w:spacing w:after="140" w:line="276"/>
        <w:jc w:val="both"/>
      </w:pPr>
      <w:r>
        <w:rPr>
          <w:rFonts w:ascii="Georgia" w:cs="Georgia" w:eastAsia="Georgia" w:hAnsi="Georgia"/>
          <w:b/>
          <w:bCs/>
          <w:color w:val="1A1A1A"/>
          <w:sz w:val="21"/>
          <w:szCs w:val="21"/>
        </w:rPr>
        <w:t xml:space="preserve">Regulatory Impact Assessment (RIA).</w:t>
      </w:r>
      <w:r>
        <w:rPr>
          <w:rFonts w:ascii="Georgia" w:cs="Georgia" w:eastAsia="Georgia" w:hAnsi="Georgia"/>
          <w:color w:val="1A1A1A"/>
          <w:sz w:val="21"/>
          <w:szCs w:val="21"/>
        </w:rPr>
        <w:t xml:space="preserve"> Ex-ante appraisal of a rule’s costs, benefits and alternatives; the workhorse of better regulation.</w:t>
      </w:r>
    </w:p>
    <w:p>
      <w:pPr>
        <w:spacing w:after="140" w:line="276"/>
        <w:jc w:val="both"/>
      </w:pPr>
      <w:r>
        <w:rPr>
          <w:rFonts w:ascii="Georgia" w:cs="Georgia" w:eastAsia="Georgia" w:hAnsi="Georgia"/>
          <w:b/>
          <w:bCs/>
          <w:color w:val="1A1A1A"/>
          <w:sz w:val="21"/>
          <w:szCs w:val="21"/>
        </w:rPr>
        <w:t xml:space="preserve">Regulatory sandbox.</w:t>
      </w:r>
      <w:r>
        <w:rPr>
          <w:rFonts w:ascii="Georgia" w:cs="Georgia" w:eastAsia="Georgia" w:hAnsi="Georgia"/>
          <w:color w:val="1A1A1A"/>
          <w:sz w:val="21"/>
          <w:szCs w:val="21"/>
        </w:rPr>
        <w:t xml:space="preserve"> A controlled, time-limited environment to test innovations with real users under relaxed rules and supervision.</w:t>
      </w:r>
    </w:p>
    <w:p>
      <w:pPr>
        <w:spacing w:after="140" w:line="276"/>
        <w:jc w:val="both"/>
      </w:pPr>
      <w:r>
        <w:rPr>
          <w:rFonts w:ascii="Georgia" w:cs="Georgia" w:eastAsia="Georgia" w:hAnsi="Georgia"/>
          <w:b/>
          <w:bCs/>
          <w:color w:val="1A1A1A"/>
          <w:sz w:val="21"/>
          <w:szCs w:val="21"/>
        </w:rPr>
        <w:t xml:space="preserve">Regulatory privilege / sandbox paradox.</w:t>
      </w:r>
      <w:r>
        <w:rPr>
          <w:rFonts w:ascii="Georgia" w:cs="Georgia" w:eastAsia="Georgia" w:hAnsi="Georgia"/>
          <w:color w:val="1A1A1A"/>
          <w:sz w:val="21"/>
          <w:szCs w:val="21"/>
        </w:rPr>
        <w:t xml:space="preserve"> The risk that relaxing rules for sandbox entrants creates unequal treatment favouring insiders.</w:t>
      </w:r>
    </w:p>
    <w:p>
      <w:pPr>
        <w:spacing w:after="140" w:line="276"/>
        <w:jc w:val="both"/>
      </w:pPr>
      <w:r>
        <w:rPr>
          <w:rFonts w:ascii="Georgia" w:cs="Georgia" w:eastAsia="Georgia" w:hAnsi="Georgia"/>
          <w:b/>
          <w:bCs/>
          <w:color w:val="1A1A1A"/>
          <w:sz w:val="21"/>
          <w:szCs w:val="21"/>
        </w:rPr>
        <w:t xml:space="preserve">RegTech / SupTech.</w:t>
      </w:r>
      <w:r>
        <w:rPr>
          <w:rFonts w:ascii="Georgia" w:cs="Georgia" w:eastAsia="Georgia" w:hAnsi="Georgia"/>
          <w:color w:val="1A1A1A"/>
          <w:sz w:val="21"/>
          <w:szCs w:val="21"/>
        </w:rPr>
        <w:t xml:space="preserve"> Technology that helps the regulated comply (RegTech) or helps the supervisor regulate (SupTech).</w:t>
      </w:r>
    </w:p>
    <w:p>
      <w:pPr>
        <w:spacing w:after="140" w:line="276"/>
        <w:jc w:val="both"/>
      </w:pPr>
      <w:r>
        <w:rPr>
          <w:rFonts w:ascii="Georgia" w:cs="Georgia" w:eastAsia="Georgia" w:hAnsi="Georgia"/>
          <w:b/>
          <w:bCs/>
          <w:color w:val="1A1A1A"/>
          <w:sz w:val="21"/>
          <w:szCs w:val="21"/>
        </w:rPr>
        <w:t xml:space="preserve">Risk-based regulation.</w:t>
      </w:r>
      <w:r>
        <w:rPr>
          <w:rFonts w:ascii="Georgia" w:cs="Georgia" w:eastAsia="Georgia" w:hAnsi="Georgia"/>
          <w:color w:val="1A1A1A"/>
          <w:sz w:val="21"/>
          <w:szCs w:val="21"/>
        </w:rPr>
        <w:t xml:space="preserve"> Concentrating regulatory effort where potential harm is greatest; e.g. the AI Act’s tiers.</w:t>
      </w:r>
    </w:p>
    <w:p>
      <w:pPr>
        <w:spacing w:after="140" w:line="276"/>
        <w:jc w:val="both"/>
      </w:pPr>
      <w:r>
        <w:rPr>
          <w:rFonts w:ascii="Georgia" w:cs="Georgia" w:eastAsia="Georgia" w:hAnsi="Georgia"/>
          <w:b/>
          <w:bCs/>
          <w:color w:val="1A1A1A"/>
          <w:sz w:val="21"/>
          <w:szCs w:val="21"/>
        </w:rPr>
        <w:t xml:space="preserve">Safety case.</w:t>
      </w:r>
      <w:r>
        <w:rPr>
          <w:rFonts w:ascii="Georgia" w:cs="Georgia" w:eastAsia="Georgia" w:hAnsi="Georgia"/>
          <w:color w:val="1A1A1A"/>
          <w:sz w:val="21"/>
          <w:szCs w:val="21"/>
        </w:rPr>
        <w:t xml:space="preserve"> A structured, evidence-based argument that a system is acceptably safe; used for automated vehicles.</w:t>
      </w:r>
    </w:p>
    <w:p>
      <w:pPr>
        <w:spacing w:after="140" w:line="276"/>
        <w:jc w:val="both"/>
      </w:pPr>
      <w:r>
        <w:rPr>
          <w:rFonts w:ascii="Georgia" w:cs="Georgia" w:eastAsia="Georgia" w:hAnsi="Georgia"/>
          <w:b/>
          <w:bCs/>
          <w:color w:val="1A1A1A"/>
          <w:sz w:val="21"/>
          <w:szCs w:val="21"/>
        </w:rPr>
        <w:t xml:space="preserve">SAE Levels 0–5.</w:t>
      </w:r>
      <w:r>
        <w:rPr>
          <w:rFonts w:ascii="Georgia" w:cs="Georgia" w:eastAsia="Georgia" w:hAnsi="Georgia"/>
          <w:color w:val="1A1A1A"/>
          <w:sz w:val="21"/>
          <w:szCs w:val="21"/>
        </w:rPr>
        <w:t xml:space="preserve"> The standard scale of driving automation, from no automation (0) to full autonomy (5).</w:t>
      </w:r>
    </w:p>
    <w:p>
      <w:pPr>
        <w:spacing w:after="140" w:line="276"/>
        <w:jc w:val="both"/>
      </w:pPr>
      <w:r>
        <w:rPr>
          <w:rFonts w:ascii="Georgia" w:cs="Georgia" w:eastAsia="Georgia" w:hAnsi="Georgia"/>
          <w:b/>
          <w:bCs/>
          <w:color w:val="1A1A1A"/>
          <w:sz w:val="21"/>
          <w:szCs w:val="21"/>
        </w:rPr>
        <w:t xml:space="preserve">Scaling slump.</w:t>
      </w:r>
      <w:r>
        <w:rPr>
          <w:rFonts w:ascii="Georgia" w:cs="Georgia" w:eastAsia="Georgia" w:hAnsi="Georgia"/>
          <w:color w:val="1A1A1A"/>
          <w:sz w:val="21"/>
          <w:szCs w:val="21"/>
        </w:rPr>
        <w:t xml:space="preserve"> The stall between a successful pilot and scaled adoption, driven by capability, integration and governance gaps.</w:t>
      </w:r>
    </w:p>
    <w:p>
      <w:pPr>
        <w:spacing w:after="140" w:line="276"/>
        <w:jc w:val="both"/>
      </w:pPr>
      <w:r>
        <w:rPr>
          <w:rFonts w:ascii="Georgia" w:cs="Georgia" w:eastAsia="Georgia" w:hAnsi="Georgia"/>
          <w:b/>
          <w:bCs/>
          <w:color w:val="1A1A1A"/>
          <w:sz w:val="21"/>
          <w:szCs w:val="21"/>
        </w:rPr>
        <w:t xml:space="preserve">Small yard, high fence.</w:t>
      </w:r>
      <w:r>
        <w:rPr>
          <w:rFonts w:ascii="Georgia" w:cs="Georgia" w:eastAsia="Georgia" w:hAnsi="Georgia"/>
          <w:color w:val="1A1A1A"/>
          <w:sz w:val="21"/>
          <w:szCs w:val="21"/>
        </w:rPr>
        <w:t xml:space="preserve"> Restricting a narrow set of critical technologies tightly while keeping the rest open.</w:t>
      </w:r>
    </w:p>
    <w:p>
      <w:pPr>
        <w:spacing w:after="140" w:line="276"/>
        <w:jc w:val="both"/>
      </w:pPr>
      <w:r>
        <w:rPr>
          <w:rFonts w:ascii="Georgia" w:cs="Georgia" w:eastAsia="Georgia" w:hAnsi="Georgia"/>
          <w:b/>
          <w:bCs/>
          <w:color w:val="1A1A1A"/>
          <w:sz w:val="21"/>
          <w:szCs w:val="21"/>
        </w:rPr>
        <w:t xml:space="preserve">Soft law.</w:t>
      </w:r>
      <w:r>
        <w:rPr>
          <w:rFonts w:ascii="Georgia" w:cs="Georgia" w:eastAsia="Georgia" w:hAnsi="Georgia"/>
          <w:color w:val="1A1A1A"/>
          <w:sz w:val="21"/>
          <w:szCs w:val="21"/>
        </w:rPr>
        <w:t xml:space="preserve"> Non-binding instruments — standards, codes, principles — often a precursor to binding regulation.</w:t>
      </w:r>
    </w:p>
    <w:p>
      <w:pPr>
        <w:spacing w:after="140" w:line="276"/>
        <w:jc w:val="both"/>
      </w:pPr>
      <w:r>
        <w:rPr>
          <w:rFonts w:ascii="Georgia" w:cs="Georgia" w:eastAsia="Georgia" w:hAnsi="Georgia"/>
          <w:b/>
          <w:bCs/>
          <w:color w:val="1A1A1A"/>
          <w:sz w:val="21"/>
          <w:szCs w:val="21"/>
        </w:rPr>
        <w:t xml:space="preserve">Solar radiation modification (SRM).</w:t>
      </w:r>
      <w:r>
        <w:rPr>
          <w:rFonts w:ascii="Georgia" w:cs="Georgia" w:eastAsia="Georgia" w:hAnsi="Georgia"/>
          <w:color w:val="1A1A1A"/>
          <w:sz w:val="21"/>
          <w:szCs w:val="21"/>
        </w:rPr>
        <w:t xml:space="preserve"> Reflecting sunlight to cool the planet; cheap, fast, contested, and largely ungoverned; carries termination-shock risk.</w:t>
      </w:r>
    </w:p>
    <w:p>
      <w:pPr>
        <w:spacing w:after="140" w:line="276"/>
        <w:jc w:val="both"/>
      </w:pPr>
      <w:r>
        <w:rPr>
          <w:rFonts w:ascii="Georgia" w:cs="Georgia" w:eastAsia="Georgia" w:hAnsi="Georgia"/>
          <w:b/>
          <w:bCs/>
          <w:color w:val="1A1A1A"/>
          <w:sz w:val="21"/>
          <w:szCs w:val="21"/>
        </w:rPr>
        <w:t xml:space="preserve">Sunset clause.</w:t>
      </w:r>
      <w:r>
        <w:rPr>
          <w:rFonts w:ascii="Georgia" w:cs="Georgia" w:eastAsia="Georgia" w:hAnsi="Georgia"/>
          <w:color w:val="1A1A1A"/>
          <w:sz w:val="21"/>
          <w:szCs w:val="21"/>
        </w:rPr>
        <w:t xml:space="preserve"> A provision that makes a rule expire unless actively renewed; a tool of adaptive regulation.</w:t>
      </w:r>
    </w:p>
    <w:p>
      <w:pPr>
        <w:spacing w:after="140" w:line="276"/>
        <w:jc w:val="both"/>
      </w:pPr>
      <w:r>
        <w:rPr>
          <w:rFonts w:ascii="Georgia" w:cs="Georgia" w:eastAsia="Georgia" w:hAnsi="Georgia"/>
          <w:b/>
          <w:bCs/>
          <w:color w:val="1A1A1A"/>
          <w:sz w:val="21"/>
          <w:szCs w:val="21"/>
        </w:rPr>
        <w:t xml:space="preserve">Synthetic biology.</w:t>
      </w:r>
      <w:r>
        <w:rPr>
          <w:rFonts w:ascii="Georgia" w:cs="Georgia" w:eastAsia="Georgia" w:hAnsi="Georgia"/>
          <w:color w:val="1A1A1A"/>
          <w:sz w:val="21"/>
          <w:szCs w:val="21"/>
        </w:rPr>
        <w:t xml:space="preserve"> Engineering biology like software — designing and constructing new biological parts and systems.</w:t>
      </w:r>
    </w:p>
    <w:p>
      <w:pPr>
        <w:spacing w:after="140" w:line="276"/>
        <w:jc w:val="both"/>
      </w:pPr>
      <w:r>
        <w:rPr>
          <w:rFonts w:ascii="Georgia" w:cs="Georgia" w:eastAsia="Georgia" w:hAnsi="Georgia"/>
          <w:b/>
          <w:bCs/>
          <w:color w:val="1A1A1A"/>
          <w:sz w:val="21"/>
          <w:szCs w:val="21"/>
        </w:rPr>
        <w:t xml:space="preserve">Systemic-risk GPAI.</w:t>
      </w:r>
      <w:r>
        <w:rPr>
          <w:rFonts w:ascii="Georgia" w:cs="Georgia" w:eastAsia="Georgia" w:hAnsi="Georgia"/>
          <w:color w:val="1A1A1A"/>
          <w:sz w:val="21"/>
          <w:szCs w:val="21"/>
        </w:rPr>
        <w:t xml:space="preserve"> General-purpose AI judged capable enough to pose society-wide risks (10^25 FLOPs presumptive trigger), with extra EU duties.</w:t>
      </w:r>
    </w:p>
    <w:p>
      <w:pPr>
        <w:spacing w:after="140" w:line="276"/>
        <w:jc w:val="both"/>
      </w:pPr>
      <w:r>
        <w:rPr>
          <w:rFonts w:ascii="Georgia" w:cs="Georgia" w:eastAsia="Georgia" w:hAnsi="Georgia"/>
          <w:b/>
          <w:bCs/>
          <w:color w:val="1A1A1A"/>
          <w:sz w:val="21"/>
          <w:szCs w:val="21"/>
        </w:rPr>
        <w:t xml:space="preserve">Techno-nationalism.</w:t>
      </w:r>
      <w:r>
        <w:rPr>
          <w:rFonts w:ascii="Georgia" w:cs="Georgia" w:eastAsia="Georgia" w:hAnsi="Georgia"/>
          <w:color w:val="1A1A1A"/>
          <w:sz w:val="21"/>
          <w:szCs w:val="21"/>
        </w:rPr>
        <w:t xml:space="preserve"> Treating frontier technologies as strategic national assets via industrial policy and export controls.</w:t>
      </w:r>
    </w:p>
    <w:p>
      <w:pPr>
        <w:spacing w:after="140" w:line="276"/>
        <w:jc w:val="both"/>
      </w:pPr>
      <w:r>
        <w:rPr>
          <w:rFonts w:ascii="Georgia" w:cs="Georgia" w:eastAsia="Georgia" w:hAnsi="Georgia"/>
          <w:b/>
          <w:bCs/>
          <w:color w:val="1A1A1A"/>
          <w:sz w:val="21"/>
          <w:szCs w:val="21"/>
        </w:rPr>
        <w:t xml:space="preserve">Termination shock.</w:t>
      </w:r>
      <w:r>
        <w:rPr>
          <w:rFonts w:ascii="Georgia" w:cs="Georgia" w:eastAsia="Georgia" w:hAnsi="Georgia"/>
          <w:color w:val="1A1A1A"/>
          <w:sz w:val="21"/>
          <w:szCs w:val="21"/>
        </w:rPr>
        <w:t xml:space="preserve"> The abrupt, rapid warming that would follow if sustained solar geoengineering were suddenly stopped.</w:t>
      </w:r>
    </w:p>
    <w:p>
      <w:pPr>
        <w:spacing w:after="140" w:line="276"/>
        <w:jc w:val="both"/>
      </w:pPr>
      <w:r>
        <w:rPr>
          <w:rFonts w:ascii="Georgia" w:cs="Georgia" w:eastAsia="Georgia" w:hAnsi="Georgia"/>
          <w:b/>
          <w:bCs/>
          <w:color w:val="1A1A1A"/>
          <w:sz w:val="21"/>
          <w:szCs w:val="21"/>
        </w:rPr>
        <w:t xml:space="preserve">Transformer.</w:t>
      </w:r>
      <w:r>
        <w:rPr>
          <w:rFonts w:ascii="Georgia" w:cs="Georgia" w:eastAsia="Georgia" w:hAnsi="Georgia"/>
          <w:color w:val="1A1A1A"/>
          <w:sz w:val="21"/>
          <w:szCs w:val="21"/>
        </w:rPr>
        <w:t xml:space="preserve"> The neural-network architecture underpinning modern foundation models and LLMs.</w:t>
      </w:r>
    </w:p>
    <w:p>
      <w:pPr>
        <w:spacing w:after="140" w:line="276"/>
        <w:jc w:val="both"/>
      </w:pPr>
      <w:r>
        <w:rPr>
          <w:rFonts w:ascii="Georgia" w:cs="Georgia" w:eastAsia="Georgia" w:hAnsi="Georgia"/>
          <w:b/>
          <w:bCs/>
          <w:color w:val="1A1A1A"/>
          <w:sz w:val="21"/>
          <w:szCs w:val="21"/>
        </w:rPr>
        <w:t xml:space="preserve">UNECE WP.29 / GRVA.</w:t>
      </w:r>
      <w:r>
        <w:rPr>
          <w:rFonts w:ascii="Georgia" w:cs="Georgia" w:eastAsia="Georgia" w:hAnsi="Georgia"/>
          <w:color w:val="1A1A1A"/>
          <w:sz w:val="21"/>
          <w:szCs w:val="21"/>
        </w:rPr>
        <w:t xml:space="preserve"> The UN world forum (and its working party) that harmonises vehicle and automated-driving regulations.</w:t>
      </w:r>
    </w:p>
    <w:sectPr>
      <w:footerReference w:type="default" r:id="rId7"/>
      <w:pgSz w:w="12240" w:h="15840" w:orient="portrait"/>
      <w:pgMar w:top="118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E0" w:sz="4" w:space="6"/>
      </w:pBdr>
      <w:tabs>
        <w:tab w:val="right" w:pos="9360"/>
      </w:tabs>
    </w:pPr>
    <w:r>
      <w:rPr>
        <w:rFonts w:ascii="Calibri" w:cs="Calibri" w:eastAsia="Calibri" w:hAnsi="Calibri"/>
        <w:color w:val="55606E"/>
        <w:sz w:val="15"/>
        <w:szCs w:val="15"/>
      </w:rPr>
      <w:t xml:space="preserve">Frontier Tech &amp; Regulatory Innovation — Part A: Knowledge Base</w:t>
    </w:r>
    <w:r>
      <w:rPr>
        <w:sz w:val="15"/>
        <w:szCs w:val="15"/>
      </w:rPr>
      <w:t xml:space="preserve">	</w:t>
    </w:r>
    <w:r>
      <w:rPr>
        <w:rFonts w:ascii="Calibri" w:cs="Calibri" w:eastAsia="Calibri" w:hAnsi="Calibri"/>
        <w:color w:val="55606E"/>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Frontier Technology &amp; Regulatory Innovation — Part A: Knowledge Base</dc:title>
  <dc:creator>Interview Preparation</dc:creator>
  <cp:lastModifiedBy>Un-named</cp:lastModifiedBy>
  <cp:revision>1</cp:revision>
  <dcterms:created xsi:type="dcterms:W3CDTF">2026-09-19T10:29:56.021Z</dcterms:created>
  <dcterms:modified xsi:type="dcterms:W3CDTF">2026-09-19T10:29:56.021Z</dcterms:modified>
</cp:coreProperties>
</file>

<file path=docProps/custom.xml><?xml version="1.0" encoding="utf-8"?>
<Properties xmlns="http://schemas.openxmlformats.org/officeDocument/2006/custom-properties" xmlns:vt="http://schemas.openxmlformats.org/officeDocument/2006/docPropsVTypes"/>
</file>