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2F5D8A" w:sz="12" w:space="6"/>
        </w:pBdr>
        <w:spacing w:after="140" w:before="260"/>
      </w:pPr>
      <w:r>
        <w:rPr>
          <w:rFonts w:ascii="Calibri" w:cs="Calibri" w:eastAsia="Calibri" w:hAnsi="Calibri"/>
          <w:b/>
          <w:bCs/>
          <w:color w:val="1F2A44"/>
          <w:sz w:val="30"/>
          <w:szCs w:val="30"/>
        </w:rPr>
        <w:t xml:space="preserve">Cheat Sheet — Conversation with Maria Basso (WEF)</w:t>
      </w:r>
    </w:p>
    <w:p>
      <w:pPr>
        <w:spacing w:after="20"/>
      </w:pP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Your one-breath positioning (open or close with this)</w:t>
      </w:r>
    </w:p>
    <w:tbl>
      <w:tblPr>
        <w:tblW w:type="pct" w:w="100%"/>
        <w:tblBorders>
          <w:top w:val="single" w:color="2F5D8A" w:sz="4"/>
          <w:left w:val="single" w:color="2F5D8A" w:sz="24"/>
          <w:bottom w:val="single" w:color="2F5D8A" w:sz="4"/>
          <w:right w:val="single" w:color="2F5D8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64"/>
            </w:pPr>
            <w:r>
              <w:rPr>
                <w:rFonts w:ascii="Georgia" w:cs="Georgia" w:eastAsia="Georgia" w:hAnsi="Georgia"/>
                <w:color w:val="1F2A44"/>
                <w:sz w:val="20"/>
                <w:szCs w:val="20"/>
              </w:rPr>
              <w:t xml:space="preserve">I work the policy and enabling-environment side of climate-resilient energy, utilities and health — the regulated, public-interest sectors where AI is genuinely hard to deploy. That’s where your MINDS proof and the AI-First pattern most need to hold, and where the bottleneck is as much policy and market design as technology. I’m not here as an AI specialist — I’m here because I know why AI scales or stalls in exactly the sectors you’re trying to transform.</w:t>
            </w:r>
          </w:p>
        </w:tc>
      </w:tr>
    </w:tbl>
    <w:p>
      <w:pPr>
        <w:spacing w:after="80"/>
      </w:pP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Who she is — five must-knows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Maria Basso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Head of AI Applications &amp; Impact,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Centre for AI Excellence (CAIE)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, WEF. Owns applied, real-world AI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impact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Her roots: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MSc Mechanical Engineering &amp; Innovation in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Energy Systems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; ex-UN, McKinsey, UC Berkeley; entered WEF via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Advanced Manufacturing &amp; Value Chains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, then C4IR digital tech. An engineer and systems thinker, not a lab AI person.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Her two initiatives: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MINDS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(finds AI that works) +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AI-First Operating System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(codifies why). Proof, then pattern.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She optimises for: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proof over promise · systems not point-solutions · responsible &amp; inclusive · replicability · the real economy.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Her allergy: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AI hype and demo theatre. Her draw: measurable deployment and operating-model change.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MINDS — say these precisely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MINDS = Meaningful, Intelligent, Novel, Deployable Solutions.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Spotlights AI past the pilot stage delivering measurable, responsible impact at scale.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Selection criteria: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innovation · impact ·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replicability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, vetted by an independent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Impact Council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. Cohort 1 = 18 orgs / 23 countries (New Champions 2025, Hangzhou); later cohorts wider —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verify current figures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‘Proof over Promise’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(with Accenture): winners integrate AI into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core strategy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, not a side lab; the adoption divide is organisational, not technological.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Proof points to quote: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Saudi MoH diabetic-foot AI (−90% clinician time, −80% cost); Fujitsu supply-chain AI (−$15m inventory, −$20m excess stock).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AI-First Operating System — the five blocks</w:t>
      </w:r>
    </w:p>
    <w:tbl>
      <w:tblPr>
        <w:tblW w:type="dxa" w:w="10360"/>
        <w:tblBorders>
          <w:top w:val="single" w:color="C9D3E0" w:sz="2"/>
          <w:left w:val="none"/>
          <w:bottom w:val="single" w:color="C9D3E0" w:sz="2"/>
          <w:right w:val="none"/>
          <w:insideH w:val="single" w:color="C9D3E0" w:sz="2"/>
          <w:insideV w:val="single" w:color="C9D3E0" w:sz="2"/>
        </w:tblBorders>
      </w:tblPr>
      <w:tblGrid>
        <w:gridCol w:w="3000"/>
        <w:gridCol w:w="7360"/>
      </w:tblGrid>
      <w:tr>
        <w:trPr>
          <w:tblHeader/>
        </w:trPr>
        <w:tc>
          <w:tcPr>
            <w:tcW w:type="dxa" w:w="30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dxa" w:w="736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 one line</w:t>
            </w:r>
          </w:p>
        </w:tc>
      </w:tr>
      <w:tr>
        <w:tc>
          <w:tcPr>
            <w:tcW w:type="dxa" w:w="30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1 · Intelligence engines</w:t>
            </w:r>
          </w:p>
        </w:tc>
        <w:tc>
          <w:tcPr>
            <w:tcW w:type="dxa" w:w="736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Self-reinforcing data flywheels — speed, scale, scope.</w:t>
            </w:r>
          </w:p>
        </w:tc>
      </w:tr>
      <w:tr>
        <w:tc>
          <w:tcPr>
            <w:tcW w:type="dxa" w:w="300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2 · Adaptive tech stack</w:t>
            </w:r>
          </w:p>
        </w:tc>
        <w:tc>
          <w:tcPr>
            <w:tcW w:type="dxa" w:w="736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Modular; plugs in, evolves as models/vendors change.</w:t>
            </w:r>
          </w:p>
        </w:tc>
      </w:tr>
      <w:tr>
        <w:tc>
          <w:tcPr>
            <w:tcW w:type="dxa" w:w="30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3 · Operations redesign</w:t>
            </w:r>
          </w:p>
        </w:tc>
        <w:tc>
          <w:tcPr>
            <w:tcW w:type="dxa" w:w="736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Rebuild workflows around intelligence (the underestimated one).</w:t>
            </w:r>
          </w:p>
        </w:tc>
      </w:tr>
      <w:tr>
        <w:tc>
          <w:tcPr>
            <w:tcW w:type="dxa" w:w="300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4 · Human-AI teaming</w:t>
            </w:r>
          </w:p>
        </w:tc>
        <w:tc>
          <w:tcPr>
            <w:tcW w:type="dxa" w:w="736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Intelligence as collaborator; human oversight designed in.</w:t>
            </w:r>
          </w:p>
        </w:tc>
      </w:tr>
      <w:tr>
        <w:tc>
          <w:tcPr>
            <w:tcW w:type="dxa" w:w="30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5 · New value creation</w:t>
            </w:r>
          </w:p>
        </w:tc>
        <w:tc>
          <w:tcPr>
            <w:tcW w:type="dxa" w:w="736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Continuous value; new products &amp; business models, not just efficiency.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Thesis: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&gt;$250bn invested in AI in 2025, only ~25% see transformative impact — a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systems-design failure, not a technology one.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AI-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enabled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(bolt-on) vs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AI-first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(redesigned around intelligence).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Treat intelligence like capital.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With Kearney; cases Indeed, Gamma, Cognizant.</w:t>
      </w:r>
    </w:p>
    <w:p>
      <w:r>
        <w:br w:type="page"/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Your turf — energy, utilities, health (policy lens)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Why policy is your edge: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her showcase wins are easy in software, hard in regulated/public-interest sectors — where procurement, standards, trust and market design gate adoption. That’s your domain. It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extends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her AI-First thesis (‘adoption gap = systems-design failure’) into the terrain where it bites.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AI’s energy dilemma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(her Jan-2025 article): data centres ~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415→945 TWh by 2030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(1%→3%+); AI power up to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+50%/yr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; Ireland &gt;22%→~30%.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And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AI cuts energy up to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−60%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+ grid resilience, demand forecasting, DER, outage prediction. Goal: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net-positive AI.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Health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MINDS heartland (Saudi MoH foot-screening: −90% time, −80% cost). Gated by trust, validation, reimbursement — your levers.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Your best openers — offer a view, then ask (pick 5–6)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MINDS + AI-First are one loop (find proof → codify pattern) — where’s it hardest now, finding proof or getting the pattern adopted?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From the policy side, adoption in regulated sectors stalls on the enabling environment as much as the tech — how much of MINDS is really about the conditions around the deployment?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Your energy-dilemma piece resonated — in climate-resilient energy/utilities AI is load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and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resilience tool. Net positive this decade — technology, or market-design-and-policy?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Utilities are a stress test for AI-First — regulated, safety-critical, slow. Are you seeing the operating-model redesign there, or mostly fast software firms?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Health cases stay with me — trust and reimbursement decide if a model reaches a patient. Push MINDS deeper into public-interest sectors, or is the pull enterprise?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If someone came at this from the policy / enabling-environment side (energy, utilities, health), where would they add most — and where earn their stripes?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The questions SHE’ll ask you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“Tell me about yourself.”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→ policy in energy/utilities/health → pattern (make tech adoptable where the enabling environment is the constraint) → why her work now. End on a hook.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“You’re policy, not AI — why add value?”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→ in regulated sectors the model isn’t the bottleneck, the enabling environment is; that’s your home ground.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“What would you work on?”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→ one specific, humble hypothesis: deepen MINDS/AI-First in energy/utilities/health, or the enabling-environment playbook for regulated sectors.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“What’s overhyped in AI?”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→ better models don’t solve adoption; trust, procurement, validation and market design do. Judgement, not cynicism.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Power phrases — drop these verbatim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“In my sectors the model is rarely the bottleneck — the enabling environment is.”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“MINDS quietly proves adoption is a systems-and-conditions problem, not a model problem — which is why the AI-First blueprint had to exist.”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“The same AI that strains the grid is our best tool for grid resilience — whether it nets positive is a market-design and policy question.”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“In regulated sectors what actually transfers isn’t the model — it’s the policy and procurement scaffolding around it.”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“The hype skips the boring, decisive middle — trust and procurement — which is where adoption is actually won or lost.”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Do / Don’t in the room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Do: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offer a view then ask (never quiz) · bring one artefact of thought from energy/utilities/health · name an honest tension in her model · mirror her language (proof over promise, operating model, deployment, responsible, systems).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Don’t: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buzzword bingo · apologise for being ‘just policy’ (it’s your edge) · ask her to explain the Forum · turn it into a job ask too early. Make the one ask late and light, then follow up in 48 hours.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Last-minute confidence check</w:t>
      </w:r>
    </w:p>
    <w:tbl>
      <w:tblPr>
        <w:tblW w:type="pct" w:w="100%"/>
        <w:tblBorders>
          <w:top w:val="single" w:color="2F5D8A" w:sz="4"/>
          <w:left w:val="single" w:color="2F5D8A" w:sz="24"/>
          <w:bottom w:val="single" w:color="2F5D8A" w:sz="4"/>
          <w:right w:val="single" w:color="2F5D8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64"/>
            </w:pPr>
            <w:r>
              <w:rPr>
                <w:rFonts w:ascii="Georgia" w:cs="Georgia" w:eastAsia="Georgia" w:hAnsi="Georgia"/>
                <w:color w:val="1F2A44"/>
                <w:sz w:val="20"/>
                <w:szCs w:val="20"/>
              </w:rPr>
              <w:t xml:space="preserve">Can I (1) say my one-breath policy pitch; (2) name Maria’s two initiatives and the link between them; (3) spell out MINDS and its 3 criteria; (4) list the 5 building blocks; (5) quote the $250bn/25% gap and one MINDS proof point; (6) speak both sides of AI’s energy dilemma; (7) open 5 questions with a view-then-ask, and answer her four back? If yes to all seven, I’m ready.</w:t>
            </w:r>
          </w:p>
        </w:tc>
      </w:tr>
    </w:tbl>
    <w:p>
      <w:pPr>
        <w:spacing w:after="80"/>
      </w:pPr>
    </w:p>
    <w:sectPr>
      <w:footerReference w:type="default" r:id="rId7"/>
      <w:pgSz w:w="12240" w:h="15840" w:orient="portrait"/>
      <w:pgMar w:top="76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6"/>
      </w:pBdr>
      <w:tabs>
        <w:tab w:val="right" w:pos="9360"/>
      </w:tabs>
    </w:pPr>
    <w:r>
      <w:rPr>
        <w:rFonts w:ascii="Calibri" w:cs="Calibri" w:eastAsia="Calibri" w:hAnsi="Calibri"/>
        <w:color w:val="55606E"/>
        <w:sz w:val="15"/>
        <w:szCs w:val="15"/>
      </w:rPr>
      <w:t xml:space="preserve">Cheat Sheet — Conversation with Maria Basso, WEF</w:t>
    </w:r>
    <w:r>
      <w:rPr>
        <w:sz w:val="15"/>
        <w:szCs w:val="15"/>
      </w:rPr>
      <w:t xml:space="preserve">	</w:t>
    </w:r>
    <w:r>
      <w:rPr>
        <w:rFonts w:ascii="Calibri" w:cs="Calibri" w:eastAsia="Calibri" w:hAnsi="Calibri"/>
        <w:color w:val="55606E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Maria Basso Conversation — Cheat Sheet</dc:title>
  <dc:creator>Conversation Preparation</dc:creator>
  <cp:lastModifiedBy>Un-named</cp:lastModifiedBy>
  <cp:revision>1</cp:revision>
  <dcterms:created xsi:type="dcterms:W3CDTF">2026-09-03T09:58:17.586Z</dcterms:created>
  <dcterms:modified xsi:type="dcterms:W3CDTF">2026-09-03T09:58:17.586Z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