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rPr>
          <w:rFonts w:ascii="Calibri" w:cs="Calibri" w:eastAsia="Calibri" w:hAnsi="Calibri"/>
          <w:b/>
          <w:bCs/>
          <w:color w:val="2F5D8A"/>
          <w:spacing w:val="50"/>
          <w:sz w:val="24"/>
          <w:szCs w:val="24"/>
        </w:rPr>
        <w:t xml:space="preserve">INTERVIEW PREPARATION · PART B</w:t>
      </w:r>
    </w:p>
    <w:p>
      <w:pPr>
        <w:pBdr>
          <w:bottom w:val="single" w:color="2F5D8A" w:sz="14" w:space="10"/>
        </w:pBdr>
        <w:spacing w:before="40"/>
      </w:pPr>
    </w:p>
    <w:p>
      <w:pPr>
        <w:spacing w:before="300"/>
      </w:pPr>
      <w:r>
        <w:rPr>
          <w:rFonts w:ascii="Calibri" w:cs="Calibri" w:eastAsia="Calibri" w:hAnsi="Calibri"/>
          <w:b/>
          <w:bCs/>
          <w:color w:val="1F2A44"/>
          <w:sz w:val="54"/>
          <w:szCs w:val="54"/>
        </w:rPr>
        <w:t xml:space="preserve">Interview and Case Preparation</w:t>
      </w:r>
    </w:p>
    <w:p>
      <w:pPr>
        <w:spacing w:after="240"/>
      </w:pPr>
      <w:r>
        <w:rPr>
          <w:rFonts w:ascii="Calibri" w:cs="Calibri" w:eastAsia="Calibri" w:hAnsi="Calibri"/>
          <w:i/>
          <w:iCs/>
          <w:color w:val="2F5D8A"/>
          <w:sz w:val="34"/>
          <w:szCs w:val="34"/>
        </w:rPr>
        <w:t xml:space="preserve">HR screen and panel</w:t>
      </w:r>
    </w:p>
    <w:p>
      <w:pPr>
        <w:spacing w:after="40"/>
      </w:pPr>
      <w:r>
        <w:rPr>
          <w:rFonts w:ascii="Calibri" w:cs="Calibri" w:eastAsia="Calibri" w:hAnsi="Calibri"/>
          <w:b/>
          <w:bCs/>
          <w:color w:val="1F2A44"/>
          <w:sz w:val="26"/>
          <w:szCs w:val="26"/>
        </w:rPr>
        <w:t xml:space="preserve">Policy Lead, Global Regulatory Innovation Platform (GRIP)</w:t>
      </w:r>
    </w:p>
    <w:p>
      <w:pPr>
        <w:spacing w:after="480"/>
      </w:pPr>
      <w:r>
        <w:rPr>
          <w:rFonts w:ascii="Georgia" w:cs="Georgia" w:eastAsia="Georgia" w:hAnsi="Georgia"/>
          <w:color w:val="55606E"/>
          <w:sz w:val="21"/>
          <w:szCs w:val="21"/>
        </w:rPr>
        <w:t xml:space="preserve">World Economic Forum · Geneva</w:t>
      </w: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color w:val="1F2A44"/>
                <w:sz w:val="20"/>
                <w:szCs w:val="20"/>
              </w:rPr>
              <w:t xml:space="preserve">Part B of two. Fully scripted answers in your voice: positioning and answer architecture; the HR screen; the panel (motivation, strategy, knowledge products, convening, technology, judgement, experience stories); four case studies, the first written as a full work product; questions to ask. The knowledge base is Part A.</w:t>
            </w:r>
          </w:p>
        </w:tc>
      </w:tr>
    </w:tbl>
    <w:p>
      <w:r>
        <w:br w:type="page"/>
      </w:r>
    </w:p>
    <w:p>
      <w:pPr>
        <w:spacing w:after="160"/>
      </w:pPr>
      <w:r>
        <w:rPr>
          <w:rFonts w:ascii="Calibri" w:cs="Calibri" w:eastAsia="Calibri" w:hAnsi="Calibri"/>
          <w:b/>
          <w:bCs/>
          <w:color w:val="1F2A44"/>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Georgia" w:cs="Georgia" w:eastAsia="Georgia" w:hAnsi="Georgia"/>
          <w:i/>
          <w:iCs/>
          <w:color w:val="55606E"/>
          <w:sz w:val="16"/>
          <w:szCs w:val="16"/>
        </w:rPr>
        <w:t xml:space="preserve">In Word, right-click the contents and choose Update Field to populate page numbers.</w:t>
      </w: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B0 · How to Use Part B</w:t>
      </w:r>
    </w:p>
    <w:p>
      <w:pPr>
        <w:spacing w:after="200" w:line="288"/>
      </w:pPr>
      <w:r>
        <w:rPr>
          <w:rFonts w:ascii="Georgia" w:cs="Georgia" w:eastAsia="Georgia" w:hAnsi="Georgia"/>
          <w:i/>
          <w:iCs/>
          <w:color w:val="55606E"/>
          <w:sz w:val="22"/>
          <w:szCs w:val="22"/>
        </w:rPr>
        <w:t xml:space="preserve">Every answer in this volume is fully scripted in your voice, so you can edit it directly. Each script opens with a twenty-second headline (the answer first, as a consultant panel expects), then the full answer. Placeholders in square brackets mark facts only you can supply or confirm.</w:t>
      </w:r>
    </w:p>
    <w:p>
      <w:pPr>
        <w:pStyle w:val="Heading2"/>
        <w:spacing w:after="100" w:before="220"/>
      </w:pPr>
      <w:r>
        <w:rPr>
          <w:rFonts w:ascii="Calibri" w:cs="Calibri" w:eastAsia="Calibri" w:hAnsi="Calibri"/>
          <w:b/>
          <w:bCs/>
          <w:color w:val="2F5D8A"/>
          <w:sz w:val="25"/>
          <w:szCs w:val="25"/>
        </w:rPr>
        <w:t xml:space="preserve">1. The two stages</w:t>
      </w:r>
    </w:p>
    <w:tbl>
      <w:tblPr>
        <w:tblW w:type="dxa" w:w="9360"/>
        <w:tblBorders>
          <w:top w:val="single" w:color="C9D3E0" w:sz="2"/>
          <w:left w:val="none"/>
          <w:bottom w:val="single" w:color="C9D3E0" w:sz="2"/>
          <w:right w:val="none"/>
          <w:insideH w:val="single" w:color="C9D3E0" w:sz="2"/>
          <w:insideV w:val="single" w:color="C9D3E0" w:sz="2"/>
        </w:tblBorders>
      </w:tblPr>
      <w:tblGrid>
        <w:gridCol w:w="1900"/>
        <w:gridCol w:w="3730"/>
        <w:gridCol w:w="3730"/>
      </w:tblGrid>
      <w:tr>
        <w:trPr>
          <w:tblHeader/>
        </w:trPr>
        <w:tc>
          <w:tcPr>
            <w:tcW w:type="dxa" w:w="1900"/>
            <w:shd w:fill="1F2A44" w:val="clear"/>
            <w:tcMar>
              <w:top w:type="dxa" w:w="60"/>
              <w:left w:type="dxa" w:w="90"/>
              <w:bottom w:type="dxa" w:w="60"/>
              <w:right w:type="dxa" w:w="90"/>
            </w:tcMar>
          </w:tcPr>
          <w:p/>
        </w:tc>
        <w:tc>
          <w:tcPr>
            <w:tcW w:type="dxa" w:w="373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HR screen</w:t>
            </w:r>
          </w:p>
        </w:tc>
        <w:tc>
          <w:tcPr>
            <w:tcW w:type="dxa" w:w="373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Panel</w:t>
            </w:r>
          </w:p>
        </w:tc>
      </w:tr>
      <w:tr>
        <w:tc>
          <w:tcPr>
            <w:tcW w:type="dxa" w:w="19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What it decides</w:t>
            </w:r>
          </w:p>
        </w:tc>
        <w:tc>
          <w:tcPr>
            <w:tcW w:type="dxa" w:w="373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Whether you are a credible, motivated internal candidate worth the panel’s time.</w:t>
            </w:r>
          </w:p>
        </w:tc>
        <w:tc>
          <w:tcPr>
            <w:tcW w:type="dxa" w:w="373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Whether you can build the workstream, work across the frontier-technology teams, and hold your own on substance.</w:t>
            </w:r>
          </w:p>
        </w:tc>
      </w:tr>
      <w:tr>
        <w:tc>
          <w:tcPr>
            <w:tcW w:type="dxa" w:w="19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What they listen for</w:t>
            </w:r>
          </w:p>
        </w:tc>
        <w:tc>
          <w:tcPr>
            <w:tcW w:type="dxa" w:w="373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 clear reason to move within the Forum; understanding of the role’s scope; collaboration, integrity and impact.</w:t>
            </w:r>
          </w:p>
        </w:tc>
        <w:tc>
          <w:tcPr>
            <w:tcW w:type="dxa" w:w="373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 point of view; a diagnosis of what the role must solve; realism about a short mandate; fluency on quantum; evidence you have built things.</w:t>
            </w:r>
          </w:p>
        </w:tc>
      </w:tr>
      <w:tr>
        <w:tc>
          <w:tcPr>
            <w:tcW w:type="dxa" w:w="19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Your advantage</w:t>
            </w:r>
          </w:p>
        </w:tc>
        <w:tc>
          <w:tcPr>
            <w:tcW w:type="dxa" w:w="373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You already know how the Forum works: communities, co-design, knowledge products, senior convenings.</w:t>
            </w:r>
          </w:p>
        </w:tc>
        <w:tc>
          <w:tcPr>
            <w:tcW w:type="dxa" w:w="373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You can talk about the Forum’s machinery from the inside, not from the website.</w:t>
            </w:r>
          </w:p>
        </w:tc>
      </w:tr>
      <w:tr>
        <w:tc>
          <w:tcPr>
            <w:tcW w:type="dxa" w:w="19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Your risk</w:t>
            </w:r>
          </w:p>
        </w:tc>
        <w:tc>
          <w:tcPr>
            <w:tcW w:type="dxa" w:w="373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Being seen as moving away from your current team rather than towards this role.</w:t>
            </w:r>
          </w:p>
        </w:tc>
        <w:tc>
          <w:tcPr>
            <w:tcW w:type="dxa" w:w="373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Being seen as a climate person moving sideways; staying abstract on technology.</w:t>
            </w:r>
          </w:p>
        </w:tc>
      </w:tr>
    </w:tbl>
    <w:p>
      <w:pPr>
        <w:spacing w:after="80"/>
      </w:pPr>
    </w:p>
    <w:p>
      <w:pPr>
        <w:pStyle w:val="Heading2"/>
        <w:spacing w:after="100" w:before="220"/>
      </w:pPr>
      <w:r>
        <w:rPr>
          <w:rFonts w:ascii="Calibri" w:cs="Calibri" w:eastAsia="Calibri" w:hAnsi="Calibri"/>
          <w:b/>
          <w:bCs/>
          <w:color w:val="2F5D8A"/>
          <w:sz w:val="25"/>
          <w:szCs w:val="25"/>
        </w:rPr>
        <w:t xml:space="preserve">2. The answer architecture</w:t>
      </w:r>
    </w:p>
    <w:p>
      <w:pPr>
        <w:spacing w:after="140" w:line="276"/>
        <w:jc w:val="both"/>
      </w:pPr>
      <w:r>
        <w:rPr>
          <w:rFonts w:ascii="Georgia" w:cs="Georgia" w:eastAsia="Georgia" w:hAnsi="Georgia"/>
          <w:color w:val="1A1A1A"/>
          <w:sz w:val="21"/>
          <w:szCs w:val="21"/>
        </w:rPr>
        <w:t xml:space="preserve">Your strongest past answers follow the same logic. This is the structure every motivation and ‘why you’ answer in this volume uses:</w:t>
      </w:r>
    </w:p>
    <w:p>
      <w:pPr>
        <w:pStyle w:val="ListParagraph"/>
        <w:numPr>
          <w:ilvl w:val="0"/>
          <w:numId w:val="2"/>
        </w:numPr>
        <w:spacing w:after="70" w:line="268"/>
      </w:pPr>
      <w:r>
        <w:rPr>
          <w:rFonts w:ascii="Georgia" w:cs="Georgia" w:eastAsia="Georgia" w:hAnsi="Georgia"/>
          <w:b/>
          <w:bCs/>
          <w:color w:val="1A1A1A"/>
          <w:sz w:val="21"/>
          <w:szCs w:val="21"/>
        </w:rPr>
        <w:t xml:space="preserve">Headline:</w:t>
      </w:r>
      <w:r>
        <w:rPr>
          <w:rFonts w:ascii="Georgia" w:cs="Georgia" w:eastAsia="Georgia" w:hAnsi="Georgia"/>
          <w:color w:val="1A1A1A"/>
          <w:sz w:val="21"/>
          <w:szCs w:val="21"/>
        </w:rPr>
        <w:t xml:space="preserve"> the whole answer in three clauses, said first.</w:t>
      </w:r>
    </w:p>
    <w:p>
      <w:pPr>
        <w:pStyle w:val="ListParagraph"/>
        <w:numPr>
          <w:ilvl w:val="0"/>
          <w:numId w:val="2"/>
        </w:numPr>
        <w:spacing w:after="70" w:line="268"/>
      </w:pPr>
      <w:r>
        <w:rPr>
          <w:rFonts w:ascii="Georgia" w:cs="Georgia" w:eastAsia="Georgia" w:hAnsi="Georgia"/>
          <w:b/>
          <w:bCs/>
          <w:color w:val="1A1A1A"/>
          <w:sz w:val="21"/>
          <w:szCs w:val="21"/>
        </w:rPr>
        <w:t xml:space="preserve">The insight:</w:t>
      </w:r>
      <w:r>
        <w:rPr>
          <w:rFonts w:ascii="Georgia" w:cs="Georgia" w:eastAsia="Georgia" w:hAnsi="Georgia"/>
          <w:color w:val="1A1A1A"/>
          <w:sz w:val="21"/>
          <w:szCs w:val="21"/>
        </w:rPr>
        <w:t xml:space="preserve"> not what you did, but what it taught you, including one non-obvious mechanism.</w:t>
      </w:r>
    </w:p>
    <w:p>
      <w:pPr>
        <w:pStyle w:val="ListParagraph"/>
        <w:numPr>
          <w:ilvl w:val="0"/>
          <w:numId w:val="2"/>
        </w:numPr>
        <w:spacing w:after="70" w:line="268"/>
      </w:pPr>
      <w:r>
        <w:rPr>
          <w:rFonts w:ascii="Georgia" w:cs="Georgia" w:eastAsia="Georgia" w:hAnsi="Georgia"/>
          <w:b/>
          <w:bCs/>
          <w:color w:val="1A1A1A"/>
          <w:sz w:val="21"/>
          <w:szCs w:val="21"/>
        </w:rPr>
        <w:t xml:space="preserve">The organisation’s next problem:</w:t>
      </w:r>
      <w:r>
        <w:rPr>
          <w:rFonts w:ascii="Georgia" w:cs="Georgia" w:eastAsia="Georgia" w:hAnsi="Georgia"/>
          <w:color w:val="1A1A1A"/>
          <w:sz w:val="21"/>
          <w:szCs w:val="21"/>
        </w:rPr>
        <w:t xml:space="preserve"> where the Forum’s work is today and what will be hard next, and why that matches your insight.</w:t>
      </w:r>
    </w:p>
    <w:p>
      <w:pPr>
        <w:pStyle w:val="ListParagraph"/>
        <w:numPr>
          <w:ilvl w:val="0"/>
          <w:numId w:val="2"/>
        </w:numPr>
        <w:spacing w:after="70" w:line="268"/>
      </w:pPr>
      <w:r>
        <w:rPr>
          <w:rFonts w:ascii="Georgia" w:cs="Georgia" w:eastAsia="Georgia" w:hAnsi="Georgia"/>
          <w:b/>
          <w:bCs/>
          <w:color w:val="1A1A1A"/>
          <w:sz w:val="21"/>
          <w:szCs w:val="21"/>
        </w:rPr>
        <w:t xml:space="preserve">The context layer:</w:t>
      </w:r>
      <w:r>
        <w:rPr>
          <w:rFonts w:ascii="Georgia" w:cs="Georgia" w:eastAsia="Georgia" w:hAnsi="Georgia"/>
          <w:color w:val="1A1A1A"/>
          <w:sz w:val="21"/>
          <w:szCs w:val="21"/>
        </w:rPr>
        <w:t xml:space="preserve"> the ingredients that make it promising, and the constraint that makes it hard.</w:t>
      </w:r>
    </w:p>
    <w:p>
      <w:pPr>
        <w:pStyle w:val="ListParagraph"/>
        <w:numPr>
          <w:ilvl w:val="0"/>
          <w:numId w:val="2"/>
        </w:numPr>
        <w:spacing w:after="70" w:line="268"/>
      </w:pPr>
      <w:r>
        <w:rPr>
          <w:rFonts w:ascii="Georgia" w:cs="Georgia" w:eastAsia="Georgia" w:hAnsi="Georgia"/>
          <w:b/>
          <w:bCs/>
          <w:color w:val="1A1A1A"/>
          <w:sz w:val="21"/>
          <w:szCs w:val="21"/>
        </w:rPr>
        <w:t xml:space="preserve">Why it matters:</w:t>
      </w:r>
      <w:r>
        <w:rPr>
          <w:rFonts w:ascii="Georgia" w:cs="Georgia" w:eastAsia="Georgia" w:hAnsi="Georgia"/>
          <w:color w:val="1A1A1A"/>
          <w:sz w:val="21"/>
          <w:szCs w:val="21"/>
        </w:rPr>
        <w:t xml:space="preserve"> a specific argument, not a general value statement.</w:t>
      </w:r>
    </w:p>
    <w:p>
      <w:pPr>
        <w:pStyle w:val="ListParagraph"/>
        <w:numPr>
          <w:ilvl w:val="0"/>
          <w:numId w:val="2"/>
        </w:numPr>
        <w:spacing w:after="70" w:line="268"/>
      </w:pPr>
      <w:r>
        <w:rPr>
          <w:rFonts w:ascii="Georgia" w:cs="Georgia" w:eastAsia="Georgia" w:hAnsi="Georgia"/>
          <w:b/>
          <w:bCs/>
          <w:color w:val="1A1A1A"/>
          <w:sz w:val="21"/>
          <w:szCs w:val="21"/>
        </w:rPr>
        <w:t xml:space="preserve">What you would learn:</w:t>
      </w:r>
      <w:r>
        <w:rPr>
          <w:rFonts w:ascii="Georgia" w:cs="Georgia" w:eastAsia="Georgia" w:hAnsi="Georgia"/>
          <w:color w:val="1A1A1A"/>
          <w:sz w:val="21"/>
          <w:szCs w:val="21"/>
        </w:rPr>
        <w:t xml:space="preserve"> growth, stated concretely.</w:t>
      </w:r>
    </w:p>
    <w:p>
      <w:pPr>
        <w:pStyle w:val="ListParagraph"/>
        <w:numPr>
          <w:ilvl w:val="0"/>
          <w:numId w:val="2"/>
        </w:numPr>
        <w:spacing w:after="70" w:line="268"/>
      </w:pPr>
      <w:r>
        <w:rPr>
          <w:rFonts w:ascii="Georgia" w:cs="Georgia" w:eastAsia="Georgia" w:hAnsi="Georgia"/>
          <w:b/>
          <w:bCs/>
          <w:color w:val="1A1A1A"/>
          <w:sz w:val="21"/>
          <w:szCs w:val="21"/>
        </w:rPr>
        <w:t xml:space="preserve">The close:</w:t>
      </w:r>
      <w:r>
        <w:rPr>
          <w:rFonts w:ascii="Georgia" w:cs="Georgia" w:eastAsia="Georgia" w:hAnsi="Georgia"/>
          <w:color w:val="1A1A1A"/>
          <w:sz w:val="21"/>
          <w:szCs w:val="21"/>
        </w:rPr>
        <w:t xml:space="preserve"> a callback to the headline, in three parts.</w:t>
      </w:r>
    </w:p>
    <w:p>
      <w:pPr>
        <w:spacing w:after="140" w:line="276"/>
        <w:jc w:val="both"/>
      </w:pPr>
      <w:r>
        <w:rPr>
          <w:rFonts w:ascii="Georgia" w:cs="Georgia" w:eastAsia="Georgia" w:hAnsi="Georgia"/>
          <w:color w:val="1A1A1A"/>
          <w:sz w:val="21"/>
          <w:szCs w:val="21"/>
        </w:rPr>
        <w:t xml:space="preserve">Two style rules: no hedging (‘I think’, ‘sort of’, ‘a bit’, ‘really’), and signpost aloud (‘Three reasons.’ ‘The second layer is…’).</w:t>
      </w:r>
    </w:p>
    <w:p>
      <w:pPr>
        <w:pStyle w:val="Heading2"/>
        <w:spacing w:after="100" w:before="220"/>
      </w:pPr>
      <w:r>
        <w:rPr>
          <w:rFonts w:ascii="Calibri" w:cs="Calibri" w:eastAsia="Calibri" w:hAnsi="Calibri"/>
          <w:b/>
          <w:bCs/>
          <w:color w:val="2F5D8A"/>
          <w:sz w:val="25"/>
          <w:szCs w:val="25"/>
        </w:rPr>
        <w:t xml:space="preserve">3. Your spine</w:t>
      </w:r>
    </w:p>
    <w:p>
      <w:pPr>
        <w:spacing w:after="140" w:line="276"/>
        <w:jc w:val="both"/>
      </w:pPr>
      <w:r>
        <w:rPr>
          <w:rFonts w:ascii="Georgia" w:cs="Georgia" w:eastAsia="Georgia" w:hAnsi="Georgia"/>
          <w:color w:val="1A1A1A"/>
          <w:sz w:val="21"/>
          <w:szCs w:val="21"/>
        </w:rPr>
        <w:t xml:space="preserve">These are the ideas that recur across your answers. Knowing them cold lets you improvise under probing.</w:t>
      </w:r>
    </w:p>
    <w:tbl>
      <w:tblPr>
        <w:tblW w:type="dxa" w:w="9360"/>
        <w:tblBorders>
          <w:top w:val="single" w:color="C9D3E0" w:sz="2"/>
          <w:left w:val="none"/>
          <w:bottom w:val="single" w:color="C9D3E0" w:sz="2"/>
          <w:right w:val="none"/>
          <w:insideH w:val="single" w:color="C9D3E0" w:sz="2"/>
          <w:insideV w:val="single" w:color="C9D3E0" w:sz="2"/>
        </w:tblBorders>
      </w:tblPr>
      <w:tblGrid>
        <w:gridCol w:w="2400"/>
        <w:gridCol w:w="6960"/>
      </w:tblGrid>
      <w:tr>
        <w:trPr>
          <w:tblHeader/>
        </w:trPr>
        <w:tc>
          <w:tcPr>
            <w:tcW w:type="dxa" w:w="24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Element</w:t>
            </w:r>
          </w:p>
        </w:tc>
        <w:tc>
          <w:tcPr>
            <w:tcW w:type="dxa" w:w="69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Your version</w:t>
            </w:r>
          </w:p>
        </w:tc>
      </w:tr>
      <w:tr>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Thesis A</w:t>
            </w:r>
          </w:p>
        </w:tc>
        <w:tc>
          <w:tcPr>
            <w:tcW w:type="dxa" w:w="6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Governance is a design variable of technology transformation, not a downstream constraint. The transformations that worked (China’s renewables build-out) sequenced the state’s role deliberately: incentives and de-risking first, standards next, then a hand-over to the market. Frontier technology today runs the other way: technology first, governance late and reactive.</w:t>
            </w:r>
          </w:p>
        </w:tc>
      </w:tr>
      <w:tr>
        <w:tc>
          <w:tcPr>
            <w:tcW w:type="dxa" w:w="2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Thesis C</w:t>
            </w:r>
          </w:p>
        </w:tc>
        <w:tc>
          <w:tcPr>
            <w:tcW w:type="dxa" w:w="6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Regulatory design has become a competitive asset. Jurisdictions that design credible, early rules attract frontier industries (Switzerland and the UAE on crypto; the Gulf’s greenfield regimes). The risk is a race to the bottom; the opportunity is a race to quality.</w:t>
            </w:r>
          </w:p>
        </w:tc>
      </w:tr>
      <w:tr>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precedent: crypto</w:t>
            </w:r>
          </w:p>
        </w:tc>
        <w:tc>
          <w:tcPr>
            <w:tcW w:type="dxa" w:w="6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first frontier technology that forced regulators to innovate at speed: sandboxes, token taxonomies, bespoke regimes, then international standards. Also the cautionary tale: comprehensive rules arrived late and divergent, and arbitrage ended in failures like FTX.</w:t>
            </w:r>
          </w:p>
        </w:tc>
      </w:tr>
      <w:tr>
        <w:tc>
          <w:tcPr>
            <w:tcW w:type="dxa" w:w="2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Forum’s next problem</w:t>
            </w:r>
          </w:p>
        </w:tc>
        <w:tc>
          <w:tcPr>
            <w:tcW w:type="dxa" w:w="6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GRIP has built its thesis and core products around AI, health and finance. The next challenge is making it technology-specific and embedded: governance built into how the Forum’s frontier programmes are designed, without the Forum becoming a regulator. Quantum is the first test.</w:t>
            </w:r>
          </w:p>
        </w:tc>
      </w:tr>
      <w:tr>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Why quantum matters</w:t>
            </w:r>
          </w:p>
        </w:tc>
        <w:tc>
          <w:tcPr>
            <w:tcW w:type="dxa" w:w="6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Its upside is among the largest of any technology: simulating molecules and materials for new medicines, batteries, fertiliser catalysts and carbon capture. And, unusually, governance is ahead of the threat: the security transition has deadlines before the machine exists.</w:t>
            </w:r>
          </w:p>
        </w:tc>
      </w:tr>
      <w:tr>
        <w:tc>
          <w:tcPr>
            <w:tcW w:type="dxa" w:w="2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close</w:t>
            </w:r>
          </w:p>
        </w:tc>
        <w:tc>
          <w:tcPr>
            <w:tcW w:type="dxa" w:w="6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 learned how transformations are sequenced through the China work; how regulators innovate under pressure through crypto; and what makes a regime credible enough for others to buy into, at NEOM and inside the Forum. This role is where those three meet, starting with quantum.</w:t>
            </w:r>
          </w:p>
        </w:tc>
      </w:tr>
    </w:tbl>
    <w:p>
      <w:pPr>
        <w:spacing w:after="80"/>
      </w:pPr>
    </w:p>
    <w:p>
      <w:pPr>
        <w:pStyle w:val="Heading2"/>
        <w:spacing w:after="100" w:before="220"/>
      </w:pPr>
      <w:r>
        <w:rPr>
          <w:rFonts w:ascii="Calibri" w:cs="Calibri" w:eastAsia="Calibri" w:hAnsi="Calibri"/>
          <w:b/>
          <w:bCs/>
          <w:color w:val="2F5D8A"/>
          <w:sz w:val="25"/>
          <w:szCs w:val="25"/>
        </w:rPr>
        <w:t xml:space="preserve">4. Evidence map (to avoid repeating yourself)</w:t>
      </w:r>
    </w:p>
    <w:p>
      <w:pPr>
        <w:spacing w:after="140" w:line="276"/>
        <w:jc w:val="both"/>
      </w:pPr>
      <w:r>
        <w:rPr>
          <w:rFonts w:ascii="Georgia" w:cs="Georgia" w:eastAsia="Georgia" w:hAnsi="Georgia"/>
          <w:color w:val="1A1A1A"/>
          <w:sz w:val="21"/>
          <w:szCs w:val="21"/>
        </w:rPr>
        <w:t xml:space="preserve">Panels notice when the same story appears three times. Each piece of evidence has a primary home; use it elsewhere only in a sentence.</w:t>
      </w:r>
    </w:p>
    <w:tbl>
      <w:tblPr>
        <w:tblW w:type="dxa" w:w="9360"/>
        <w:tblBorders>
          <w:top w:val="single" w:color="C9D3E0" w:sz="2"/>
          <w:left w:val="none"/>
          <w:bottom w:val="single" w:color="C9D3E0" w:sz="2"/>
          <w:right w:val="none"/>
          <w:insideH w:val="single" w:color="C9D3E0" w:sz="2"/>
          <w:insideV w:val="single" w:color="C9D3E0" w:sz="2"/>
        </w:tblBorders>
      </w:tblPr>
      <w:tblGrid>
        <w:gridCol w:w="3300"/>
        <w:gridCol w:w="3100"/>
        <w:gridCol w:w="2960"/>
      </w:tblGrid>
      <w:tr>
        <w:trPr>
          <w:tblHeader/>
        </w:trPr>
        <w:tc>
          <w:tcPr>
            <w:tcW w:type="dxa" w:w="33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Evidence</w:t>
            </w:r>
          </w:p>
        </w:tc>
        <w:tc>
          <w:tcPr>
            <w:tcW w:type="dxa" w:w="31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Primary use</w:t>
            </w:r>
          </w:p>
        </w:tc>
        <w:tc>
          <w:tcPr>
            <w:tcW w:type="dxa" w:w="29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Secondary use</w:t>
            </w:r>
          </w:p>
        </w:tc>
      </w:tr>
      <w:tr>
        <w:tc>
          <w:tcPr>
            <w:tcW w:type="dxa" w:w="33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IEEP: China’s renewables transformation and the replication framework</w:t>
            </w:r>
          </w:p>
        </w:tc>
        <w:tc>
          <w:tcPr>
            <w:tcW w:type="dxa" w:w="31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Why this role (thesis A)</w:t>
            </w:r>
          </w:p>
        </w:tc>
        <w:tc>
          <w:tcPr>
            <w:tcW w:type="dxa" w:w="2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How you would codify a replicable model</w:t>
            </w:r>
          </w:p>
        </w:tc>
      </w:tr>
      <w:tr>
        <w:tc>
          <w:tcPr>
            <w:tcW w:type="dxa" w:w="33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Fortior and Toco: blockchain and crypto-asset regulation (Switzerland, EU)</w:t>
            </w:r>
          </w:p>
        </w:tc>
        <w:tc>
          <w:tcPr>
            <w:tcW w:type="dxa" w:w="31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What crypto taught regulators (P13)</w:t>
            </w:r>
          </w:p>
        </w:tc>
        <w:tc>
          <w:tcPr>
            <w:tcW w:type="dxa" w:w="2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Why you (frontier technology precedent)</w:t>
            </w:r>
          </w:p>
        </w:tc>
      </w:tr>
      <w:tr>
        <w:tc>
          <w:tcPr>
            <w:tcW w:type="dxa" w:w="33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FGS: design and sequencing of flagship platforms (GCF, SGI, FII)</w:t>
            </w:r>
          </w:p>
        </w:tc>
        <w:tc>
          <w:tcPr>
            <w:tcW w:type="dxa" w:w="31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Building from concept (P21)</w:t>
            </w:r>
          </w:p>
        </w:tc>
        <w:tc>
          <w:tcPr>
            <w:tcW w:type="dxa" w:w="2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Building a community; sequencing commitments</w:t>
            </w:r>
          </w:p>
        </w:tc>
      </w:tr>
      <w:tr>
        <w:tc>
          <w:tcPr>
            <w:tcW w:type="dxa" w:w="33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NEOM: making a greenfield regime credible to foreign investors and companies</w:t>
            </w:r>
          </w:p>
        </w:tc>
        <w:tc>
          <w:tcPr>
            <w:tcW w:type="dxa" w:w="31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NEOM story (P22); thesis C</w:t>
            </w:r>
          </w:p>
        </w:tc>
        <w:tc>
          <w:tcPr>
            <w:tcW w:type="dxa" w:w="2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Why regulators and companies need predictability</w:t>
            </w:r>
          </w:p>
        </w:tc>
      </w:tr>
      <w:tr>
        <w:tc>
          <w:tcPr>
            <w:tcW w:type="dxa" w:w="33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HSF and UN Geneva: comparative regulation; implementation of agreements</w:t>
            </w:r>
          </w:p>
        </w:tc>
        <w:tc>
          <w:tcPr>
            <w:tcW w:type="dxa" w:w="31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Divergence and interoperability</w:t>
            </w:r>
          </w:p>
        </w:tc>
        <w:tc>
          <w:tcPr>
            <w:tcW w:type="dxa" w:w="2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Translating frameworks into practice</w:t>
            </w:r>
          </w:p>
        </w:tc>
      </w:tr>
      <w:tr>
        <w:tc>
          <w:tcPr>
            <w:tcW w:type="dxa" w:w="33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Current Forum role: climate and healthcare-continuity workstream; business-leader community; senior briefings</w:t>
            </w:r>
          </w:p>
        </w:tc>
        <w:tc>
          <w:tcPr>
            <w:tcW w:type="dxa" w:w="31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Why now, what you bring from inside (HR 2–4)</w:t>
            </w:r>
          </w:p>
        </w:tc>
        <w:tc>
          <w:tcPr>
            <w:tcW w:type="dxa" w:w="2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Knowledge products that get used; convening</w:t>
            </w:r>
          </w:p>
        </w:tc>
      </w:tr>
    </w:tbl>
    <w:p>
      <w:pPr>
        <w:spacing w:after="80"/>
      </w:pP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B1 · The HR Screen</w:t>
      </w:r>
    </w:p>
    <w:p>
      <w:pPr>
        <w:spacing w:after="200" w:line="288"/>
      </w:pPr>
      <w:r>
        <w:rPr>
          <w:rFonts w:ascii="Georgia" w:cs="Georgia" w:eastAsia="Georgia" w:hAnsi="Georgia"/>
          <w:i/>
          <w:iCs/>
          <w:color w:val="55606E"/>
          <w:sz w:val="22"/>
          <w:szCs w:val="22"/>
        </w:rPr>
        <w:t xml:space="preserve">As an internal candidate, the HR screen will test three things: that you are moving towards this role rather than away from your current one, that you understand its scope precisely, and that you show the Forum’s core competencies (collaboration, integrity, impact). Scripts are sized for 60 to 120 seconds.</w:t>
      </w:r>
    </w:p>
    <w:p>
      <w:pPr>
        <w:pStyle w:val="Heading3"/>
        <w:spacing w:after="70" w:before="160"/>
      </w:pPr>
      <w:r>
        <w:rPr>
          <w:rFonts w:ascii="Calibri" w:cs="Calibri" w:eastAsia="Calibri" w:hAnsi="Calibri"/>
          <w:b/>
          <w:bCs/>
          <w:color w:val="1F2A44"/>
          <w:sz w:val="22"/>
          <w:szCs w:val="22"/>
        </w:rPr>
        <w:t xml:space="preserve">HR1. Walk me through your background.</w:t>
      </w:r>
    </w:p>
    <w:p>
      <w:pPr>
        <w:spacing w:after="140" w:line="276"/>
        <w:jc w:val="both"/>
      </w:pPr>
      <w:r>
        <w:rPr>
          <w:rFonts w:ascii="Georgia" w:cs="Georgia" w:eastAsia="Georgia" w:hAnsi="Georgia"/>
          <w:b/>
          <w:bCs/>
          <w:color w:val="1A1A1A"/>
          <w:sz w:val="21"/>
          <w:szCs w:val="21"/>
        </w:rPr>
        <w:t xml:space="preserve">What they are listening for:</w:t>
      </w:r>
      <w:r>
        <w:rPr>
          <w:rFonts w:ascii="Georgia" w:cs="Georgia" w:eastAsia="Georgia" w:hAnsi="Georgia"/>
          <w:color w:val="1A1A1A"/>
          <w:sz w:val="21"/>
          <w:szCs w:val="21"/>
        </w:rPr>
        <w:t xml:space="preserve"> A narrative with a thread, ending naturally at this role.</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My career has been about one question from different angles: how you design the conditions for a new industry or technology to scale, and what role regulation plays in that. I have looked at it as a researcher, a lawyer, an adviser to governments, and now inside the Forum.</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My career has been about one question, approached from different angles: how you design the conditions for a new industry or technology to scale, and what role regulation plays in that.</w:t>
      </w:r>
    </w:p>
    <w:p>
      <w:pPr>
        <w:spacing w:after="140" w:line="276"/>
        <w:jc w:val="both"/>
      </w:pPr>
      <w:r>
        <w:rPr>
          <w:rFonts w:ascii="Georgia" w:cs="Georgia" w:eastAsia="Georgia" w:hAnsi="Georgia"/>
          <w:color w:val="1A1A1A"/>
          <w:sz w:val="21"/>
          <w:szCs w:val="21"/>
        </w:rPr>
        <w:t xml:space="preserve">I started in Brussels at IEEP, working on how China had sequenced its national renewable-energy transformation, with the aim of building a replication logic other countries could use. That gave me the analytical frame I still use. I then practised as a lawyer: at Herbert Smith Freehills on comparative energy and renewables regulation across jurisdictions, at the UN in Geneva on implementing international agreements, and at Fortior on market access for energy, technology and blockchain clients, at the moment when regulators were first working out what to do with crypto-assets.</w:t>
      </w:r>
    </w:p>
    <w:p>
      <w:pPr>
        <w:spacing w:after="140" w:line="276"/>
        <w:jc w:val="both"/>
      </w:pPr>
      <w:r>
        <w:rPr>
          <w:rFonts w:ascii="Georgia" w:cs="Georgia" w:eastAsia="Georgia" w:hAnsi="Georgia"/>
          <w:color w:val="1A1A1A"/>
          <w:sz w:val="21"/>
          <w:szCs w:val="21"/>
        </w:rPr>
        <w:t xml:space="preserve">In the Gulf, at FGS Global, I moved from analysing regimes to helping build them: advising senior government leaders on the design and sequencing of flagship platforms such as the Global Cybersecurity Forum, the Saudi Green Initiative and the Future Investment Initiative, and assessing what would make NEOM credible to foreign investors and companies. After a period advising climate and digital-asset ventures on market entry, including a carbon-credit digital asset across the Swiss and Danish markets, I joined the Forum, where I lead a climate and healthcare-continuity workstream and help build a community of business leaders on workforce heat resilience.</w:t>
      </w:r>
    </w:p>
    <w:p>
      <w:pPr>
        <w:spacing w:after="140" w:line="276"/>
        <w:jc w:val="both"/>
      </w:pPr>
      <w:r>
        <w:rPr>
          <w:rFonts w:ascii="Georgia" w:cs="Georgia" w:eastAsia="Georgia" w:hAnsi="Georgia"/>
          <w:color w:val="1A1A1A"/>
          <w:sz w:val="21"/>
          <w:szCs w:val="21"/>
        </w:rPr>
        <w:t xml:space="preserve">So this role brings the strands together: frontier technology, regulatory design, and the Forum’s convening model.</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The full career arc, compressed; each role reduced to what it contributes to the thread.</w:t>
      </w:r>
    </w:p>
    <w:p>
      <w:pPr>
        <w:pStyle w:val="Heading3"/>
        <w:spacing w:after="70" w:before="160"/>
      </w:pPr>
      <w:r>
        <w:rPr>
          <w:rFonts w:ascii="Calibri" w:cs="Calibri" w:eastAsia="Calibri" w:hAnsi="Calibri"/>
          <w:b/>
          <w:bCs/>
          <w:color w:val="1F2A44"/>
          <w:sz w:val="22"/>
          <w:szCs w:val="22"/>
        </w:rPr>
        <w:t xml:space="preserve">HR2. Why do you want this role?</w:t>
      </w:r>
    </w:p>
    <w:p>
      <w:pPr>
        <w:spacing w:after="140" w:line="276"/>
        <w:jc w:val="both"/>
      </w:pPr>
      <w:r>
        <w:rPr>
          <w:rFonts w:ascii="Georgia" w:cs="Georgia" w:eastAsia="Georgia" w:hAnsi="Georgia"/>
          <w:b/>
          <w:bCs/>
          <w:color w:val="1A1A1A"/>
          <w:sz w:val="21"/>
          <w:szCs w:val="21"/>
        </w:rPr>
        <w:t xml:space="preserve">What they are listening for:</w:t>
      </w:r>
      <w:r>
        <w:rPr>
          <w:rFonts w:ascii="Georgia" w:cs="Georgia" w:eastAsia="Georgia" w:hAnsi="Georgia"/>
          <w:color w:val="1A1A1A"/>
          <w:sz w:val="21"/>
          <w:szCs w:val="21"/>
        </w:rPr>
        <w:t xml:space="preserve"> Genuine motivation and a clear link to your background. (This is the short form; the full version is Panel P1.)</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Because it sits exactly where I have been working: how technology transformations are designed, and how regulation can enable them rather than trail them. And because the Forum is at the point where that question needs to move from ideas into its frontier-technology programmes, starting with quantum.</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Three reasons.</w:t>
      </w:r>
    </w:p>
    <w:p>
      <w:pPr>
        <w:spacing w:after="140" w:line="276"/>
        <w:jc w:val="both"/>
      </w:pPr>
      <w:r>
        <w:rPr>
          <w:rFonts w:ascii="Georgia" w:cs="Georgia" w:eastAsia="Georgia" w:hAnsi="Georgia"/>
          <w:color w:val="1A1A1A"/>
          <w:sz w:val="21"/>
          <w:szCs w:val="21"/>
        </w:rPr>
        <w:t xml:space="preserve">The first is the intersection. My work has been about how transformations are designed: early on, how China sequenced its renewable-energy build-out, with the state de-risking first and then engineering its own step-back; later, how regulators improvised with crypto, and what made a greenfield regime like NEOM credible to investors. The pattern is consistent: governance works when it is designed into a transformation, and fails when it arrives afterwards.</w:t>
      </w:r>
    </w:p>
    <w:p>
      <w:pPr>
        <w:spacing w:after="140" w:line="276"/>
        <w:jc w:val="both"/>
      </w:pPr>
      <w:r>
        <w:rPr>
          <w:rFonts w:ascii="Georgia" w:cs="Georgia" w:eastAsia="Georgia" w:hAnsi="Georgia"/>
          <w:color w:val="1A1A1A"/>
          <w:sz w:val="21"/>
          <w:szCs w:val="21"/>
        </w:rPr>
        <w:t xml:space="preserve">The second is timing. GRIP has built a strong thesis, regulation as strategic infrastructure, around AI, health and finance. The next step is to make that concrete inside the Forum’s frontier-technology programmes, and quantum is the natural first test because its security transition already has deadlines.</w:t>
      </w:r>
    </w:p>
    <w:p>
      <w:pPr>
        <w:spacing w:after="140" w:line="276"/>
        <w:jc w:val="both"/>
      </w:pPr>
      <w:r>
        <w:rPr>
          <w:rFonts w:ascii="Georgia" w:cs="Georgia" w:eastAsia="Georgia" w:hAnsi="Georgia"/>
          <w:color w:val="1A1A1A"/>
          <w:sz w:val="21"/>
          <w:szCs w:val="21"/>
        </w:rPr>
        <w:t xml:space="preserve">The third is what I would learn: genuine depth in the technologies themselves, by working inside the teams that lead the Forum’s work on them, and the experience of building a global regulator community rather than working in one market.</w:t>
      </w:r>
    </w:p>
    <w:p>
      <w:pPr>
        <w:spacing w:after="140" w:line="276"/>
        <w:jc w:val="both"/>
      </w:pPr>
      <w:r>
        <w:rPr>
          <w:rFonts w:ascii="Georgia" w:cs="Georgia" w:eastAsia="Georgia" w:hAnsi="Georgia"/>
          <w:color w:val="1A1A1A"/>
          <w:sz w:val="21"/>
          <w:szCs w:val="21"/>
        </w:rPr>
        <w:t xml:space="preserve">So it is the right problem, at the right moment, in a place where I already know how to get things done.</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Thesis A; crypto and NEOM in one sentence each; the Forum’s next problem; growth.</w:t>
      </w:r>
    </w:p>
    <w:p>
      <w:pPr>
        <w:pStyle w:val="Heading3"/>
        <w:spacing w:after="70" w:before="160"/>
      </w:pPr>
      <w:r>
        <w:rPr>
          <w:rFonts w:ascii="Calibri" w:cs="Calibri" w:eastAsia="Calibri" w:hAnsi="Calibri"/>
          <w:b/>
          <w:bCs/>
          <w:color w:val="1F2A44"/>
          <w:sz w:val="22"/>
          <w:szCs w:val="22"/>
        </w:rPr>
        <w:t xml:space="preserve">HR3. Why move now, from your current team?</w:t>
      </w:r>
    </w:p>
    <w:p>
      <w:pPr>
        <w:spacing w:after="140" w:line="276"/>
        <w:jc w:val="both"/>
      </w:pPr>
      <w:r>
        <w:rPr>
          <w:rFonts w:ascii="Georgia" w:cs="Georgia" w:eastAsia="Georgia" w:hAnsi="Georgia"/>
          <w:b/>
          <w:bCs/>
          <w:color w:val="1A1A1A"/>
          <w:sz w:val="21"/>
          <w:szCs w:val="21"/>
        </w:rPr>
        <w:t xml:space="preserve">What they are listening for:</w:t>
      </w:r>
      <w:r>
        <w:rPr>
          <w:rFonts w:ascii="Georgia" w:cs="Georgia" w:eastAsia="Georgia" w:hAnsi="Georgia"/>
          <w:color w:val="1A1A1A"/>
          <w:sz w:val="21"/>
          <w:szCs w:val="21"/>
        </w:rPr>
        <w:t xml:space="preserve"> That you are moving towards something, and that you will leave well.</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Because this role is the most direct application of what I have been building towards, and the quantum collaboration is starting now. My current work has given me exactly the experience it needs: leading a workstream end to end and building a senior community.</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Because this role is the most direct application of what I have been building towards, and the timing matters: the frontier-technology workstream is being created now, and the quantum collaboration is about to start. Joining at the design stage is where I can add most.</w:t>
      </w:r>
    </w:p>
    <w:p>
      <w:pPr>
        <w:spacing w:after="140" w:line="276"/>
        <w:jc w:val="both"/>
      </w:pPr>
      <w:r>
        <w:rPr>
          <w:rFonts w:ascii="Georgia" w:cs="Georgia" w:eastAsia="Georgia" w:hAnsi="Georgia"/>
          <w:color w:val="1A1A1A"/>
          <w:sz w:val="21"/>
          <w:szCs w:val="21"/>
        </w:rPr>
        <w:t xml:space="preserve">My current role has been the right preparation. Leading the climate and healthcare-continuity workstream has taught me how to set a research agenda, run a programme end to end inside the Forum, and produce knowledge products for senior audiences; building the heat-resilience community has taught me what it takes to keep senior business leaders engaged. Those are precisely the muscles this role uses.</w:t>
      </w:r>
    </w:p>
    <w:p>
      <w:pPr>
        <w:spacing w:after="140" w:line="276"/>
        <w:jc w:val="both"/>
      </w:pPr>
      <w:r>
        <w:rPr>
          <w:rFonts w:ascii="Georgia" w:cs="Georgia" w:eastAsia="Georgia" w:hAnsi="Georgia"/>
          <w:color w:val="1A1A1A"/>
          <w:sz w:val="21"/>
          <w:szCs w:val="21"/>
        </w:rPr>
        <w:t xml:space="preserve">I would make sure the transition is clean: [a clear handover of the workstream and the community to (name/role), timed with the team’s calendar]. Moving within the Forum should strengthen both teams, not leave a gap.</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Current Forum role; handover plan (to complete).</w:t>
      </w:r>
    </w:p>
    <w:p>
      <w:pPr>
        <w:pStyle w:val="Heading3"/>
        <w:spacing w:after="70" w:before="160"/>
      </w:pPr>
      <w:r>
        <w:rPr>
          <w:rFonts w:ascii="Calibri" w:cs="Calibri" w:eastAsia="Calibri" w:hAnsi="Calibri"/>
          <w:b/>
          <w:bCs/>
          <w:color w:val="1F2A44"/>
          <w:sz w:val="22"/>
          <w:szCs w:val="22"/>
        </w:rPr>
        <w:t xml:space="preserve">HR4. What would you bring from your current role at the Forum?</w:t>
      </w:r>
    </w:p>
    <w:p>
      <w:pPr>
        <w:spacing w:after="140" w:line="276"/>
        <w:jc w:val="both"/>
      </w:pPr>
      <w:r>
        <w:rPr>
          <w:rFonts w:ascii="Georgia" w:cs="Georgia" w:eastAsia="Georgia" w:hAnsi="Georgia"/>
          <w:b/>
          <w:bCs/>
          <w:color w:val="1A1A1A"/>
          <w:sz w:val="21"/>
          <w:szCs w:val="21"/>
        </w:rPr>
        <w:t xml:space="preserve">What they are listening for:</w:t>
      </w:r>
      <w:r>
        <w:rPr>
          <w:rFonts w:ascii="Georgia" w:cs="Georgia" w:eastAsia="Georgia" w:hAnsi="Georgia"/>
          <w:color w:val="1A1A1A"/>
          <w:sz w:val="21"/>
          <w:szCs w:val="21"/>
        </w:rPr>
        <w:t xml:space="preserve"> Institutional knowledge as an asset, without over-claiming.</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Three things a new hire would take months to learn: how initiatives actually move from scoping to adoption here, how to work across centres, and how to build products and convenings that senior leaders use.</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Three things a new hire would take months to learn.</w:t>
      </w:r>
    </w:p>
    <w:p>
      <w:pPr>
        <w:spacing w:after="140" w:line="276"/>
        <w:jc w:val="both"/>
      </w:pPr>
      <w:r>
        <w:rPr>
          <w:rFonts w:ascii="Georgia" w:cs="Georgia" w:eastAsia="Georgia" w:hAnsi="Georgia"/>
          <w:color w:val="1A1A1A"/>
          <w:sz w:val="21"/>
          <w:szCs w:val="21"/>
        </w:rPr>
        <w:t xml:space="preserve">First, how initiatives actually move here: from scoping with members and constituents, through co-design with a community, to a launch moment and then adoption. That matters because the role’s central idea, integrating regulatory thinking early, only works if you intervene at scoping, and I know where scoping happens.</w:t>
      </w:r>
    </w:p>
    <w:p>
      <w:pPr>
        <w:spacing w:after="140" w:line="276"/>
        <w:jc w:val="both"/>
      </w:pPr>
      <w:r>
        <w:rPr>
          <w:rFonts w:ascii="Georgia" w:cs="Georgia" w:eastAsia="Georgia" w:hAnsi="Georgia"/>
          <w:color w:val="1A1A1A"/>
          <w:sz w:val="21"/>
          <w:szCs w:val="21"/>
        </w:rPr>
        <w:t xml:space="preserve">Second, how to work across centres. My current work already depends on collaborating beyond my own team, and I understand how credit, decision rights and calendars shape what is possible in a matrix.</w:t>
      </w:r>
    </w:p>
    <w:p>
      <w:pPr>
        <w:spacing w:after="140" w:line="276"/>
        <w:jc w:val="both"/>
      </w:pPr>
      <w:r>
        <w:rPr>
          <w:rFonts w:ascii="Georgia" w:cs="Georgia" w:eastAsia="Georgia" w:hAnsi="Georgia"/>
          <w:color w:val="1A1A1A"/>
          <w:sz w:val="21"/>
          <w:szCs w:val="21"/>
        </w:rPr>
        <w:t xml:space="preserve">Third, how to produce for senior audiences: briefings, positioning and thought leadership for high-level convenings, where the test is whether a leader can use it in the room.</w:t>
      </w:r>
    </w:p>
    <w:p>
      <w:pPr>
        <w:spacing w:after="140" w:line="276"/>
        <w:jc w:val="both"/>
      </w:pPr>
      <w:r>
        <w:rPr>
          <w:rFonts w:ascii="Georgia" w:cs="Georgia" w:eastAsia="Georgia" w:hAnsi="Georgia"/>
          <w:color w:val="1A1A1A"/>
          <w:sz w:val="21"/>
          <w:szCs w:val="21"/>
        </w:rPr>
        <w:t xml:space="preserve">What I would not claim is technical depth in quantum or robotics; that sits with those teams. My value is connecting their depth to regulators, companies and governments.</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Current Forum role; initiative lifecycle (Part A, Part II §5).</w:t>
      </w:r>
    </w:p>
    <w:p>
      <w:pPr>
        <w:pStyle w:val="Heading3"/>
        <w:spacing w:after="70" w:before="160"/>
      </w:pPr>
      <w:r>
        <w:rPr>
          <w:rFonts w:ascii="Calibri" w:cs="Calibri" w:eastAsia="Calibri" w:hAnsi="Calibri"/>
          <w:b/>
          <w:bCs/>
          <w:color w:val="1F2A44"/>
          <w:sz w:val="22"/>
          <w:szCs w:val="22"/>
        </w:rPr>
        <w:t xml:space="preserve">HR5. What do you understand the role to be?</w:t>
      </w:r>
    </w:p>
    <w:p>
      <w:pPr>
        <w:spacing w:after="140" w:line="276"/>
        <w:jc w:val="both"/>
      </w:pPr>
      <w:r>
        <w:rPr>
          <w:rFonts w:ascii="Georgia" w:cs="Georgia" w:eastAsia="Georgia" w:hAnsi="Georgia"/>
          <w:b/>
          <w:bCs/>
          <w:color w:val="1A1A1A"/>
          <w:sz w:val="21"/>
          <w:szCs w:val="21"/>
        </w:rPr>
        <w:t xml:space="preserve">What they are listening for:</w:t>
      </w:r>
      <w:r>
        <w:rPr>
          <w:rFonts w:ascii="Georgia" w:cs="Georgia" w:eastAsia="Georgia" w:hAnsi="Georgia"/>
          <w:color w:val="1A1A1A"/>
          <w:sz w:val="21"/>
          <w:szCs w:val="21"/>
        </w:rPr>
        <w:t xml:space="preserve"> Precise scope. The most common error would be describing it as writing regulation.</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A bridge between GRIP and the Forum’s frontier-technology teams: integrating governance questions into their programmes early, convening regulators and industry around each technology, translating developments into practical insight, and turning what works into a method the Forum can reuse. Starting with quantum.</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I see it as building a bridge between GRIP and the Forum’s frontier-technology teams: quantum, autonomous mobility and robotics, biotechnology and planetary systems. In practice that means five things: connecting governance expertise with technology expertise inside the same programmes; integrating regulatory questions at the design stage of those programmes; convening regulators, companies (including legal and compliance leaders), academia and civil society around each technology; translating technical developments into practical governance insight through knowledge products; and codifying what works so it can be reused across teams and jurisdictions.</w:t>
      </w:r>
    </w:p>
    <w:p>
      <w:pPr>
        <w:spacing w:after="140" w:line="276"/>
        <w:jc w:val="both"/>
      </w:pPr>
      <w:r>
        <w:rPr>
          <w:rFonts w:ascii="Georgia" w:cs="Georgia" w:eastAsia="Georgia" w:hAnsi="Georgia"/>
          <w:color w:val="1A1A1A"/>
          <w:sz w:val="21"/>
          <w:szCs w:val="21"/>
        </w:rPr>
        <w:t xml:space="preserve">Equally important is what it is not. The Forum does not write regulation or run sandboxes; governments do. GRIP’s index and paper sit with the core team. The role is about the Forum’s convening and co-design model applied to frontier technology, and my understanding is that it starts with quantum.</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Part A, The Role, Correctly Scoped.</w:t>
      </w:r>
    </w:p>
    <w:p>
      <w:pPr>
        <w:pStyle w:val="Heading3"/>
        <w:spacing w:after="70" w:before="160"/>
      </w:pPr>
      <w:r>
        <w:rPr>
          <w:rFonts w:ascii="Calibri" w:cs="Calibri" w:eastAsia="Calibri" w:hAnsi="Calibri"/>
          <w:b/>
          <w:bCs/>
          <w:color w:val="1F2A44"/>
          <w:sz w:val="22"/>
          <w:szCs w:val="22"/>
        </w:rPr>
        <w:t xml:space="preserve">HR6. How do you work with very senior leaders?</w:t>
      </w:r>
    </w:p>
    <w:p>
      <w:pPr>
        <w:spacing w:after="140" w:line="276"/>
        <w:jc w:val="both"/>
      </w:pPr>
      <w:r>
        <w:rPr>
          <w:rFonts w:ascii="Georgia" w:cs="Georgia" w:eastAsia="Georgia" w:hAnsi="Georgia"/>
          <w:b/>
          <w:bCs/>
          <w:color w:val="1A1A1A"/>
          <w:sz w:val="21"/>
          <w:szCs w:val="21"/>
        </w:rPr>
        <w:t xml:space="preserve">What they are listening for:</w:t>
      </w:r>
      <w:r>
        <w:rPr>
          <w:rFonts w:ascii="Georgia" w:cs="Georgia" w:eastAsia="Georgia" w:hAnsi="Georgia"/>
          <w:color w:val="1A1A1A"/>
          <w:sz w:val="21"/>
          <w:szCs w:val="21"/>
        </w:rPr>
        <w:t xml:space="preserve"> Credibility with ministers, CEOs and heads of agency.</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By being useful and precise: leading with the decision or the ask, bringing a perspective they cannot get from their own organisation, and being clear about what I know and what I do not.</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At FGS I advised senior government leaders directly on the design of flagship platforms, and in my current role I prepare briefings and positioning for senior engagement at high-level convenings. Three principles guide me.</w:t>
      </w:r>
    </w:p>
    <w:p>
      <w:pPr>
        <w:spacing w:after="140" w:line="276"/>
        <w:jc w:val="both"/>
      </w:pPr>
      <w:r>
        <w:rPr>
          <w:rFonts w:ascii="Georgia" w:cs="Georgia" w:eastAsia="Georgia" w:hAnsi="Georgia"/>
          <w:color w:val="1A1A1A"/>
          <w:sz w:val="21"/>
          <w:szCs w:val="21"/>
        </w:rPr>
        <w:t xml:space="preserve">Lead with the decision or the ask: senior people give you two minutes, so the first sentence has to carry the point.</w:t>
      </w:r>
    </w:p>
    <w:p>
      <w:pPr>
        <w:spacing w:after="140" w:line="276"/>
        <w:jc w:val="both"/>
      </w:pPr>
      <w:r>
        <w:rPr>
          <w:rFonts w:ascii="Georgia" w:cs="Georgia" w:eastAsia="Georgia" w:hAnsi="Georgia"/>
          <w:color w:val="1A1A1A"/>
          <w:sz w:val="21"/>
          <w:szCs w:val="21"/>
        </w:rPr>
        <w:t xml:space="preserve">Bring something they cannot get from inside their own organisation: usually a comparison across jurisdictions or sectors, or an honest read of how others will receive their proposal.</w:t>
      </w:r>
    </w:p>
    <w:p>
      <w:pPr>
        <w:spacing w:after="140" w:line="276"/>
        <w:jc w:val="both"/>
      </w:pPr>
      <w:r>
        <w:rPr>
          <w:rFonts w:ascii="Georgia" w:cs="Georgia" w:eastAsia="Georgia" w:hAnsi="Georgia"/>
          <w:color w:val="1A1A1A"/>
          <w:sz w:val="21"/>
          <w:szCs w:val="21"/>
        </w:rPr>
        <w:t xml:space="preserve">Be precise about the limits of what you know. With senior leaders, credibility is built by accuracy and usefulness, not by volume. [Optional: one concrete example of a briefing or piece of advice that changed a senior decision.]</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FGS; current senior briefings.</w:t>
      </w:r>
    </w:p>
    <w:p>
      <w:pPr>
        <w:pStyle w:val="Heading3"/>
        <w:spacing w:after="70" w:before="160"/>
      </w:pPr>
      <w:r>
        <w:rPr>
          <w:rFonts w:ascii="Calibri" w:cs="Calibri" w:eastAsia="Calibri" w:hAnsi="Calibri"/>
          <w:b/>
          <w:bCs/>
          <w:color w:val="1F2A44"/>
          <w:sz w:val="22"/>
          <w:szCs w:val="22"/>
        </w:rPr>
        <w:t xml:space="preserve">HR7. Tell me about a disagreement with a stakeholder and how you handled it.</w:t>
      </w:r>
    </w:p>
    <w:p>
      <w:pPr>
        <w:spacing w:after="140" w:line="276"/>
        <w:jc w:val="both"/>
      </w:pPr>
      <w:r>
        <w:rPr>
          <w:rFonts w:ascii="Georgia" w:cs="Georgia" w:eastAsia="Georgia" w:hAnsi="Georgia"/>
          <w:b/>
          <w:bCs/>
          <w:color w:val="1A1A1A"/>
          <w:sz w:val="21"/>
          <w:szCs w:val="21"/>
        </w:rPr>
        <w:t xml:space="preserve">What they are listening for:</w:t>
      </w:r>
      <w:r>
        <w:rPr>
          <w:rFonts w:ascii="Georgia" w:cs="Georgia" w:eastAsia="Georgia" w:hAnsi="Georgia"/>
          <w:color w:val="1A1A1A"/>
          <w:sz w:val="21"/>
          <w:szCs w:val="21"/>
        </w:rPr>
        <w:t xml:space="preserve"> Maturity, listening, and keeping relationships intact.</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[One-sentence summary: who, what the disagreement was about, and how it was resolved.]</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[Suggested source: at FGS, a disagreement with a senior counterpart on how to position or sequence a platform; or in your current role, a partner who wanted a different emphasis in a knowledge product.]</w:t>
      </w:r>
    </w:p>
    <w:p>
      <w:pPr>
        <w:spacing w:after="140" w:line="276"/>
        <w:jc w:val="both"/>
      </w:pPr>
      <w:r>
        <w:rPr>
          <w:rFonts w:ascii="Georgia" w:cs="Georgia" w:eastAsia="Georgia" w:hAnsi="Georgia"/>
          <w:color w:val="1A1A1A"/>
          <w:sz w:val="21"/>
          <w:szCs w:val="21"/>
        </w:rPr>
        <w:t xml:space="preserve">Script structure to complete: “The situation was [context]. [Stakeholder] wanted [their position], because [their underlying concern]. I thought [your position], because [reason]. Rather than argue the position, I [what you did to understand their concern, e.g. a one-to-one conversation]. That showed me that what they needed was [underlying need]. So I proposed [option that met both needs]. The result was [outcome], and the relationship [how it continued]. What I took from it is that most disagreements on substance are disagreements about risk, and you resolve them by addressing the risk, not the position.”</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To complete; pick a story not used in P21–P24.</w:t>
      </w:r>
    </w:p>
    <w:p>
      <w:pPr>
        <w:pStyle w:val="Heading3"/>
        <w:spacing w:after="70" w:before="160"/>
      </w:pPr>
      <w:r>
        <w:rPr>
          <w:rFonts w:ascii="Calibri" w:cs="Calibri" w:eastAsia="Calibri" w:hAnsi="Calibri"/>
          <w:b/>
          <w:bCs/>
          <w:color w:val="1F2A44"/>
          <w:sz w:val="22"/>
          <w:szCs w:val="22"/>
        </w:rPr>
        <w:t xml:space="preserve">HR8. The Forum works with powerful partners. How do you protect its neutrality?</w:t>
      </w:r>
    </w:p>
    <w:p>
      <w:pPr>
        <w:spacing w:after="140" w:line="276"/>
        <w:jc w:val="both"/>
      </w:pPr>
      <w:r>
        <w:rPr>
          <w:rFonts w:ascii="Georgia" w:cs="Georgia" w:eastAsia="Georgia" w:hAnsi="Georgia"/>
          <w:b/>
          <w:bCs/>
          <w:color w:val="1A1A1A"/>
          <w:sz w:val="21"/>
          <w:szCs w:val="21"/>
        </w:rPr>
        <w:t xml:space="preserve">What they are listening for:</w:t>
      </w:r>
      <w:r>
        <w:rPr>
          <w:rFonts w:ascii="Georgia" w:cs="Georgia" w:eastAsia="Georgia" w:hAnsi="Georgia"/>
          <w:color w:val="1A1A1A"/>
          <w:sz w:val="21"/>
          <w:szCs w:val="21"/>
        </w:rPr>
        <w:t xml:space="preserve"> Integrity, a core Forum competency, and especially relevant for regulatory work.</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By remembering that the Forum’s value to regulators depends entirely on being trusted as neutral. Partners’ evidence is welcome; partners’ advocacy is not the Forum’s voice.</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The Forum’s value to regulators depends on being trusted as a neutral space. So I draw a clear line: companies’ evidence is welcome and necessary (regulators need to know what implementation actually costs), but no output should present one member’s position as the community’s view.</w:t>
      </w:r>
    </w:p>
    <w:p>
      <w:pPr>
        <w:spacing w:after="140" w:line="276"/>
        <w:jc w:val="both"/>
      </w:pPr>
      <w:r>
        <w:rPr>
          <w:rFonts w:ascii="Georgia" w:cs="Georgia" w:eastAsia="Georgia" w:hAnsi="Georgia"/>
          <w:color w:val="1A1A1A"/>
          <w:sz w:val="21"/>
          <w:szCs w:val="21"/>
        </w:rPr>
        <w:t xml:space="preserve">In practice that means transparency about who is in the room, a balance of perspectives including civil society, and drafting discipline so conclusions follow evidence. And if a partner’s aim is simply to lobby against a rule, I would say directly that the Forum is not the right channel, early and privately, before it becomes a problem in the room.</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Part A, Part II §4 (legitimacy).</w:t>
      </w:r>
    </w:p>
    <w:p>
      <w:pPr>
        <w:pStyle w:val="Heading3"/>
        <w:spacing w:after="70" w:before="160"/>
      </w:pPr>
      <w:r>
        <w:rPr>
          <w:rFonts w:ascii="Calibri" w:cs="Calibri" w:eastAsia="Calibri" w:hAnsi="Calibri"/>
          <w:b/>
          <w:bCs/>
          <w:color w:val="1F2A44"/>
          <w:sz w:val="22"/>
          <w:szCs w:val="22"/>
        </w:rPr>
        <w:t xml:space="preserve">HR9. How do you know whether your work has had impact?</w:t>
      </w:r>
    </w:p>
    <w:p>
      <w:pPr>
        <w:spacing w:after="140" w:line="276"/>
        <w:jc w:val="both"/>
      </w:pPr>
      <w:r>
        <w:rPr>
          <w:rFonts w:ascii="Georgia" w:cs="Georgia" w:eastAsia="Georgia" w:hAnsi="Georgia"/>
          <w:b/>
          <w:bCs/>
          <w:color w:val="1A1A1A"/>
          <w:sz w:val="21"/>
          <w:szCs w:val="21"/>
        </w:rPr>
        <w:t xml:space="preserve">What they are listening for:</w:t>
      </w:r>
      <w:r>
        <w:rPr>
          <w:rFonts w:ascii="Georgia" w:cs="Georgia" w:eastAsia="Georgia" w:hAnsi="Georgia"/>
          <w:color w:val="1A1A1A"/>
          <w:sz w:val="21"/>
          <w:szCs w:val="21"/>
        </w:rPr>
        <w:t xml:space="preserve"> Impact orientation beyond activity.</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I measure at three levels, defined at the start: adoption, outcome and system change. Events and downloads are activity; a regulator using a framework in its guidance is impact.</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I distinguish three levels and define them when the work is designed, not afterwards. Adoption: did the people it was built for take it up? Outcome: did it change a decision, a policy, an investment or a practice? System: did it change how the field works, for example by making regulators in different countries align?</w:t>
      </w:r>
    </w:p>
    <w:p>
      <w:pPr>
        <w:spacing w:after="140" w:line="276"/>
        <w:jc w:val="both"/>
      </w:pPr>
      <w:r>
        <w:rPr>
          <w:rFonts w:ascii="Georgia" w:cs="Georgia" w:eastAsia="Georgia" w:hAnsi="Georgia"/>
          <w:color w:val="1A1A1A"/>
          <w:sz w:val="21"/>
          <w:szCs w:val="21"/>
        </w:rPr>
        <w:t xml:space="preserve">For a Forum knowledge product, downloads and sessions are activity. A supervisor citing it, a company changing its migration plan because of it, or a government using it in a strategy is impact. [Optional: one example from your current workstream of where you saw real uptake.]</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Current role (optional example).</w:t>
      </w:r>
    </w:p>
    <w:p>
      <w:pPr>
        <w:pStyle w:val="Heading3"/>
        <w:spacing w:after="70" w:before="160"/>
      </w:pPr>
      <w:r>
        <w:rPr>
          <w:rFonts w:ascii="Calibri" w:cs="Calibri" w:eastAsia="Calibri" w:hAnsi="Calibri"/>
          <w:b/>
          <w:bCs/>
          <w:color w:val="1F2A44"/>
          <w:sz w:val="22"/>
          <w:szCs w:val="22"/>
        </w:rPr>
        <w:t xml:space="preserve">HR10. What questions do you have for me?</w:t>
      </w:r>
    </w:p>
    <w:p>
      <w:pPr>
        <w:spacing w:after="140" w:line="276"/>
        <w:jc w:val="both"/>
      </w:pPr>
      <w:r>
        <w:rPr>
          <w:rFonts w:ascii="Georgia" w:cs="Georgia" w:eastAsia="Georgia" w:hAnsi="Georgia"/>
          <w:b/>
          <w:bCs/>
          <w:color w:val="1A1A1A"/>
          <w:sz w:val="21"/>
          <w:szCs w:val="21"/>
        </w:rPr>
        <w:t xml:space="preserve">What they are listening for:</w:t>
      </w:r>
      <w:r>
        <w:rPr>
          <w:rFonts w:ascii="Georgia" w:cs="Georgia" w:eastAsia="Georgia" w:hAnsi="Georgia"/>
          <w:color w:val="1A1A1A"/>
          <w:sz w:val="21"/>
          <w:szCs w:val="21"/>
        </w:rPr>
        <w:t xml:space="preserve"> Preparation; save substance for the panel.</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Keep this to process and context.</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What will the panel format be, and who will be on it?</w:t>
      </w:r>
    </w:p>
    <w:p>
      <w:pPr>
        <w:spacing w:after="140" w:line="276"/>
        <w:jc w:val="both"/>
      </w:pPr>
      <w:r>
        <w:rPr>
          <w:rFonts w:ascii="Georgia" w:cs="Georgia" w:eastAsia="Georgia" w:hAnsi="Georgia"/>
          <w:color w:val="1A1A1A"/>
          <w:sz w:val="21"/>
          <w:szCs w:val="21"/>
        </w:rPr>
        <w:t xml:space="preserve">What is the timeline to a decision, and how would the transition from my current team typically be handled?</w:t>
      </w:r>
    </w:p>
    <w:p>
      <w:pPr>
        <w:spacing w:after="140" w:line="276"/>
        <w:jc w:val="both"/>
      </w:pPr>
      <w:r>
        <w:rPr>
          <w:rFonts w:ascii="Georgia" w:cs="Georgia" w:eastAsia="Georgia" w:hAnsi="Georgia"/>
          <w:color w:val="1A1A1A"/>
          <w:sz w:val="21"/>
          <w:szCs w:val="21"/>
        </w:rPr>
        <w:t xml:space="preserve">How is this role expected to work day to day with the Centre for Frontier Technologies and Innovation?</w:t>
      </w: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B2 · The Panel</w:t>
      </w:r>
    </w:p>
    <w:p>
      <w:pPr>
        <w:spacing w:after="200" w:line="288"/>
      </w:pPr>
      <w:r>
        <w:rPr>
          <w:rFonts w:ascii="Georgia" w:cs="Georgia" w:eastAsia="Georgia" w:hAnsi="Georgia"/>
          <w:i/>
          <w:iCs/>
          <w:color w:val="55606E"/>
          <w:sz w:val="22"/>
          <w:szCs w:val="22"/>
        </w:rPr>
        <w:t xml:space="preserve">A panel of former senior consultants will look for a point of view, a diagnosis of what the role must solve, realism about a short mandate, fluency on quantum, and evidence that you have built things. Every answer below leads with its headline. If interrupted, you should always have delivered the point already.</w:t>
      </w:r>
    </w:p>
    <w:p>
      <w:pPr>
        <w:pStyle w:val="Heading2"/>
        <w:spacing w:after="100" w:before="220"/>
      </w:pPr>
      <w:r>
        <w:rPr>
          <w:rFonts w:ascii="Calibri" w:cs="Calibri" w:eastAsia="Calibri" w:hAnsi="Calibri"/>
          <w:b/>
          <w:bCs/>
          <w:color w:val="2F5D8A"/>
          <w:sz w:val="25"/>
          <w:szCs w:val="25"/>
        </w:rPr>
        <w:t xml:space="preserve">Motivation and fit</w:t>
      </w:r>
    </w:p>
    <w:p>
      <w:pPr>
        <w:pStyle w:val="Heading3"/>
        <w:spacing w:after="70" w:before="160"/>
      </w:pPr>
      <w:r>
        <w:rPr>
          <w:rFonts w:ascii="Calibri" w:cs="Calibri" w:eastAsia="Calibri" w:hAnsi="Calibri"/>
          <w:b/>
          <w:bCs/>
          <w:color w:val="1F2A44"/>
          <w:sz w:val="22"/>
          <w:szCs w:val="22"/>
        </w:rPr>
        <w:t xml:space="preserve">P1. Why this role, and why you?</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The flagship question. They want a point of view, a diagnosis of the Forum’s next problem, and a convincing match to your record.</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Because this role asks the question I have spent my career on (how you design the governance of a transformation rather than let it trail behind) at the moment the Forum needs to apply it to frontier technology. I have seen how transformations are sequenced, how regulators innovate under pressure, and what makes a regime credible enough for others to buy into. This role is where those three meet.</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The first part is the intersection. The role sits where technology development, regulatory design and multistakeholder convening meet, and that is where I have worked from the start.</w:t>
      </w:r>
    </w:p>
    <w:p>
      <w:pPr>
        <w:spacing w:after="140" w:line="276"/>
        <w:jc w:val="both"/>
      </w:pPr>
      <w:r>
        <w:rPr>
          <w:rFonts w:ascii="Georgia" w:cs="Georgia" w:eastAsia="Georgia" w:hAnsi="Georgia"/>
          <w:color w:val="1A1A1A"/>
          <w:sz w:val="21"/>
          <w:szCs w:val="21"/>
        </w:rPr>
        <w:t xml:space="preserve">My original area is how countries architect industry transformations. At IEEP in Brussels I worked on the ecosystem conditions and sequencing behind China’s renewable-energy build-out, to build a replication logic other countries could use. It taught me two things. First, what it takes: a transformation is an ecosystem problem (policy, capital, technology providers, skills), not a technology problem. Second, how to design it from the start: the state is decisive early, providing incentives and absorbing risk, but the design has to engineer the state’s own step-back, so the industry climbs the learning curve and becomes self-sufficient rather than dependent. Governance, in other words, is a design variable, not a constraint added afterwards.</w:t>
      </w:r>
    </w:p>
    <w:p>
      <w:pPr>
        <w:spacing w:after="140" w:line="276"/>
        <w:jc w:val="both"/>
      </w:pPr>
      <w:r>
        <w:rPr>
          <w:rFonts w:ascii="Georgia" w:cs="Georgia" w:eastAsia="Georgia" w:hAnsi="Georgia"/>
          <w:color w:val="1A1A1A"/>
          <w:sz w:val="21"/>
          <w:szCs w:val="21"/>
        </w:rPr>
        <w:t xml:space="preserve">I then saw the opposite pattern with crypto. At Fortior in 2018 I advised clients while regulators were improvising: Switzerland’s FINMA published its token taxonomy that year, Abu Dhabi built one of the first crypto frameworks, and the FCA’s sandbox was admitting blockchain firms. Later, on a carbon-credit digital asset, I worked across the gap between Swiss and EU rules before MiCA existed. Crypto was the first frontier technology that forced regulators to innovate at speed, and it shows both outcomes. Jurisdictions that designed early and credibly, such as Switzerland and the UAE, attracted the industry; where rules were absent or divergent, arbitrage filled the space, with failures like FTX. The EU’s comprehensive regime applied only at the end of 2024, fifteen years after Bitcoin.</w:t>
      </w:r>
    </w:p>
    <w:p>
      <w:pPr>
        <w:spacing w:after="140" w:line="276"/>
        <w:jc w:val="both"/>
      </w:pPr>
      <w:r>
        <w:rPr>
          <w:rFonts w:ascii="Georgia" w:cs="Georgia" w:eastAsia="Georgia" w:hAnsi="Georgia"/>
          <w:color w:val="1A1A1A"/>
          <w:sz w:val="21"/>
          <w:szCs w:val="21"/>
        </w:rPr>
        <w:t xml:space="preserve">At NEOM I worked on the other side of that equation: assessing what would make a greenfield project, including its regulatory environment, credible enough for foreign investors and companies to commit. That is where I understood that regulatory design has become a competitive asset. Capital goes where rules are predictable, interoperable with what investors already know, and backed by institutions that will still be there in ten years.</w:t>
      </w:r>
    </w:p>
    <w:p>
      <w:pPr>
        <w:spacing w:after="140" w:line="276"/>
        <w:jc w:val="both"/>
      </w:pPr>
      <w:r>
        <w:rPr>
          <w:rFonts w:ascii="Georgia" w:cs="Georgia" w:eastAsia="Georgia" w:hAnsi="Georgia"/>
          <w:color w:val="1A1A1A"/>
          <w:sz w:val="21"/>
          <w:szCs w:val="21"/>
        </w:rPr>
        <w:t xml:space="preserve">How this relates to the role: GRIP has built the thesis that regulation is strategic infrastructure, and its core work on AI, health and finance is maturing. The next challenge is the harder one: making that thesis technology-specific, and embedding it in how the Forum’s frontier programmes are designed, without the Forum becoming a regulator. That is a sequencing and ecosystem problem, which is the problem I know.</w:t>
      </w:r>
    </w:p>
    <w:p>
      <w:pPr>
        <w:spacing w:after="140" w:line="276"/>
        <w:jc w:val="both"/>
      </w:pPr>
      <w:r>
        <w:rPr>
          <w:rFonts w:ascii="Georgia" w:cs="Georgia" w:eastAsia="Georgia" w:hAnsi="Georgia"/>
          <w:color w:val="1A1A1A"/>
          <w:sz w:val="21"/>
          <w:szCs w:val="21"/>
        </w:rPr>
        <w:t xml:space="preserve">The added layer that makes it compelling is quantum as the starting point. It is one of the few technologies where governance can be ahead of the risk: the security transition has deadlines, 2030 and 2035, before a machine able to break today’s encryption exists, and the quantum team has already worked with a regulator, the FCA. The ingredients are there: convening power, a body of work, the C4IR network, the UAE partnership. The constraint is equally clear: the Forum has no authority, the teams own their agendas, and the mandate is short. You have to earn the right to integrate, which is the kind of problem I do my best work on.</w:t>
      </w:r>
    </w:p>
    <w:p>
      <w:pPr>
        <w:spacing w:after="140" w:line="276"/>
        <w:jc w:val="both"/>
      </w:pPr>
      <w:r>
        <w:rPr>
          <w:rFonts w:ascii="Georgia" w:cs="Georgia" w:eastAsia="Georgia" w:hAnsi="Georgia"/>
          <w:color w:val="1A1A1A"/>
          <w:sz w:val="21"/>
          <w:szCs w:val="21"/>
        </w:rPr>
        <w:t xml:space="preserve">Why it matters: frontier technologies are where the largest gains and the largest risks now concentrate. Quantum simulation could change how we design medicines, batteries, fertiliser catalysts and materials for carbon capture. Whether those gains arrive early, safely and broadly depends less on the physics than on whether governance is designed in, or arrives late and fragmented, as it did with crypto.</w:t>
      </w:r>
    </w:p>
    <w:p>
      <w:pPr>
        <w:spacing w:after="140" w:line="276"/>
        <w:jc w:val="both"/>
      </w:pPr>
      <w:r>
        <w:rPr>
          <w:rFonts w:ascii="Georgia" w:cs="Georgia" w:eastAsia="Georgia" w:hAnsi="Georgia"/>
          <w:color w:val="1A1A1A"/>
          <w:sz w:val="21"/>
          <w:szCs w:val="21"/>
        </w:rPr>
        <w:t xml:space="preserve">Lastly, what I would get from it: genuine technical depth, by working inside the teams that lead the Forum’s frontier work, and the experience of building a regulator community at global scale rather than in one market.</w:t>
      </w:r>
    </w:p>
    <w:p>
      <w:pPr>
        <w:spacing w:after="140" w:line="276"/>
        <w:jc w:val="both"/>
      </w:pPr>
      <w:r>
        <w:rPr>
          <w:rFonts w:ascii="Georgia" w:cs="Georgia" w:eastAsia="Georgia" w:hAnsi="Georgia"/>
          <w:color w:val="1A1A1A"/>
          <w:sz w:val="21"/>
          <w:szCs w:val="21"/>
        </w:rPr>
        <w:t xml:space="preserve">So: I learned how transformations are sequenced through the China work, how regulators innovate under pressure through crypto, and what makes a regime credible at NEOM and inside the Forum. This role is where those three meet, starting with quantum.</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IEEP (thesis A); Fortior and Toco (crypto); NEOM (thesis C); the Forum’s next problem; quantum stakes; growth. About three and a half minutes in full: drop the NEOM or crypto paragraph if the panel is short of time, and keep the other for P13 or P22.</w:t>
      </w:r>
    </w:p>
    <w:p>
      <w:pPr>
        <w:pStyle w:val="Heading3"/>
        <w:spacing w:after="70" w:before="160"/>
      </w:pPr>
      <w:r>
        <w:rPr>
          <w:rFonts w:ascii="Calibri" w:cs="Calibri" w:eastAsia="Calibri" w:hAnsi="Calibri"/>
          <w:b/>
          <w:bCs/>
          <w:color w:val="1F2A44"/>
          <w:sz w:val="22"/>
          <w:szCs w:val="22"/>
        </w:rPr>
        <w:t xml:space="preserve">P2. What do you see as the hardest problem this role has to solve?</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Whether you can diagnose the Forum’s situation, as a consultant would diagnose a client’s.</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Earning the right to integrate. The Forum has the thesis and the teams have the technology agendas. The hard part is embedding governance in programmes owned by others, with no authority and a short mandate, in a way that outlasts the role.</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Earning the right to integrate, and there are three layers to it.</w:t>
      </w:r>
    </w:p>
    <w:p>
      <w:pPr>
        <w:spacing w:after="140" w:line="276"/>
        <w:jc w:val="both"/>
      </w:pPr>
      <w:r>
        <w:rPr>
          <w:rFonts w:ascii="Georgia" w:cs="Georgia" w:eastAsia="Georgia" w:hAnsi="Georgia"/>
          <w:color w:val="1A1A1A"/>
          <w:sz w:val="21"/>
          <w:szCs w:val="21"/>
        </w:rPr>
        <w:t xml:space="preserve">The first is value in the teams’ own terms. A technical team will only bring governance into its programme if it makes its own work more useful: more uptake by regulators, access to decision-makers it cannot reach, earlier sight of rules that will affect its community. If governance arrives as review or process, it will be politely ignored.</w:t>
      </w:r>
    </w:p>
    <w:p>
      <w:pPr>
        <w:spacing w:after="140" w:line="276"/>
        <w:jc w:val="both"/>
      </w:pPr>
      <w:r>
        <w:rPr>
          <w:rFonts w:ascii="Georgia" w:cs="Georgia" w:eastAsia="Georgia" w:hAnsi="Georgia"/>
          <w:color w:val="1A1A1A"/>
          <w:sz w:val="21"/>
          <w:szCs w:val="21"/>
        </w:rPr>
        <w:t xml:space="preserve">The second is using the Forum’s comparative advantage precisely. The Forum does not write rules or set technical standards. Its edge is neutral convening across jurisdictions and early dialogue between regulators and industry. So the work has to target problems only a neutral convener can help with, such as regulatory divergence in the post-quantum transition, rather than problems a national regulator or a standards body will solve anyway.</w:t>
      </w:r>
    </w:p>
    <w:p>
      <w:pPr>
        <w:spacing w:after="140" w:line="276"/>
        <w:jc w:val="both"/>
      </w:pPr>
      <w:r>
        <w:rPr>
          <w:rFonts w:ascii="Georgia" w:cs="Georgia" w:eastAsia="Georgia" w:hAnsi="Georgia"/>
          <w:color w:val="1A1A1A"/>
          <w:sz w:val="21"/>
          <w:szCs w:val="21"/>
        </w:rPr>
        <w:t xml:space="preserve">The third is replicability. A first collaboration that works but is bespoke would be a failure against the JD, which asks for a scalable model. So the method has to be documented as the work happens.</w:t>
      </w:r>
    </w:p>
    <w:p>
      <w:pPr>
        <w:spacing w:after="140" w:line="276"/>
        <w:jc w:val="both"/>
      </w:pPr>
      <w:r>
        <w:rPr>
          <w:rFonts w:ascii="Georgia" w:cs="Georgia" w:eastAsia="Georgia" w:hAnsi="Georgia"/>
          <w:color w:val="1A1A1A"/>
          <w:sz w:val="21"/>
          <w:szCs w:val="21"/>
        </w:rPr>
        <w:t xml:space="preserve">The mechanism I would use is the one I know from industry transformation: GRIP’s role is intensive at the start and deliberately steps back, with explicit triggers, as the teams take ownership. If, by May 2027, the quantum team is running the governance work without me and a second team is starting from the method, the problem has been solved.</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Thesis A mechanism (state step-back); Forum comparative advantage (Part A, Part V §3.5).</w:t>
      </w:r>
    </w:p>
    <w:p>
      <w:pPr>
        <w:pStyle w:val="Heading3"/>
        <w:spacing w:after="70" w:before="160"/>
      </w:pPr>
      <w:r>
        <w:rPr>
          <w:rFonts w:ascii="Calibri" w:cs="Calibri" w:eastAsia="Calibri" w:hAnsi="Calibri"/>
          <w:b/>
          <w:bCs/>
          <w:color w:val="1F2A44"/>
          <w:sz w:val="22"/>
          <w:szCs w:val="22"/>
        </w:rPr>
        <w:t xml:space="preserve">P3. You don’t have a technical background in quantum or robotics. Why should we hire you?</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Self-awareness, and a convincing account of what the role really needs.</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Because the role needs a translator and an architect, not another technical specialist: the Forum’s teams already have that depth. What I bring is the pattern: how regulators handle a technology they do not yet understand, which I have seen first-hand with crypto, and how to build the structures that connect them to the people building it.</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The Forum’s frontier-technology teams already have deep technical expertise and communities. What the role adds is the connection to regulators, companies and governments, and a method for doing that repeatedly. That is architecture and translation, and it is what my record shows.</w:t>
      </w:r>
    </w:p>
    <w:p>
      <w:pPr>
        <w:spacing w:after="140" w:line="276"/>
        <w:jc w:val="both"/>
      </w:pPr>
      <w:r>
        <w:rPr>
          <w:rFonts w:ascii="Georgia" w:cs="Georgia" w:eastAsia="Georgia" w:hAnsi="Georgia"/>
          <w:color w:val="1A1A1A"/>
          <w:sz w:val="21"/>
          <w:szCs w:val="21"/>
        </w:rPr>
        <w:t xml:space="preserve">I have done comparative regulatory analysis across jurisdictions as a lawyer. I have watched regulators confront a technology they did not understand, with crypto, and seen what worked (early, credible design) and what did not (fragmentation and arbitrage). I have assessed what makes a greenfield regime credible to foreign investors, at NEOM. And I have designed multistakeholder platforms with senior government leaders.</w:t>
      </w:r>
    </w:p>
    <w:p>
      <w:pPr>
        <w:spacing w:after="140" w:line="276"/>
        <w:jc w:val="both"/>
      </w:pPr>
      <w:r>
        <w:rPr>
          <w:rFonts w:ascii="Georgia" w:cs="Georgia" w:eastAsia="Georgia" w:hAnsi="Georgia"/>
          <w:color w:val="1A1A1A"/>
          <w:sz w:val="21"/>
          <w:szCs w:val="21"/>
        </w:rPr>
        <w:t xml:space="preserve">I have also done the work to be credible with technical teams. I can explain why Google’s 2024 result mattered (it showed error correction improving as systems scale), or why a 2025 estimate that cut the qubits needed to break RSA twentyfold changes the urgency of the post-quantum transition but not its direction.</w:t>
      </w:r>
    </w:p>
    <w:p>
      <w:pPr>
        <w:spacing w:after="140" w:line="276"/>
        <w:jc w:val="both"/>
      </w:pPr>
      <w:r>
        <w:rPr>
          <w:rFonts w:ascii="Georgia" w:cs="Georgia" w:eastAsia="Georgia" w:hAnsi="Georgia"/>
          <w:color w:val="1A1A1A"/>
          <w:sz w:val="21"/>
          <w:szCs w:val="21"/>
        </w:rPr>
        <w:t xml:space="preserve">Where I do not know something, I will say so and bring in the people who do. With technical teams, that honesty is what earns trust; bluffing depth is what loses it.</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Crypto; NEOM; FGS; quantum fluency (Part A, Part III §1).</w:t>
      </w:r>
    </w:p>
    <w:p>
      <w:pPr>
        <w:pStyle w:val="Heading2"/>
        <w:spacing w:after="100" w:before="220"/>
      </w:pPr>
      <w:r>
        <w:rPr>
          <w:rFonts w:ascii="Calibri" w:cs="Calibri" w:eastAsia="Calibri" w:hAnsi="Calibri"/>
          <w:b/>
          <w:bCs/>
          <w:color w:val="2F5D8A"/>
          <w:sz w:val="25"/>
          <w:szCs w:val="25"/>
        </w:rPr>
        <w:t xml:space="preserve">Strategy and collaboration</w:t>
      </w:r>
    </w:p>
    <w:p>
      <w:pPr>
        <w:pStyle w:val="Heading3"/>
        <w:spacing w:after="70" w:before="160"/>
      </w:pPr>
      <w:r>
        <w:rPr>
          <w:rFonts w:ascii="Calibri" w:cs="Calibri" w:eastAsia="Calibri" w:hAnsi="Calibri"/>
          <w:b/>
          <w:bCs/>
          <w:color w:val="1F2A44"/>
          <w:sz w:val="22"/>
          <w:szCs w:val="22"/>
        </w:rPr>
        <w:t xml:space="preserve">P4. Walk us through your first 100 days.</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Structure, realism, and whether you would start inside the Forum before going outside.</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One collaboration done properly rather than four done thinly. Days one to thirty: diagnose. Thirty to sixty: agree the partnership and choose the question. Sixty to a hundred: prove value and start writing the method. By day 100 I would have a signed charter with the quantum team, a priority question with an anchor regulator, a first working session done, and a view on the sequence for the other teams.</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My hypothesis is that the first 100 days should produce one collaboration done properly, not four done thinly, and I would structure them in three phases.</w:t>
      </w:r>
    </w:p>
    <w:p>
      <w:pPr>
        <w:spacing w:after="140" w:line="276"/>
        <w:jc w:val="both"/>
      </w:pPr>
      <w:r>
        <w:rPr>
          <w:rFonts w:ascii="Georgia" w:cs="Georgia" w:eastAsia="Georgia" w:hAnsi="Georgia"/>
          <w:color w:val="1A1A1A"/>
          <w:sz w:val="21"/>
          <w:szCs w:val="21"/>
        </w:rPr>
        <w:t xml:space="preserve">Days one to thirty: diagnose. As an internal candidate I can skip most of the orientation, so this is focused. I would meet the leads of the quantum, autonomous mobility and robotics, biotechnology and planetary-systems teams, and the Centres for AI Excellence and Cybersecurity. I would inventory what each team has produced and which regulators it already works with. And I would map the decision windows for each technology: when regulators are actually deciding something.</w:t>
      </w:r>
    </w:p>
    <w:p>
      <w:pPr>
        <w:spacing w:after="140" w:line="276"/>
        <w:jc w:val="both"/>
      </w:pPr>
      <w:r>
        <w:rPr>
          <w:rFonts w:ascii="Georgia" w:cs="Georgia" w:eastAsia="Georgia" w:hAnsi="Georgia"/>
          <w:color w:val="1A1A1A"/>
          <w:sz w:val="21"/>
          <w:szCs w:val="21"/>
        </w:rPr>
        <w:t xml:space="preserve">Days thirty to sixty: agree and choose. I would agree a short collaboration charter with the quantum team, covering scope, who leads what, decision rights and credit, and have it endorsed by the Head of Digital Inclusion. Nothing external happens before that, because convening without agreed roles would look like GRIP building a parallel track. With the team, I would choose one priority question against explicit criteria, and secure one or two regulators willing to co-lead, because industry commits when regulators are in the room.</w:t>
      </w:r>
    </w:p>
    <w:p>
      <w:pPr>
        <w:spacing w:after="140" w:line="276"/>
        <w:jc w:val="both"/>
      </w:pPr>
      <w:r>
        <w:rPr>
          <w:rFonts w:ascii="Georgia" w:cs="Georgia" w:eastAsia="Georgia" w:hAnsi="Georgia"/>
          <w:color w:val="1A1A1A"/>
          <w:sz w:val="21"/>
          <w:szCs w:val="21"/>
        </w:rPr>
        <w:t xml:space="preserve">Days sixty to a hundred: prove and codify. I would run the first working session around a concrete draft, and start a method note recording every design choice, so the second collaboration starts from a template.</w:t>
      </w:r>
    </w:p>
    <w:p>
      <w:pPr>
        <w:spacing w:after="140" w:line="276"/>
        <w:jc w:val="both"/>
      </w:pPr>
      <w:r>
        <w:rPr>
          <w:rFonts w:ascii="Georgia" w:cs="Georgia" w:eastAsia="Georgia" w:hAnsi="Georgia"/>
          <w:color w:val="1A1A1A"/>
          <w:sz w:val="21"/>
          <w:szCs w:val="21"/>
        </w:rPr>
        <w:t xml:space="preserve">What I would not do in the first 100 days: launch anything publicly, start a second collaboration, or create a new community parallel to the quantum team’s own network.</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Case 1 in summary.</w:t>
      </w:r>
    </w:p>
    <w:p>
      <w:pPr>
        <w:pStyle w:val="Heading3"/>
        <w:spacing w:after="70" w:before="160"/>
      </w:pPr>
      <w:r>
        <w:rPr>
          <w:rFonts w:ascii="Calibri" w:cs="Calibri" w:eastAsia="Calibri" w:hAnsi="Calibri"/>
          <w:b/>
          <w:bCs/>
          <w:color w:val="1F2A44"/>
          <w:sz w:val="22"/>
          <w:szCs w:val="22"/>
        </w:rPr>
        <w:t xml:space="preserve">P5. Four technology teams, and one of you. How do you prioritise?</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Prioritisation on explicit criteria: a core consulting habit.</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On four criteria: a live decision window, existing regulator-facing work to build on, partner readiness, and replicability. That gives quantum first, autonomous mobility and robotics second, biotechnology third with the AI Centre, and planetary systems light-touch until its scope is clearer. Depth over breadth.</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I would make it explicit, on four criteria. First, a live decision window: are regulators deciding something in the next twelve to twenty-four months? Second, existing regulator-facing work to build on, so we extend rather than start from zero. Third, readiness: a willing team and at least one regulator ready to engage. Fourth, replicability: will the lessons transfer?</w:t>
      </w:r>
    </w:p>
    <w:p>
      <w:pPr>
        <w:spacing w:after="140" w:line="276"/>
        <w:jc w:val="both"/>
      </w:pPr>
      <w:r>
        <w:rPr>
          <w:rFonts w:ascii="Georgia" w:cs="Georgia" w:eastAsia="Georgia" w:hAnsi="Georgia"/>
          <w:color w:val="1A1A1A"/>
          <w:sz w:val="21"/>
          <w:szCs w:val="21"/>
        </w:rPr>
        <w:t xml:space="preserve">On those criteria, quantum comes first: hard migration deadlines to 2035 and a precedent with the FCA. Autonomous mobility and robotics comes second: the team’s 2026 paper already frames regulatory diversity as the problem, national rules are moving fast in the UK, US and China, and humanoid robots are arriving before any framework. Biotechnology comes third, where the most important issue, AI-designed biology, would need the Centre for AI Excellence as a partner. Planetary systems I would keep light-touch until its scope and decision windows are clearer.</w:t>
      </w:r>
    </w:p>
    <w:p>
      <w:pPr>
        <w:spacing w:after="140" w:line="276"/>
        <w:jc w:val="both"/>
      </w:pPr>
      <w:r>
        <w:rPr>
          <w:rFonts w:ascii="Georgia" w:cs="Georgia" w:eastAsia="Georgia" w:hAnsi="Georgia"/>
          <w:color w:val="1A1A1A"/>
          <w:sz w:val="21"/>
          <w:szCs w:val="21"/>
        </w:rPr>
        <w:t xml:space="preserve">The trade-off is depth over breadth. With a short mandate, the most valuable outcome is one collaboration completed, a second well under way, and a documented method; touching all four would produce activity without a model.</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Case 2.</w:t>
      </w:r>
    </w:p>
    <w:p>
      <w:pPr>
        <w:pStyle w:val="Heading3"/>
        <w:spacing w:after="70" w:before="160"/>
      </w:pPr>
      <w:r>
        <w:rPr>
          <w:rFonts w:ascii="Calibri" w:cs="Calibri" w:eastAsia="Calibri" w:hAnsi="Calibri"/>
          <w:b/>
          <w:bCs/>
          <w:color w:val="1F2A44"/>
          <w:sz w:val="22"/>
          <w:szCs w:val="22"/>
        </w:rPr>
        <w:t xml:space="preserve">P6. How would you work with the quantum team without becoming an extra layer?</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Matrix instinct and humility towards technical teams.</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By making their work more useful rather than adding process: bringing three things they do not have in-house (regulator relationships, a cross-jurisdiction view, and the craft of writing for supervisors), co-owning a defined piece of work, and giving them the credit.</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The quantum team owns the technology agenda and its community, and that should not change. My job is to make their work more useful to them. I would bring three things they do not have in-house: GRIP’s relationships with regulators and governments; a cross-jurisdiction view of where rules are diverging; and the craft of turning technical findings into something a supervisor or a general counsel can act on.</w:t>
      </w:r>
    </w:p>
    <w:p>
      <w:pPr>
        <w:spacing w:after="140" w:line="276"/>
        <w:jc w:val="both"/>
      </w:pPr>
      <w:r>
        <w:rPr>
          <w:rFonts w:ascii="Georgia" w:cs="Georgia" w:eastAsia="Georgia" w:hAnsi="Georgia"/>
          <w:color w:val="1A1A1A"/>
          <w:sz w:val="21"/>
          <w:szCs w:val="21"/>
        </w:rPr>
        <w:t xml:space="preserve">Practically: co-own a clearly defined piece of work rather than advise on everything; join their existing network rather than create a parallel one; credit the team in everything external; and agree at the start how decisions are made.</w:t>
      </w:r>
    </w:p>
    <w:p>
      <w:pPr>
        <w:spacing w:after="140" w:line="276"/>
        <w:jc w:val="both"/>
      </w:pPr>
      <w:r>
        <w:rPr>
          <w:rFonts w:ascii="Georgia" w:cs="Georgia" w:eastAsia="Georgia" w:hAnsi="Georgia"/>
          <w:color w:val="1A1A1A"/>
          <w:sz w:val="21"/>
          <w:szCs w:val="21"/>
        </w:rPr>
        <w:t xml:space="preserve">And I would set myself a test: if within three months the team does not see concrete value in its own terms, I am the extra layer, and we should change the approach.</w:t>
      </w:r>
    </w:p>
    <w:p>
      <w:pPr>
        <w:pStyle w:val="Heading3"/>
        <w:spacing w:after="70" w:before="160"/>
      </w:pPr>
      <w:r>
        <w:rPr>
          <w:rFonts w:ascii="Calibri" w:cs="Calibri" w:eastAsia="Calibri" w:hAnsi="Calibri"/>
          <w:b/>
          <w:bCs/>
          <w:color w:val="1F2A44"/>
          <w:sz w:val="22"/>
          <w:szCs w:val="22"/>
        </w:rPr>
        <w:t xml:space="preserve">P7. What does ‘integrating regulatory thinking early’ mean in practice?</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Whether you can turn a phrase from the JD into a method.</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It does not mean regulating early. It means asking the governance questions while choices are still open, at the scoping stage of a Forum programme, using a short set of questions, and recognising that each stage of a technology’s maturity raises different governance questions.</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It does not mean regulating early; it means asking the governance questions while choices are still open. Crypto is the counter-example: the governance questions were asked after the boom, and the result was years of improvised, divergent rules.</w:t>
      </w:r>
    </w:p>
    <w:p>
      <w:pPr>
        <w:spacing w:after="140" w:line="276"/>
        <w:jc w:val="both"/>
      </w:pPr>
      <w:r>
        <w:rPr>
          <w:rFonts w:ascii="Georgia" w:cs="Georgia" w:eastAsia="Georgia" w:hAnsi="Georgia"/>
          <w:color w:val="1A1A1A"/>
          <w:sz w:val="21"/>
          <w:szCs w:val="21"/>
        </w:rPr>
        <w:t xml:space="preserve">At the Forum, the practical intervention point is programme scoping. I would want six questions answered when a frontier-technology programme is designed: which regulators have, or will claim, jurisdiction; which governance questions are live now and which in three to five years; where jurisdictions are already diverging; what evidence regulators will need, and whether the programme can generate it; who is missing from the community; and what a practical output for regulators would look like and how it would reach them.</w:t>
      </w:r>
    </w:p>
    <w:p>
      <w:pPr>
        <w:spacing w:after="140" w:line="276"/>
        <w:jc w:val="both"/>
      </w:pPr>
      <w:r>
        <w:rPr>
          <w:rFonts w:ascii="Georgia" w:cs="Georgia" w:eastAsia="Georgia" w:hAnsi="Georgia"/>
          <w:color w:val="1A1A1A"/>
          <w:sz w:val="21"/>
          <w:szCs w:val="21"/>
        </w:rPr>
        <w:t xml:space="preserve">The second part is recognising that governance questions change with maturity. For quantum today, the live question is the security transition. The next one is quantum sensing, which is close to market, has obvious defence and privacy implications, and has almost no civilian governance framework. That is exactly where early integration pays off: you shape the question before the market does.</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Crypto (counter-example); Part A, Part I §6.</w:t>
      </w:r>
    </w:p>
    <w:p>
      <w:pPr>
        <w:pStyle w:val="Heading2"/>
        <w:spacing w:after="100" w:before="220"/>
      </w:pPr>
      <w:r>
        <w:rPr>
          <w:rFonts w:ascii="Calibri" w:cs="Calibri" w:eastAsia="Calibri" w:hAnsi="Calibri"/>
          <w:b/>
          <w:bCs/>
          <w:color w:val="2F5D8A"/>
          <w:sz w:val="25"/>
          <w:szCs w:val="25"/>
        </w:rPr>
        <w:t xml:space="preserve">Knowledge products</w:t>
      </w:r>
    </w:p>
    <w:p>
      <w:pPr>
        <w:pStyle w:val="Heading3"/>
        <w:spacing w:after="70" w:before="160"/>
      </w:pPr>
      <w:r>
        <w:rPr>
          <w:rFonts w:ascii="Calibri" w:cs="Calibri" w:eastAsia="Calibri" w:hAnsi="Calibri"/>
          <w:b/>
          <w:bCs/>
          <w:color w:val="1F2A44"/>
          <w:sz w:val="22"/>
          <w:szCs w:val="22"/>
        </w:rPr>
        <w:t xml:space="preserve">P8. What would be the first knowledge product with the quantum team, and why?</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Judgement about what the Forum should produce, and why it would matter.</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My hypothesis: a regulator-facing output on coherence in the quantum-safe transition, beyond finance and across jurisdictions. The direction is agreed, the detail diverges, and the Forum’s existing regulator work covers one sector with one regulator. I would test that with the team before committing.</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My hypothesis is a regulator-facing output on coherence in the quantum-safe transition. The reasoning has three parts.</w:t>
      </w:r>
    </w:p>
    <w:p>
      <w:pPr>
        <w:spacing w:after="140" w:line="276"/>
        <w:jc w:val="both"/>
      </w:pPr>
      <w:r>
        <w:rPr>
          <w:rFonts w:ascii="Georgia" w:cs="Georgia" w:eastAsia="Georgia" w:hAnsi="Georgia"/>
          <w:color w:val="1A1A1A"/>
          <w:sz w:val="21"/>
          <w:szCs w:val="21"/>
        </w:rPr>
        <w:t xml:space="preserve">The gap: the broad direction is agreed (start now, prioritise high-risk systems, finish by 2035), but the detail diverges between the US, EU, UK and others: dates, algorithm choices, whether hybrid schemes are required, and supervisory expectations. Multinationals and global supply chains have to satisfy all of them. The Forum’s 2024 work with the FCA covered finance, with one regulator. Telecommunications, energy, health and government services have very little equivalent guidance.</w:t>
      </w:r>
    </w:p>
    <w:p>
      <w:pPr>
        <w:spacing w:after="140" w:line="276"/>
        <w:jc w:val="both"/>
      </w:pPr>
      <w:r>
        <w:rPr>
          <w:rFonts w:ascii="Georgia" w:cs="Georgia" w:eastAsia="Georgia" w:hAnsi="Georgia"/>
          <w:color w:val="1A1A1A"/>
          <w:sz w:val="21"/>
          <w:szCs w:val="21"/>
        </w:rPr>
        <w:t xml:space="preserve">The window: EU member states are expected to begin their transitions by the end of 2026, the UK expects discovery completed by 2028, and NIST plans to deprecate vulnerable algorithms after 2030. An output that arrives in 2027 lands as regulators are writing their expectations.</w:t>
      </w:r>
    </w:p>
    <w:p>
      <w:pPr>
        <w:spacing w:after="140" w:line="276"/>
        <w:jc w:val="both"/>
      </w:pPr>
      <w:r>
        <w:rPr>
          <w:rFonts w:ascii="Georgia" w:cs="Georgia" w:eastAsia="Georgia" w:hAnsi="Georgia"/>
          <w:color w:val="1A1A1A"/>
          <w:sz w:val="21"/>
          <w:szCs w:val="21"/>
        </w:rPr>
        <w:t xml:space="preserve">The format: a crosswalk of national requirements, a small set of shared principles for sector supervisors, and practical guidance on the hardest cases, such as long-lived devices and firms with little cryptographic capacity. It would be co-developed with a working group of cybersecurity agencies, sector regulators and legal and compliance leaders.</w:t>
      </w:r>
    </w:p>
    <w:p>
      <w:pPr>
        <w:spacing w:after="140" w:line="276"/>
        <w:jc w:val="both"/>
      </w:pPr>
      <w:r>
        <w:rPr>
          <w:rFonts w:ascii="Georgia" w:cs="Georgia" w:eastAsia="Georgia" w:hAnsi="Georgia"/>
          <w:color w:val="1A1A1A"/>
          <w:sz w:val="21"/>
          <w:szCs w:val="21"/>
        </w:rPr>
        <w:t xml:space="preserve">But I would test it. The team may see a sharper gap, for example quantum sensing, and they own the agenda.</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Part A, Part III §1.7 and §1.10.</w:t>
      </w:r>
    </w:p>
    <w:p>
      <w:pPr>
        <w:pStyle w:val="Heading3"/>
        <w:spacing w:after="70" w:before="160"/>
      </w:pPr>
      <w:r>
        <w:rPr>
          <w:rFonts w:ascii="Calibri" w:cs="Calibri" w:eastAsia="Calibri" w:hAnsi="Calibri"/>
          <w:b/>
          <w:bCs/>
          <w:color w:val="1F2A44"/>
          <w:sz w:val="22"/>
          <w:szCs w:val="22"/>
        </w:rPr>
        <w:t xml:space="preserve">P9. How do you make a knowledge product that actually gets used?</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Understanding of adoption, not authorship.</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Influence is designed in at scoping, not added at launch. Five conditions: co-design with the users, timing to a live decision, specificity, a route to adoption, and a handover plan.</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Influence is designed in at scoping. Five conditions matter most.</w:t>
      </w:r>
    </w:p>
    <w:p>
      <w:pPr>
        <w:spacing w:after="140" w:line="276"/>
        <w:jc w:val="both"/>
      </w:pPr>
      <w:r>
        <w:rPr>
          <w:rFonts w:ascii="Georgia" w:cs="Georgia" w:eastAsia="Georgia" w:hAnsi="Georgia"/>
          <w:color w:val="1A1A1A"/>
          <w:sz w:val="21"/>
          <w:szCs w:val="21"/>
        </w:rPr>
        <w:t xml:space="preserve">Co-design with the people who will use it, including regulators, from the outline rather than at review. Timing to a real decision window, such as a deadline or a strategy under development. Specificity: checklists, model approaches and worked cases, rather than analysis alone. A route to adoption: a government counterpart, a C4IR pilot, or a community that will carry it. And a handover plan, so the output has an owner after launch.</w:t>
      </w:r>
    </w:p>
    <w:p>
      <w:pPr>
        <w:spacing w:after="140" w:line="276"/>
        <w:jc w:val="both"/>
      </w:pPr>
      <w:r>
        <w:rPr>
          <w:rFonts w:ascii="Georgia" w:cs="Georgia" w:eastAsia="Georgia" w:hAnsi="Georgia"/>
          <w:color w:val="1A1A1A"/>
          <w:sz w:val="21"/>
          <w:szCs w:val="21"/>
        </w:rPr>
        <w:t xml:space="preserve">The Forum has good precedents: the quantum team co-authored with a regulator, which gave its 2024 work a direct route into supervision; and the Space Sustainability Rating was incubated at the Forum and handed to EPFL to run. From my own work, [one lesson from your current workstream about what made a product land with senior audiences].</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Forum precedents; current role (to complete).</w:t>
      </w:r>
    </w:p>
    <w:p>
      <w:pPr>
        <w:pStyle w:val="Heading3"/>
        <w:spacing w:after="70" w:before="160"/>
      </w:pPr>
      <w:r>
        <w:rPr>
          <w:rFonts w:ascii="Calibri" w:cs="Calibri" w:eastAsia="Calibri" w:hAnsi="Calibri"/>
          <w:b/>
          <w:bCs/>
          <w:color w:val="1F2A44"/>
          <w:sz w:val="22"/>
          <w:szCs w:val="22"/>
        </w:rPr>
        <w:t xml:space="preserve">P10. In 2025 a Google researcher estimated RSA-2048 could be broken with under a million qubits. What does that mean for a government?</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Translating a technical development into governance insight.</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It changes the urgency, not the direction. The estimate fell twentyfold in six years, so governments should assume it keeps falling, plan to their migration deadlines rather than to predictions of Q-Day, and focus on the systems that are slowest to change.</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Three things.</w:t>
      </w:r>
    </w:p>
    <w:p>
      <w:pPr>
        <w:spacing w:after="140" w:line="276"/>
        <w:jc w:val="both"/>
      </w:pPr>
      <w:r>
        <w:rPr>
          <w:rFonts w:ascii="Georgia" w:cs="Georgia" w:eastAsia="Georgia" w:hAnsi="Georgia"/>
          <w:color w:val="1A1A1A"/>
          <w:sz w:val="21"/>
          <w:szCs w:val="21"/>
        </w:rPr>
        <w:t xml:space="preserve">First, the trend matters more than the number. In 2019 the estimate was about 20 million noisy qubits; in 2025 it fell below one million, running for under a week. No such machine exists today, but the planning assumption should be that the threshold keeps falling as algorithms and error correction improve.</w:t>
      </w:r>
    </w:p>
    <w:p>
      <w:pPr>
        <w:spacing w:after="140" w:line="276"/>
        <w:jc w:val="both"/>
      </w:pPr>
      <w:r>
        <w:rPr>
          <w:rFonts w:ascii="Georgia" w:cs="Georgia" w:eastAsia="Georgia" w:hAnsi="Georgia"/>
          <w:color w:val="1A1A1A"/>
          <w:sz w:val="21"/>
          <w:szCs w:val="21"/>
        </w:rPr>
        <w:t xml:space="preserve">Second, it changes urgency, not direction. By Mosca’s theorem, if data must stay confidential for twenty years and migration takes ten, you are already late. And harvest-now-decrypt-later means data stolen today is already exposed.</w:t>
      </w:r>
    </w:p>
    <w:p>
      <w:pPr>
        <w:spacing w:after="140" w:line="276"/>
        <w:jc w:val="both"/>
      </w:pPr>
      <w:r>
        <w:rPr>
          <w:rFonts w:ascii="Georgia" w:cs="Georgia" w:eastAsia="Georgia" w:hAnsi="Georgia"/>
          <w:color w:val="1A1A1A"/>
          <w:sz w:val="21"/>
          <w:szCs w:val="21"/>
        </w:rPr>
        <w:t xml:space="preserve">Third, the practical response is to fund and enforce the migration governments have already announced: cryptographic inventories now, priority systems by around 2030, and particular attention to long-lived infrastructure and to sectors and countries with little capacity. The governance lesson is to plan to deadlines, not to predictions of Q-Day.</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Part A, Part III §1.6.</w:t>
      </w:r>
    </w:p>
    <w:p>
      <w:pPr>
        <w:pStyle w:val="Heading2"/>
        <w:spacing w:after="100" w:before="220"/>
      </w:pPr>
      <w:r>
        <w:rPr>
          <w:rFonts w:ascii="Calibri" w:cs="Calibri" w:eastAsia="Calibri" w:hAnsi="Calibri"/>
          <w:b/>
          <w:bCs/>
          <w:color w:val="2F5D8A"/>
          <w:sz w:val="25"/>
          <w:szCs w:val="25"/>
        </w:rPr>
        <w:t xml:space="preserve">Stakeholders and convening</w:t>
      </w:r>
    </w:p>
    <w:p>
      <w:pPr>
        <w:pStyle w:val="Heading3"/>
        <w:spacing w:after="70" w:before="160"/>
      </w:pPr>
      <w:r>
        <w:rPr>
          <w:rFonts w:ascii="Calibri" w:cs="Calibri" w:eastAsia="Calibri" w:hAnsi="Calibri"/>
          <w:b/>
          <w:bCs/>
          <w:color w:val="1F2A44"/>
          <w:sz w:val="22"/>
          <w:szCs w:val="22"/>
        </w:rPr>
        <w:t xml:space="preserve">P11. How would you build the multistakeholder community? Who comes first?</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Whether you understand how commitments are sequenced.</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Sequentially, not all at once: anchor regulators first, because companies commit when regulators are in the room; then companies, through both technical and legal and compliance leaders; then standards bodies; then civil society and under-represented jurisdictions, early enough to shape the work.</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I would sequence it, because the order of commitments changes everyone else’s calculation.</w:t>
      </w:r>
    </w:p>
    <w:p>
      <w:pPr>
        <w:spacing w:after="140" w:line="276"/>
        <w:jc w:val="both"/>
      </w:pPr>
      <w:r>
        <w:rPr>
          <w:rFonts w:ascii="Georgia" w:cs="Georgia" w:eastAsia="Georgia" w:hAnsi="Georgia"/>
          <w:color w:val="1A1A1A"/>
          <w:sz w:val="21"/>
          <w:szCs w:val="21"/>
        </w:rPr>
        <w:t xml:space="preserve">First, one or two anchor regulators willing to co-lead. Companies, and especially their general counsels, commit time when regulators are in the room; without an anchor, a working group becomes an industry forum. Second, the companies that bear the cost of divergence, represented by both technical and legal and compliance leaders, because they see different parts of the problem. Third, standards bodies and the technical community, to keep the work grounded. Fourth, civil society and jurisdictions beyond the US and Europe, including through the C4IR network, early enough to shape the work rather than review it.</w:t>
      </w:r>
    </w:p>
    <w:p>
      <w:pPr>
        <w:spacing w:after="140" w:line="276"/>
        <w:jc w:val="both"/>
      </w:pPr>
      <w:r>
        <w:rPr>
          <w:rFonts w:ascii="Georgia" w:cs="Georgia" w:eastAsia="Georgia" w:hAnsi="Georgia"/>
          <w:color w:val="1A1A1A"/>
          <w:sz w:val="21"/>
          <w:szCs w:val="21"/>
        </w:rPr>
        <w:t xml:space="preserve">It is the same logic I saw in the design of Gulf platforms and in China’s renewables build-out: identify the minimum set of first-mover commitments that make everyone else’s decision easier. And I would build on the quantum team’s existing network rather than start a parallel one.</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FGS and IEEP (sequencing), in one sentence each.</w:t>
      </w:r>
    </w:p>
    <w:p>
      <w:pPr>
        <w:pStyle w:val="Heading3"/>
        <w:spacing w:after="70" w:before="160"/>
      </w:pPr>
      <w:r>
        <w:rPr>
          <w:rFonts w:ascii="Calibri" w:cs="Calibri" w:eastAsia="Calibri" w:hAnsi="Calibri"/>
          <w:b/>
          <w:bCs/>
          <w:color w:val="1F2A44"/>
          <w:sz w:val="22"/>
          <w:szCs w:val="22"/>
        </w:rPr>
        <w:t xml:space="preserve">P12. What do Chief Legal and Chief Compliance Officers need from this work, and how would you run a dialogue that produces an outcome?</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Understanding of the JD’s named communities, and convening craft.</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They need predictability and early warning: what regulators will expect, by when, and where markets differ. A dialogue produces an outcome when it is designed backwards from a decision, with a draft on the table and a follow-up mechanism.</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Legal and compliance leaders need predictability: what regulators will expect, by when, and how requirements differ across their markets. They also want a credible channel to explain implementation realities to regulators before rules are fixed. So the offer is a seat in shaping regulator-facing work, early sight of emerging expectations, and peer exchange with counterparts facing the same problem. I would engage them through the Forum’s existing CLO and CCO communities with a focused ask tied to a live issue, such as how firms will evidence post-quantum readiness to supervisors.</w:t>
      </w:r>
    </w:p>
    <w:p>
      <w:pPr>
        <w:spacing w:after="140" w:line="276"/>
        <w:jc w:val="both"/>
      </w:pPr>
      <w:r>
        <w:rPr>
          <w:rFonts w:ascii="Georgia" w:cs="Georgia" w:eastAsia="Georgia" w:hAnsi="Georgia"/>
          <w:color w:val="1A1A1A"/>
          <w:sz w:val="21"/>
          <w:szCs w:val="21"/>
        </w:rPr>
        <w:t xml:space="preserve">On dialogues: design backwards from the decision. Before the session, agree what outcome is wanted and who can commit to it, and circulate a short draft so people react to something concrete. In the session, spend the time on the one or two contested points, not on presentations. Afterwards, send a written summary within days, with owners and a date. Without a draft on the table and a follow-up mechanism, a high-level dialogue is a conversation.</w:t>
      </w:r>
    </w:p>
    <w:p>
      <w:pPr>
        <w:pStyle w:val="Heading2"/>
        <w:spacing w:after="100" w:before="220"/>
      </w:pPr>
      <w:r>
        <w:rPr>
          <w:rFonts w:ascii="Calibri" w:cs="Calibri" w:eastAsia="Calibri" w:hAnsi="Calibri"/>
          <w:b/>
          <w:bCs/>
          <w:color w:val="2F5D8A"/>
          <w:sz w:val="25"/>
          <w:szCs w:val="25"/>
        </w:rPr>
        <w:t xml:space="preserve">Technology</w:t>
      </w:r>
    </w:p>
    <w:p>
      <w:pPr>
        <w:pStyle w:val="Heading3"/>
        <w:spacing w:after="70" w:before="160"/>
      </w:pPr>
      <w:r>
        <w:rPr>
          <w:rFonts w:ascii="Calibri" w:cs="Calibri" w:eastAsia="Calibri" w:hAnsi="Calibri"/>
          <w:b/>
          <w:bCs/>
          <w:color w:val="1F2A44"/>
          <w:sz w:val="22"/>
          <w:szCs w:val="22"/>
        </w:rPr>
        <w:t xml:space="preserve">P13. What did crypto teach regulators that applies to frontier technology?</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Your distinctive angle: a frontier technology you have seen regulated from the inside.</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Four lessons. Sandboxes and taxonomies were the first tools but not enough; jurisdictions that designed early and credibly attracted the industry; divergence invited arbitrage; and international standards eventually set a floor. For quantum, the lesson is to design early, aim for coherence across jurisdictions, and build the standards floor before a crisis.</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Crypto was the first frontier technology that forced regulators to innovate at speed, and I saw it from the inside, advising blockchain clients at Fortior in 2018 and later working on a carbon-credit digital asset across Swiss and EU rules. Four lessons stand out.</w:t>
      </w:r>
    </w:p>
    <w:p>
      <w:pPr>
        <w:spacing w:after="140" w:line="276"/>
        <w:jc w:val="both"/>
      </w:pPr>
      <w:r>
        <w:rPr>
          <w:rFonts w:ascii="Georgia" w:cs="Georgia" w:eastAsia="Georgia" w:hAnsi="Georgia"/>
          <w:color w:val="1A1A1A"/>
          <w:sz w:val="21"/>
          <w:szCs w:val="21"/>
        </w:rPr>
        <w:t xml:space="preserve">One: the first tools were sandboxes and taxonomies. The FCA admitted blockchain firms to its sandbox, and FINMA’s 2018 guidance classified tokens as payment, utility or asset tokens. They helped regulators learn, but they did not add up to a regime.</w:t>
      </w:r>
    </w:p>
    <w:p>
      <w:pPr>
        <w:spacing w:after="140" w:line="276"/>
        <w:jc w:val="both"/>
      </w:pPr>
      <w:r>
        <w:rPr>
          <w:rFonts w:ascii="Georgia" w:cs="Georgia" w:eastAsia="Georgia" w:hAnsi="Georgia"/>
          <w:color w:val="1A1A1A"/>
          <w:sz w:val="21"/>
          <w:szCs w:val="21"/>
        </w:rPr>
        <w:t xml:space="preserve">Two: early, credible design attracted the industry. Switzerland (and later its DLT Act) and the UAE, with Abu Dhabi’s 2018 framework and Dubai’s dedicated regulator, became hubs because firms could see the rules. That is regulatory design as a competitive asset.</w:t>
      </w:r>
    </w:p>
    <w:p>
      <w:pPr>
        <w:spacing w:after="140" w:line="276"/>
        <w:jc w:val="both"/>
      </w:pPr>
      <w:r>
        <w:rPr>
          <w:rFonts w:ascii="Georgia" w:cs="Georgia" w:eastAsia="Georgia" w:hAnsi="Georgia"/>
          <w:color w:val="1A1A1A"/>
          <w:sz w:val="21"/>
          <w:szCs w:val="21"/>
        </w:rPr>
        <w:t xml:space="preserve">Three: divergence invited arbitrage. Activity migrated to wherever rules were weakest, and the costs surfaced in failures like FTX. The EU’s comprehensive regime, MiCA, applied only at the end of 2024.</w:t>
      </w:r>
    </w:p>
    <w:p>
      <w:pPr>
        <w:spacing w:after="140" w:line="276"/>
        <w:jc w:val="both"/>
      </w:pPr>
      <w:r>
        <w:rPr>
          <w:rFonts w:ascii="Georgia" w:cs="Georgia" w:eastAsia="Georgia" w:hAnsi="Georgia"/>
          <w:color w:val="1A1A1A"/>
          <w:sz w:val="21"/>
          <w:szCs w:val="21"/>
        </w:rPr>
        <w:t xml:space="preserve">Four: international standards eventually set a floor: the FATF’s 2019 standard on virtual assets, and the Basel Committee’s 2022 prudential standard for banks’ crypto exposures.</w:t>
      </w:r>
    </w:p>
    <w:p>
      <w:pPr>
        <w:spacing w:after="140" w:line="276"/>
        <w:jc w:val="both"/>
      </w:pPr>
      <w:r>
        <w:rPr>
          <w:rFonts w:ascii="Georgia" w:cs="Georgia" w:eastAsia="Georgia" w:hAnsi="Georgia"/>
          <w:color w:val="1A1A1A"/>
          <w:sz w:val="21"/>
          <w:szCs w:val="21"/>
        </w:rPr>
        <w:t xml:space="preserve">For quantum the implication is direct: design governance early, while the transition is still ahead; aim for coherence across jurisdictions before divergence hardens; and build the standards floor before a crisis rather than after one.</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Fortior and Toco (primary use).</w:t>
      </w:r>
    </w:p>
    <w:p>
      <w:pPr>
        <w:pStyle w:val="Heading3"/>
        <w:spacing w:after="70" w:before="160"/>
      </w:pPr>
      <w:r>
        <w:rPr>
          <w:rFonts w:ascii="Calibri" w:cs="Calibri" w:eastAsia="Calibri" w:hAnsi="Calibri"/>
          <w:b/>
          <w:bCs/>
          <w:color w:val="1F2A44"/>
          <w:sz w:val="22"/>
          <w:szCs w:val="22"/>
        </w:rPr>
        <w:t xml:space="preserve">P14. Why does quantum matter beyond cryptography?</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Whether you see the technology’s upside, not only its risk.</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Because quantum simulation could transform how we design molecules and materials, with direct consequences for medicine and climate: new drugs, better batteries, more efficient fertiliser and carbon capture. Getting the security transition right is what keeps the path to those benefits open, with trust intact.</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Because its upside is among the largest of any technology, and it is concentrated in problems classical computers cannot solve well: simulating how molecules and materials behave.</w:t>
      </w:r>
    </w:p>
    <w:p>
      <w:pPr>
        <w:spacing w:after="140" w:line="276"/>
        <w:jc w:val="both"/>
      </w:pPr>
      <w:r>
        <w:rPr>
          <w:rFonts w:ascii="Georgia" w:cs="Georgia" w:eastAsia="Georgia" w:hAnsi="Georgia"/>
          <w:color w:val="1A1A1A"/>
          <w:sz w:val="21"/>
          <w:szCs w:val="21"/>
        </w:rPr>
        <w:t xml:space="preserve">In medicine, that means modelling how drug candidates bind to their targets and how enzymes work, which could shorten discovery for diseases where classical methods struggle. In climate, it means designing better battery materials, catalysts for fertiliser production (a process that consumes a notable share of the world’s energy today), and materials for carbon capture. Quantum sensing adds earlier medical diagnostics and navigation that does not depend on satellites.</w:t>
      </w:r>
    </w:p>
    <w:p>
      <w:pPr>
        <w:spacing w:after="140" w:line="276"/>
        <w:jc w:val="both"/>
      </w:pPr>
      <w:r>
        <w:rPr>
          <w:rFonts w:ascii="Georgia" w:cs="Georgia" w:eastAsia="Georgia" w:hAnsi="Georgia"/>
          <w:color w:val="1A1A1A"/>
          <w:sz w:val="21"/>
          <w:szCs w:val="21"/>
        </w:rPr>
        <w:t xml:space="preserve">Two cautions keep this credible. Most of these applications need fault-tolerant machines, which roadmaps place around the end of the decade; and optimisation claims are much less proven than simulation. So the honest framing is: transformative, but later than the hype suggests.</w:t>
      </w:r>
    </w:p>
    <w:p>
      <w:pPr>
        <w:spacing w:after="140" w:line="276"/>
        <w:jc w:val="both"/>
      </w:pPr>
      <w:r>
        <w:rPr>
          <w:rFonts w:ascii="Georgia" w:cs="Georgia" w:eastAsia="Georgia" w:hAnsi="Georgia"/>
          <w:color w:val="1A1A1A"/>
          <w:sz w:val="21"/>
          <w:szCs w:val="21"/>
        </w:rPr>
        <w:t xml:space="preserve">The governance point is that the benefits will only be broad if access is broad, which is why the Forum’s work on the quantum divide matters, and why getting the security transition right now keeps the path to those benefits open with public trust intact.</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Part A, Part III §1.2 and §1.8.</w:t>
      </w:r>
    </w:p>
    <w:p>
      <w:pPr>
        <w:pStyle w:val="Heading3"/>
        <w:spacing w:after="70" w:before="160"/>
      </w:pPr>
      <w:r>
        <w:rPr>
          <w:rFonts w:ascii="Calibri" w:cs="Calibri" w:eastAsia="Calibri" w:hAnsi="Calibri"/>
          <w:b/>
          <w:bCs/>
          <w:color w:val="1F2A44"/>
          <w:sz w:val="22"/>
          <w:szCs w:val="22"/>
        </w:rPr>
        <w:t xml:space="preserve">P15. Explain the quantum threat to a General Counsel in two minutes.</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Clarity and accuracy for a non-technical senior audience.</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Almost all digital trust today relies on encryption a future quantum computer could break. The machine does not exist yet, but data stolen today can be decrypted later, and replacing encryption takes years. Governments have set deadlines around 2030 and 2035, and regulators will expect progress.</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Almost all digital trust today, secure websites, payments, digital signatures on contracts and software, relies on a type of encryption that a large enough quantum computer could break. That machine does not exist yet, and credible estimates of when it might range from the early 2030s to much later.</w:t>
      </w:r>
    </w:p>
    <w:p>
      <w:pPr>
        <w:spacing w:after="140" w:line="276"/>
        <w:jc w:val="both"/>
      </w:pPr>
      <w:r>
        <w:rPr>
          <w:rFonts w:ascii="Georgia" w:cs="Georgia" w:eastAsia="Georgia" w:hAnsi="Georgia"/>
          <w:color w:val="1A1A1A"/>
          <w:sz w:val="21"/>
          <w:szCs w:val="21"/>
        </w:rPr>
        <w:t xml:space="preserve">There are two reasons to act now anyway. Data stolen today can be decrypted later, so anything that must stay confidential for years is already exposed. And replacing encryption across an organisation and its suppliers takes many years.</w:t>
      </w:r>
    </w:p>
    <w:p>
      <w:pPr>
        <w:spacing w:after="140" w:line="276"/>
        <w:jc w:val="both"/>
      </w:pPr>
      <w:r>
        <w:rPr>
          <w:rFonts w:ascii="Georgia" w:cs="Georgia" w:eastAsia="Georgia" w:hAnsi="Georgia"/>
          <w:color w:val="1A1A1A"/>
          <w:sz w:val="21"/>
          <w:szCs w:val="21"/>
        </w:rPr>
        <w:t xml:space="preserve">Governments have set timelines: the US, EU and UK expect high-risk systems migrated around 2030 and everything by 2035, and supervisors will increasingly ask firms to show progress.</w:t>
      </w:r>
    </w:p>
    <w:p>
      <w:pPr>
        <w:spacing w:after="140" w:line="276"/>
        <w:jc w:val="both"/>
      </w:pPr>
      <w:r>
        <w:rPr>
          <w:rFonts w:ascii="Georgia" w:cs="Georgia" w:eastAsia="Georgia" w:hAnsi="Georgia"/>
          <w:color w:val="1A1A1A"/>
          <w:sz w:val="21"/>
          <w:szCs w:val="21"/>
        </w:rPr>
        <w:t xml:space="preserve">So the three questions for a General Counsel are: do we know where we use this cryptography, including in our suppliers’ products; which of our data must stay confidential longest; and who owns this risk at board level?</w:t>
      </w:r>
    </w:p>
    <w:p>
      <w:pPr>
        <w:pStyle w:val="Heading3"/>
        <w:spacing w:after="70" w:before="160"/>
      </w:pPr>
      <w:r>
        <w:rPr>
          <w:rFonts w:ascii="Calibri" w:cs="Calibri" w:eastAsia="Calibri" w:hAnsi="Calibri"/>
          <w:b/>
          <w:bCs/>
          <w:color w:val="1F2A44"/>
          <w:sz w:val="22"/>
          <w:szCs w:val="22"/>
        </w:rPr>
        <w:t xml:space="preserve">P16. Beyond quantum, where is governance furthest behind?</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Breadth across the frontier-technology portfolio.</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In two places: humanoid and general-purpose robots, which are entering workplaces and will enter homes before any framework exists; and AI-designed biology, which sits between regulators and between the Forum’s own teams. For autonomous vehicles the problem is different: rules exist, but each country is learning alone.</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I would distinguish three situations.</w:t>
      </w:r>
    </w:p>
    <w:p>
      <w:pPr>
        <w:spacing w:after="140" w:line="276"/>
        <w:jc w:val="both"/>
      </w:pPr>
      <w:r>
        <w:rPr>
          <w:rFonts w:ascii="Georgia" w:cs="Georgia" w:eastAsia="Georgia" w:hAnsi="Georgia"/>
          <w:color w:val="1A1A1A"/>
          <w:sz w:val="21"/>
          <w:szCs w:val="21"/>
        </w:rPr>
        <w:t xml:space="preserve">Autonomous vehicles: rules now exist and deployment is real (Waymo at around half a million paid rides a week in the US, Baidu at hundreds of thousands in China), but each country is building its own approval, liability and incident-reporting regime. The problem is shared learning, which the team’s 2026 paper frames well, and aviation shows how powerful cross-border incident learning can be.</w:t>
      </w:r>
    </w:p>
    <w:p>
      <w:pPr>
        <w:spacing w:after="140" w:line="276"/>
        <w:jc w:val="both"/>
      </w:pPr>
      <w:r>
        <w:rPr>
          <w:rFonts w:ascii="Georgia" w:cs="Georgia" w:eastAsia="Georgia" w:hAnsi="Georgia"/>
          <w:color w:val="1A1A1A"/>
          <w:sz w:val="21"/>
          <w:szCs w:val="21"/>
        </w:rPr>
        <w:t xml:space="preserve">Humanoid and general-purpose robots: governance is furthest behind. They are moving into warehouses and shops, and eventually homes, while safety standards were written for fenced industrial robots. China published a standards system for humanoids in 2026; almost no one else has a framework. This is the clearest case for integrating governance early.</w:t>
      </w:r>
    </w:p>
    <w:p>
      <w:pPr>
        <w:spacing w:after="140" w:line="276"/>
        <w:jc w:val="both"/>
      </w:pPr>
      <w:r>
        <w:rPr>
          <w:rFonts w:ascii="Georgia" w:cs="Georgia" w:eastAsia="Georgia" w:hAnsi="Georgia"/>
          <w:color w:val="1A1A1A"/>
          <w:sz w:val="21"/>
          <w:szCs w:val="21"/>
        </w:rPr>
        <w:t xml:space="preserve">AI-designed biology: the most serious, because the downside is catastrophic. AI can now design proteins and sequences that DNA-synthesis screening was not built to catch, and the governance chain (model safeguards, screening, customer verification) is split across actors and countries, and between the biotechnology team and the Centre for AI Excellence.</w:t>
      </w:r>
    </w:p>
    <w:p>
      <w:pPr>
        <w:spacing w:after="140" w:line="276"/>
        <w:jc w:val="both"/>
      </w:pPr>
      <w:r>
        <w:rPr>
          <w:rFonts w:ascii="Georgia" w:cs="Georgia" w:eastAsia="Georgia" w:hAnsi="Georgia"/>
          <w:color w:val="1A1A1A"/>
          <w:sz w:val="21"/>
          <w:szCs w:val="21"/>
        </w:rPr>
        <w:t xml:space="preserve">If I had to choose, humanoids would be the next integration case and AI-bio the most important convergence case.</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Cases 3 and 4.</w:t>
      </w:r>
    </w:p>
    <w:p>
      <w:pPr>
        <w:pStyle w:val="Heading2"/>
        <w:spacing w:after="100" w:before="220"/>
      </w:pPr>
      <w:r>
        <w:rPr>
          <w:rFonts w:ascii="Calibri" w:cs="Calibri" w:eastAsia="Calibri" w:hAnsi="Calibri"/>
          <w:b/>
          <w:bCs/>
          <w:color w:val="2F5D8A"/>
          <w:sz w:val="25"/>
          <w:szCs w:val="25"/>
        </w:rPr>
        <w:t xml:space="preserve">Judgement</w:t>
      </w:r>
    </w:p>
    <w:p>
      <w:pPr>
        <w:pStyle w:val="Heading3"/>
        <w:spacing w:after="70" w:before="160"/>
      </w:pPr>
      <w:r>
        <w:rPr>
          <w:rFonts w:ascii="Calibri" w:cs="Calibri" w:eastAsia="Calibri" w:hAnsi="Calibri"/>
          <w:b/>
          <w:bCs/>
          <w:color w:val="1F2A44"/>
          <w:sz w:val="22"/>
          <w:szCs w:val="22"/>
        </w:rPr>
        <w:t xml:space="preserve">P17. Can an organisation that doesn’t regulate really shape regulation?</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Understanding of the Forum’s theory of change, and of its critics.</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Yes, indirectly and under conditions: by building shared understanding before positions harden, co-developing frameworks with regulators, showing them what other jurisdictions do, and piloting with governments. Its legitimacy depends on inclusion and transparency; it complements regulators, it does not substitute for them.</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Yes, but indirectly, and only under conditions.</w:t>
      </w:r>
    </w:p>
    <w:p>
      <w:pPr>
        <w:spacing w:after="140" w:line="276"/>
        <w:jc w:val="both"/>
      </w:pPr>
      <w:r>
        <w:rPr>
          <w:rFonts w:ascii="Georgia" w:cs="Georgia" w:eastAsia="Georgia" w:hAnsi="Georgia"/>
          <w:color w:val="1A1A1A"/>
          <w:sz w:val="21"/>
          <w:szCs w:val="21"/>
        </w:rPr>
        <w:t xml:space="preserve">The mechanisms are well evidenced. Shared understanding before positions harden: the quantum governance principles in 2022. Co-development with a regulator: the 2024 quantum security work with the FCA. Comparison across jurisdictions: the 2026 autonomous-vehicle paper. Piloting with governments through the C4IR network: Rwanda’s performance-based drone rules, co-designed with the Forum and adopted by the government. And incubating instruments others run: the Space Sustainability Rating.</w:t>
      </w:r>
    </w:p>
    <w:p>
      <w:pPr>
        <w:spacing w:after="140" w:line="276"/>
        <w:jc w:val="both"/>
      </w:pPr>
      <w:r>
        <w:rPr>
          <w:rFonts w:ascii="Georgia" w:cs="Georgia" w:eastAsia="Georgia" w:hAnsi="Georgia"/>
          <w:color w:val="1A1A1A"/>
          <w:sz w:val="21"/>
          <w:szCs w:val="21"/>
        </w:rPr>
        <w:t xml:space="preserve">The critique is that multistakeholder processes can over-weight corporate voices. The answer is not to deny it but to design against it: regulators as co-leads, genuine inclusion of civil society and the Global South, transparency about who is in the room, and outputs that governments adopt through their own accountable processes. The Forum complements regulators; it does not substitute for them.</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Part A, Part II §4 and Part IV §4.</w:t>
      </w:r>
    </w:p>
    <w:p>
      <w:pPr>
        <w:pStyle w:val="Heading3"/>
        <w:spacing w:after="70" w:before="160"/>
      </w:pPr>
      <w:r>
        <w:rPr>
          <w:rFonts w:ascii="Calibri" w:cs="Calibri" w:eastAsia="Calibri" w:hAnsi="Calibri"/>
          <w:b/>
          <w:bCs/>
          <w:color w:val="1F2A44"/>
          <w:sz w:val="22"/>
          <w:szCs w:val="22"/>
        </w:rPr>
        <w:t xml:space="preserve">P18. A government partner asks the Forum to endorse its national quantum rules, and a member company wants to use a dialogue to argue against a regulation. How do you handle both?</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Integrity and neutrality with powerful partners.</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The same principle applies to both: the Forum’s value is its neutrality. It does not endorse national rules and it does not carry advocacy; but it can benchmark the government’s approach and bring the company’s evidence into a balanced discussion.</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The same principle governs both: the Forum’s value to everyone depends on being trusted as neutral.</w:t>
      </w:r>
    </w:p>
    <w:p>
      <w:pPr>
        <w:spacing w:after="140" w:line="276"/>
        <w:jc w:val="both"/>
      </w:pPr>
      <w:r>
        <w:rPr>
          <w:rFonts w:ascii="Georgia" w:cs="Georgia" w:eastAsia="Georgia" w:hAnsi="Georgia"/>
          <w:color w:val="1A1A1A"/>
          <w:sz w:val="21"/>
          <w:szCs w:val="21"/>
        </w:rPr>
        <w:t xml:space="preserve">For the government, endorsement would compromise that with every other jurisdiction. But there is real value we can offer instead: benchmarking its approach against other jurisdictions, bringing its regulators into the community so its experience informs others, and, if appropriate, a pilot through a C4IR centre. With a close partner, I would make sure that answer is given early and carefully, with the Head of Digital Inclusion aligned.</w:t>
      </w:r>
    </w:p>
    <w:p>
      <w:pPr>
        <w:spacing w:after="140" w:line="276"/>
        <w:jc w:val="both"/>
      </w:pPr>
      <w:r>
        <w:rPr>
          <w:rFonts w:ascii="Georgia" w:cs="Georgia" w:eastAsia="Georgia" w:hAnsi="Georgia"/>
          <w:color w:val="1A1A1A"/>
          <w:sz w:val="21"/>
          <w:szCs w:val="21"/>
        </w:rPr>
        <w:t xml:space="preserve">For the company, its evidence on implementation costs is valuable, and regulators need it. But it must sit alongside other perspectives, and no output can present one member’s position as the community’s view. If the aim is simply to lobby, I would say, early and privately, that the Forum is not the right channel.</w:t>
      </w:r>
    </w:p>
    <w:p>
      <w:pPr>
        <w:pStyle w:val="Heading3"/>
        <w:spacing w:after="70" w:before="160"/>
      </w:pPr>
      <w:r>
        <w:rPr>
          <w:rFonts w:ascii="Calibri" w:cs="Calibri" w:eastAsia="Calibri" w:hAnsi="Calibri"/>
          <w:b/>
          <w:bCs/>
          <w:color w:val="1F2A44"/>
          <w:sz w:val="22"/>
          <w:szCs w:val="22"/>
        </w:rPr>
        <w:t xml:space="preserve">P19. The quantum team tells you they don’t need a regulatory person. What do you do?</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Resilience and matrix skill.</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Take it seriously, find out why, and offer one small, concrete thing that is clearly useful to them. Earn the collaboration rather than argue for it.</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I would take it seriously rather than argue. First I would find out why: perhaps they feel they already cover regulators through the FCA work, or they have experienced ‘help’ that added work.</w:t>
      </w:r>
    </w:p>
    <w:p>
      <w:pPr>
        <w:spacing w:after="140" w:line="276"/>
        <w:jc w:val="both"/>
      </w:pPr>
      <w:r>
        <w:rPr>
          <w:rFonts w:ascii="Georgia" w:cs="Georgia" w:eastAsia="Georgia" w:hAnsi="Georgia"/>
          <w:color w:val="1A1A1A"/>
          <w:sz w:val="21"/>
          <w:szCs w:val="21"/>
        </w:rPr>
        <w:t xml:space="preserve">Then I would offer one small, concrete thing that is clearly useful in their terms: for example, a map of how post-quantum requirements differ across jurisdictions, or introductions to sector regulators they have not reached. If that proves valuable, the collaboration follows; if it does not, I have learned where the real need is.</w:t>
      </w:r>
    </w:p>
    <w:p>
      <w:pPr>
        <w:spacing w:after="140" w:line="276"/>
        <w:jc w:val="both"/>
      </w:pPr>
      <w:r>
        <w:rPr>
          <w:rFonts w:ascii="Georgia" w:cs="Georgia" w:eastAsia="Georgia" w:hAnsi="Georgia"/>
          <w:color w:val="1A1A1A"/>
          <w:sz w:val="21"/>
          <w:szCs w:val="21"/>
        </w:rPr>
        <w:t xml:space="preserve">In parallel, I would make sure the Head of Digital Inclusion and the team’s leadership agree on the purpose of the collaboration, so it does not rest on persuasion alone.</w:t>
      </w:r>
    </w:p>
    <w:p>
      <w:pPr>
        <w:pStyle w:val="Heading3"/>
        <w:spacing w:after="70" w:before="160"/>
      </w:pPr>
      <w:r>
        <w:rPr>
          <w:rFonts w:ascii="Calibri" w:cs="Calibri" w:eastAsia="Calibri" w:hAnsi="Calibri"/>
          <w:b/>
          <w:bCs/>
          <w:color w:val="1F2A44"/>
          <w:sz w:val="22"/>
          <w:szCs w:val="22"/>
        </w:rPr>
        <w:t xml:space="preserve">P20. What would you not do in this role?</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Focus and a clear view of scope.</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I would not write regulation, design regulatory instruments for governments, produce GRIP’s index or paper, try to be the technical expert, or start four collaborations at once.</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I would not write regulation or design regulatory instruments for governments; that is their role. I would not work on GRIP’s index or flagship paper, which sit with the core team. I would not try to be the technical expert in each domain. And I would not start four collaborations at once.</w:t>
      </w:r>
    </w:p>
    <w:p>
      <w:pPr>
        <w:spacing w:after="140" w:line="276"/>
        <w:jc w:val="both"/>
      </w:pPr>
      <w:r>
        <w:rPr>
          <w:rFonts w:ascii="Georgia" w:cs="Georgia" w:eastAsia="Georgia" w:hAnsi="Georgia"/>
          <w:color w:val="1A1A1A"/>
          <w:sz w:val="21"/>
          <w:szCs w:val="21"/>
        </w:rPr>
        <w:t xml:space="preserve">Saying no to those is what makes it possible to do the job well in a limited time: one collaboration completed, a second under way, and a method the Forum keeps using.</w:t>
      </w:r>
    </w:p>
    <w:p>
      <w:pPr>
        <w:pStyle w:val="Heading2"/>
        <w:spacing w:after="100" w:before="220"/>
      </w:pPr>
      <w:r>
        <w:rPr>
          <w:rFonts w:ascii="Calibri" w:cs="Calibri" w:eastAsia="Calibri" w:hAnsi="Calibri"/>
          <w:b/>
          <w:bCs/>
          <w:color w:val="2F5D8A"/>
          <w:sz w:val="25"/>
          <w:szCs w:val="25"/>
        </w:rPr>
        <w:t xml:space="preserve">Experience stories</w:t>
      </w:r>
    </w:p>
    <w:p>
      <w:pPr>
        <w:spacing w:after="140" w:line="276"/>
        <w:jc w:val="both"/>
      </w:pPr>
      <w:r>
        <w:rPr>
          <w:rFonts w:ascii="Georgia" w:cs="Georgia" w:eastAsia="Georgia" w:hAnsi="Georgia"/>
          <w:color w:val="1A1A1A"/>
          <w:sz w:val="21"/>
          <w:szCs w:val="21"/>
        </w:rPr>
        <w:t xml:space="preserve">Former consultants probe one story in depth, often with ten or more follow-ups (‘What exactly did you say?’ ‘Who disagreed?’ ‘What would you do differently?’). These scripts give the structure and suggested content; replace every bracket with specifics you can defend, and keep ‘I’ rather than ‘we’.</w:t>
      </w:r>
    </w:p>
    <w:p>
      <w:pPr>
        <w:pStyle w:val="Heading3"/>
        <w:spacing w:after="70" w:before="160"/>
      </w:pPr>
      <w:r>
        <w:rPr>
          <w:rFonts w:ascii="Calibri" w:cs="Calibri" w:eastAsia="Calibri" w:hAnsi="Calibri"/>
          <w:b/>
          <w:bCs/>
          <w:color w:val="1F2A44"/>
          <w:sz w:val="22"/>
          <w:szCs w:val="22"/>
        </w:rPr>
        <w:t xml:space="preserve">P21. Tell us about something you built from concept to delivery.</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Entrepreneurial track record, a JD requirement.</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[At FGS, I advised senior government leaders on the design and sequencing of (platform). The core problem was (e.g. credibility with international participants). My contribution was (e.g. the sequence of first commitments). The result was (outcome).]</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[Choose the platform you know most deeply: the Global Cybersecurity Forum, the Saudi Green Initiative or the Future Investment Initiative.]</w:t>
      </w:r>
    </w:p>
    <w:p>
      <w:pPr>
        <w:spacing w:after="140" w:line="276"/>
        <w:jc w:val="both"/>
      </w:pPr>
      <w:r>
        <w:rPr>
          <w:rFonts w:ascii="Georgia" w:cs="Georgia" w:eastAsia="Georgia" w:hAnsi="Georgia"/>
          <w:color w:val="1A1A1A"/>
          <w:sz w:val="21"/>
          <w:szCs w:val="21"/>
        </w:rPr>
        <w:t xml:space="preserve">Suggested script: “At FGS I advised [client] on the design and sequencing of [platform]. The challenge was not the idea, which was clear, but [the core design problem, e.g. making it credible to international participants who had no reason to commit to a new platform]. My contribution was [what you specifically designed or recommended, e.g. the order in which to secure anchor participants, so that early commitments would change the calculation for everyone else]. The hardest moment was [a specific obstacle, e.g. a principal who wanted visibility before substance], and I handled it by [what you did and said]. The result was [concrete outcome]. What I took from it is that platforms succeed or fail on the sequencing of first commitments, which is exactly how I would approach building a regulator community around quantum.”</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FGS (primary use).</w:t>
      </w:r>
    </w:p>
    <w:p>
      <w:pPr>
        <w:pStyle w:val="Heading3"/>
        <w:spacing w:after="70" w:before="160"/>
      </w:pPr>
      <w:r>
        <w:rPr>
          <w:rFonts w:ascii="Calibri" w:cs="Calibri" w:eastAsia="Calibri" w:hAnsi="Calibri"/>
          <w:b/>
          <w:bCs/>
          <w:color w:val="1F2A44"/>
          <w:sz w:val="22"/>
          <w:szCs w:val="22"/>
        </w:rPr>
        <w:t xml:space="preserve">P22. Tell us about your work on NEOM.</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Direct evidence for thesis C, and for working with frontier technology inside a bespoke regulatory environment.</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I worked on assessing what would make NEOM’s food and biotechnology programme credible to foreign investors and companies. It showed me that regulatory design is a competitive asset: capital commits where rules are predictable, interoperable with what investors know, and backed by institutions that will last.</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Suggested script: “At FGS I worked on NEOM’s food and biotechnology programme, which covered frontier areas such as DNA-personalised nutrition and drought-resilient crops, within NEOM’s own regulatory environment. My work was to assess what would make it credible to foreign investors and companies, so that they would commit rather than watch.</w:t>
      </w:r>
    </w:p>
    <w:p>
      <w:pPr>
        <w:spacing w:after="140" w:line="276"/>
        <w:jc w:val="both"/>
      </w:pPr>
      <w:r>
        <w:rPr>
          <w:rFonts w:ascii="Georgia" w:cs="Georgia" w:eastAsia="Georgia" w:hAnsi="Georgia"/>
          <w:color w:val="1A1A1A"/>
          <w:sz w:val="21"/>
          <w:szCs w:val="21"/>
        </w:rPr>
        <w:t xml:space="preserve">The assessment came down to [confirm which applied in your work]: predictability, meaning rules that would not change with leadership; interoperability, meaning rules investors could map onto regimes they already knew, and recognition of international standards; institutional capacity, meaning a regulator able to make decisions quickly and consistently; and credible first movers, because nothing persuades an investor like seeing a peer commit.</w:t>
      </w:r>
    </w:p>
    <w:p>
      <w:pPr>
        <w:spacing w:after="140" w:line="276"/>
        <w:jc w:val="both"/>
      </w:pPr>
      <w:r>
        <w:rPr>
          <w:rFonts w:ascii="Georgia" w:cs="Georgia" w:eastAsia="Georgia" w:hAnsi="Georgia"/>
          <w:color w:val="1A1A1A"/>
          <w:sz w:val="21"/>
          <w:szCs w:val="21"/>
        </w:rPr>
        <w:t xml:space="preserve">[What you recommended, and what happened.]</w:t>
      </w:r>
    </w:p>
    <w:p>
      <w:pPr>
        <w:spacing w:after="140" w:line="276"/>
        <w:jc w:val="both"/>
      </w:pPr>
      <w:r>
        <w:rPr>
          <w:rFonts w:ascii="Georgia" w:cs="Georgia" w:eastAsia="Georgia" w:hAnsi="Georgia"/>
          <w:color w:val="1A1A1A"/>
          <w:sz w:val="21"/>
          <w:szCs w:val="21"/>
        </w:rPr>
        <w:t xml:space="preserve">What it taught me is that for frontier industries, the regulatory environment is part of the product. It is also why I find GRIP’s thesis, regulation as strategic infrastructure, and its partnership with the UAE so compelling: it is the same insight, applied at global scale.”</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NEOM (primary use). Confirm each element against your actual assessment; the panel may probe it.</w:t>
      </w:r>
    </w:p>
    <w:p>
      <w:pPr>
        <w:pStyle w:val="Heading3"/>
        <w:spacing w:after="70" w:before="160"/>
      </w:pPr>
      <w:r>
        <w:rPr>
          <w:rFonts w:ascii="Calibri" w:cs="Calibri" w:eastAsia="Calibri" w:hAnsi="Calibri"/>
          <w:b/>
          <w:bCs/>
          <w:color w:val="1F2A44"/>
          <w:sz w:val="22"/>
          <w:szCs w:val="22"/>
        </w:rPr>
        <w:t xml:space="preserve">P23. Tell us about a time you achieved something through influence rather than authority.</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Matrix skill: the defining condition of this role.</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[One sentence: what you achieved, with whom, and without which authority.]</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[Suggested source: in your current Forum role, bringing business leaders into the workforce heat-resilience community, or aligning another centre or team behind your workstream.]</w:t>
      </w:r>
    </w:p>
    <w:p>
      <w:pPr>
        <w:spacing w:after="140" w:line="276"/>
        <w:jc w:val="both"/>
      </w:pPr>
      <w:r>
        <w:rPr>
          <w:rFonts w:ascii="Georgia" w:cs="Georgia" w:eastAsia="Georgia" w:hAnsi="Georgia"/>
          <w:color w:val="1A1A1A"/>
          <w:sz w:val="21"/>
          <w:szCs w:val="21"/>
        </w:rPr>
        <w:t xml:space="preserve">Suggested script: “In my current role I needed [outcome, e.g. commitment from (group) to (action)], but I had no authority over them. What worked was [mechanism, e.g. framing the objective in their terms, showing them what they would gain, giving them visible ownership]. The key moment was [specific conversation or decision, and what you said]. The result was [outcome, with a number if possible]. The lesson I would apply to this role is that in a matrix you earn influence by making other people’s work more useful, which is how I would approach the quantum team.”</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Current Forum role (primary use).</w:t>
      </w:r>
    </w:p>
    <w:p>
      <w:pPr>
        <w:pStyle w:val="Heading3"/>
        <w:spacing w:after="70" w:before="160"/>
      </w:pPr>
      <w:r>
        <w:rPr>
          <w:rFonts w:ascii="Calibri" w:cs="Calibri" w:eastAsia="Calibri" w:hAnsi="Calibri"/>
          <w:b/>
          <w:bCs/>
          <w:color w:val="1F2A44"/>
          <w:sz w:val="22"/>
          <w:szCs w:val="22"/>
        </w:rPr>
        <w:t xml:space="preserve">P24. Tell us about a setback.</w:t>
      </w:r>
    </w:p>
    <w:p>
      <w:pPr>
        <w:spacing w:after="140" w:line="276"/>
        <w:jc w:val="both"/>
      </w:pPr>
      <w:r>
        <w:rPr>
          <w:rFonts w:ascii="Georgia" w:cs="Georgia" w:eastAsia="Georgia" w:hAnsi="Georgia"/>
          <w:b/>
          <w:bCs/>
          <w:color w:val="1A1A1A"/>
          <w:sz w:val="21"/>
          <w:szCs w:val="21"/>
        </w:rPr>
        <w:t xml:space="preserve">What they are testing:</w:t>
      </w:r>
      <w:r>
        <w:rPr>
          <w:rFonts w:ascii="Georgia" w:cs="Georgia" w:eastAsia="Georgia" w:hAnsi="Georgia"/>
          <w:color w:val="1A1A1A"/>
          <w:sz w:val="21"/>
          <w:szCs w:val="21"/>
        </w:rPr>
        <w:t xml:space="preserve"> Honesty, ownership and learning.</w:t>
      </w:r>
    </w:p>
    <w:p>
      <w:pPr>
        <w:spacing w:after="140" w:line="276"/>
        <w:jc w:val="both"/>
      </w:pPr>
      <w:r>
        <w:rPr>
          <w:rFonts w:ascii="Georgia" w:cs="Georgia" w:eastAsia="Georgia" w:hAnsi="Georgia"/>
          <w:b/>
          <w:bCs/>
          <w:color w:val="1A1A1A"/>
          <w:sz w:val="21"/>
          <w:szCs w:val="21"/>
        </w:rPr>
        <w:t xml:space="preserve">Headline (20 seconds):</w:t>
      </w:r>
      <w:r>
        <w:rPr>
          <w:rFonts w:ascii="Georgia" w:cs="Georgia" w:eastAsia="Georgia" w:hAnsi="Georgia"/>
          <w:color w:val="1A1A1A"/>
          <w:sz w:val="21"/>
          <w:szCs w:val="21"/>
        </w:rPr>
        <w:t xml:space="preserve"> [One sentence: what did not work, your part in it, and what you now do differently.]</w:t>
      </w:r>
    </w:p>
    <w:p>
      <w:pPr>
        <w:spacing w:after="140" w:line="276"/>
        <w:jc w:val="both"/>
      </w:pPr>
      <w:r>
        <w:rPr>
          <w:rFonts w:ascii="Georgia" w:cs="Georgia" w:eastAsia="Georgia" w:hAnsi="Georgia"/>
          <w:b/>
          <w:bCs/>
          <w:color w:val="1A1A1A"/>
          <w:sz w:val="21"/>
          <w:szCs w:val="21"/>
        </w:rPr>
        <w:t xml:space="preserve">Full answer:</w:t>
      </w:r>
      <w:r>
        <w:rPr>
          <w:rFonts w:ascii="Georgia" w:cs="Georgia" w:eastAsia="Georgia" w:hAnsi="Georgia"/>
          <w:color w:val="1A1A1A"/>
          <w:sz w:val="21"/>
          <w:szCs w:val="21"/>
        </w:rPr>
        <w:t xml:space="preserve"> [Suggested sources: a convening that did not produce the outcome intended; a knowledge product whose uptake was lower than hoped; advice at FGS that was not taken up. Choose one where your own contribution to the problem is clear.]</w:t>
      </w:r>
    </w:p>
    <w:p>
      <w:pPr>
        <w:spacing w:after="140" w:line="276"/>
        <w:jc w:val="both"/>
      </w:pPr>
      <w:r>
        <w:rPr>
          <w:rFonts w:ascii="Georgia" w:cs="Georgia" w:eastAsia="Georgia" w:hAnsi="Georgia"/>
          <w:color w:val="1A1A1A"/>
          <w:sz w:val="21"/>
          <w:szCs w:val="21"/>
        </w:rPr>
        <w:t xml:space="preserve">Suggested script: “[Situation.] It did not work because [honest cause], and my part in that was [what you would do differently, e.g. convening before securing an anchor commitment, or writing for the wrong audience]. I recognised it when [moment]. What I changed was [specific practice you now follow, e.g. never convening without a draft on the table and a named decision-maker]. I have applied it since in [example]. It is also why the plan I would follow here starts with an agreed charter and an anchor regulator before any convening.”</w:t>
      </w:r>
    </w:p>
    <w:p>
      <w:pPr>
        <w:spacing w:after="140" w:line="276"/>
        <w:jc w:val="both"/>
      </w:pPr>
      <w:r>
        <w:rPr>
          <w:rFonts w:ascii="Georgia" w:cs="Georgia" w:eastAsia="Georgia" w:hAnsi="Georgia"/>
          <w:b/>
          <w:bCs/>
          <w:color w:val="1A1A1A"/>
          <w:sz w:val="21"/>
          <w:szCs w:val="21"/>
        </w:rPr>
        <w:t xml:space="preserve">Evidence used:</w:t>
      </w:r>
      <w:r>
        <w:rPr>
          <w:rFonts w:ascii="Georgia" w:cs="Georgia" w:eastAsia="Georgia" w:hAnsi="Georgia"/>
          <w:color w:val="1A1A1A"/>
          <w:sz w:val="21"/>
          <w:szCs w:val="21"/>
        </w:rPr>
        <w:t xml:space="preserve"> To complete.</w:t>
      </w: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B3 · Case Studies</w:t>
      </w:r>
    </w:p>
    <w:p>
      <w:pPr>
        <w:spacing w:after="200" w:line="288"/>
      </w:pPr>
      <w:r>
        <w:rPr>
          <w:rFonts w:ascii="Georgia" w:cs="Georgia" w:eastAsia="Georgia" w:hAnsi="Georgia"/>
          <w:i/>
          <w:iCs/>
          <w:color w:val="55606E"/>
          <w:sz w:val="22"/>
          <w:szCs w:val="22"/>
        </w:rPr>
        <w:t xml:space="preserve">The panel is likely to pose at least one ‘how would you approach…’ case, and may ask for a written or presented exercise. Case 1 is written as a complete work product, at the standard you would submit. Cases 2 to 4 are shorter, structured answers to the other most likely prompts.</w:t>
      </w:r>
    </w:p>
    <w:p>
      <w:pPr>
        <w:pStyle w:val="Heading2"/>
        <w:spacing w:after="100" w:before="220"/>
      </w:pPr>
      <w:r>
        <w:rPr>
          <w:rFonts w:ascii="Calibri" w:cs="Calibri" w:eastAsia="Calibri" w:hAnsi="Calibri"/>
          <w:b/>
          <w:bCs/>
          <w:color w:val="2F5D8A"/>
          <w:sz w:val="25"/>
          <w:szCs w:val="25"/>
        </w:rPr>
        <w:t xml:space="preserve">Case 1 · Designing the First GRIP × Quantum Collaboration</w:t>
      </w:r>
    </w:p>
    <w:p>
      <w:pPr>
        <w:spacing w:after="140" w:line="276"/>
        <w:jc w:val="both"/>
      </w:pPr>
      <w:r>
        <w:rPr>
          <w:rFonts w:ascii="Georgia" w:cs="Georgia" w:eastAsia="Georgia" w:hAnsi="Georgia"/>
          <w:b/>
          <w:bCs/>
          <w:color w:val="1A1A1A"/>
          <w:sz w:val="21"/>
          <w:szCs w:val="21"/>
        </w:rPr>
        <w:t xml:space="preserve">Prompt:</w:t>
      </w:r>
      <w:r>
        <w:rPr>
          <w:rFonts w:ascii="Georgia" w:cs="Georgia" w:eastAsia="Georgia" w:hAnsi="Georgia"/>
          <w:color w:val="1A1A1A"/>
          <w:sz w:val="21"/>
          <w:szCs w:val="21"/>
        </w:rPr>
        <w:t xml:space="preserve"> “Your first collaboration will be with the quantum team. How would you design it?”</w:t>
      </w:r>
    </w:p>
    <w:p>
      <w:pPr>
        <w:pStyle w:val="Heading3"/>
        <w:spacing w:after="70" w:before="160"/>
      </w:pPr>
      <w:r>
        <w:rPr>
          <w:rFonts w:ascii="Calibri" w:cs="Calibri" w:eastAsia="Calibri" w:hAnsi="Calibri"/>
          <w:b/>
          <w:bCs/>
          <w:color w:val="1F2A44"/>
          <w:sz w:val="22"/>
          <w:szCs w:val="22"/>
        </w:rPr>
        <w:t xml:space="preserve">Purpose of this document</w:t>
      </w:r>
    </w:p>
    <w:p>
      <w:pPr>
        <w:spacing w:after="140" w:line="276"/>
        <w:jc w:val="both"/>
      </w:pPr>
      <w:r>
        <w:rPr>
          <w:rFonts w:ascii="Georgia" w:cs="Georgia" w:eastAsia="Georgia" w:hAnsi="Georgia"/>
          <w:color w:val="1A1A1A"/>
          <w:sz w:val="21"/>
          <w:szCs w:val="21"/>
        </w:rPr>
        <w:t xml:space="preserve">This document sets out the architecture of the first collaboration between GRIP’s frontier-technology workstream and the Forum’s quantum technologies team. It provides: (1) the governing principles for the collaboration; (2) a phased framework fitted to the contract period to May 2027; (3) a map of the dependencies that determine sequencing; (4) the transition logic specifying when GRIP’s role steps back and who owns each element afterwards; and (5) the feedback architecture that turns this collaboration into the template for the other frontier-technology teams. It is not a work plan for the quantum team; the team owns its agenda and its community. It is the design that makes the collaboration add value rather than a parallel activity.</w:t>
      </w:r>
    </w:p>
    <w:p>
      <w:pPr>
        <w:pStyle w:val="Heading3"/>
        <w:spacing w:after="70" w:before="160"/>
      </w:pPr>
      <w:r>
        <w:rPr>
          <w:rFonts w:ascii="Calibri" w:cs="Calibri" w:eastAsia="Calibri" w:hAnsi="Calibri"/>
          <w:b/>
          <w:bCs/>
          <w:color w:val="1F2A44"/>
          <w:sz w:val="22"/>
          <w:szCs w:val="22"/>
        </w:rPr>
        <w:t xml:space="preserve">1. Governing principles</w:t>
      </w:r>
    </w:p>
    <w:p>
      <w:pPr>
        <w:spacing w:after="140" w:line="276"/>
        <w:jc w:val="both"/>
      </w:pPr>
      <w:r>
        <w:rPr>
          <w:rFonts w:ascii="Georgia" w:cs="Georgia" w:eastAsia="Georgia" w:hAnsi="Georgia"/>
          <w:b/>
          <w:bCs/>
          <w:color w:val="1A1A1A"/>
          <w:sz w:val="21"/>
          <w:szCs w:val="21"/>
        </w:rPr>
        <w:t xml:space="preserve">First: build on what exists, and fill the gap it leaves.</w:t>
      </w:r>
      <w:r>
        <w:rPr>
          <w:rFonts w:ascii="Georgia" w:cs="Georgia" w:eastAsia="Georgia" w:hAnsi="Georgia"/>
          <w:color w:val="1A1A1A"/>
          <w:sz w:val="21"/>
          <w:szCs w:val="21"/>
        </w:rPr>
        <w:t xml:space="preserve"> The quantum team has a coherent body of work: principles (2022), an organisational readiness toolkit (2023), regulator-facing work with the UK Financial Conduct Authority on the financial sector (2024), a national strategy blueprint piloted in Saudi Arabia (2024), and industrial use cases (2025). The collaboration should extend that work where it stops, not restart it. The clearest gap is regulatory coherence beyond one sector and one jurisdiction: the quantum-safe transition now has published deadlines in the US, EU and UK, but diverging requirements, and critical sectors other than finance have little regulator-facing guidance.</w:t>
      </w:r>
    </w:p>
    <w:p>
      <w:pPr>
        <w:spacing w:after="140" w:line="276"/>
        <w:jc w:val="both"/>
      </w:pPr>
      <w:r>
        <w:rPr>
          <w:rFonts w:ascii="Georgia" w:cs="Georgia" w:eastAsia="Georgia" w:hAnsi="Georgia"/>
          <w:b/>
          <w:bCs/>
          <w:color w:val="1A1A1A"/>
          <w:sz w:val="21"/>
          <w:szCs w:val="21"/>
        </w:rPr>
        <w:t xml:space="preserve">Second: anchor every output to a decision window.</w:t>
      </w:r>
      <w:r>
        <w:rPr>
          <w:rFonts w:ascii="Georgia" w:cs="Georgia" w:eastAsia="Georgia" w:hAnsi="Georgia"/>
          <w:color w:val="1A1A1A"/>
          <w:sz w:val="21"/>
          <w:szCs w:val="21"/>
        </w:rPr>
        <w:t xml:space="preserve"> Governance outputs are used when they arrive as regulators are deciding. The windows are known: EU member states are expected to begin their transition by the end of 2026; the UK expects discovery and planning complete by 2028; NIST plans to deprecate quantum-vulnerable algorithms after 2030. The collaboration’s timing, content and audience follow these windows, not the Forum’s publication calendar alone.</w:t>
      </w:r>
    </w:p>
    <w:p>
      <w:pPr>
        <w:spacing w:after="140" w:line="276"/>
        <w:jc w:val="both"/>
      </w:pPr>
      <w:r>
        <w:rPr>
          <w:rFonts w:ascii="Georgia" w:cs="Georgia" w:eastAsia="Georgia" w:hAnsi="Georgia"/>
          <w:b/>
          <w:bCs/>
          <w:color w:val="1A1A1A"/>
          <w:sz w:val="21"/>
          <w:szCs w:val="21"/>
        </w:rPr>
        <w:t xml:space="preserve">Third: design for replication from the first day.</w:t>
      </w:r>
      <w:r>
        <w:rPr>
          <w:rFonts w:ascii="Georgia" w:cs="Georgia" w:eastAsia="Georgia" w:hAnsi="Georgia"/>
          <w:color w:val="1A1A1A"/>
          <w:sz w:val="21"/>
          <w:szCs w:val="21"/>
        </w:rPr>
        <w:t xml:space="preserve"> This collaboration is the prototype for how GRIP works with every frontier-technology team. Each step (how the issue was chosen, how regulators were brought in, how the output was designed) must be documented as it happens, so that the second collaboration starts from a method rather than a blank page. A successful quantum output without a documented method would be a one-off; the method is the scalable model the JD asks for.</w:t>
      </w:r>
    </w:p>
    <w:p>
      <w:pPr>
        <w:pStyle w:val="Heading3"/>
        <w:spacing w:after="70" w:before="160"/>
      </w:pPr>
      <w:r>
        <w:rPr>
          <w:rFonts w:ascii="Calibri" w:cs="Calibri" w:eastAsia="Calibri" w:hAnsi="Calibri"/>
          <w:b/>
          <w:bCs/>
          <w:color w:val="1F2A44"/>
          <w:sz w:val="22"/>
          <w:szCs w:val="22"/>
        </w:rPr>
        <w:t xml:space="preserve">2. What the Lead produces, and what the Lead does not</w:t>
      </w:r>
    </w:p>
    <w:tbl>
      <w:tblPr>
        <w:tblW w:type="dxa" w:w="9360"/>
        <w:tblBorders>
          <w:top w:val="single" w:color="C9D3E0" w:sz="2"/>
          <w:left w:val="none"/>
          <w:bottom w:val="single" w:color="C9D3E0" w:sz="2"/>
          <w:right w:val="none"/>
          <w:insideH w:val="single" w:color="C9D3E0" w:sz="2"/>
          <w:insideV w:val="single" w:color="C9D3E0" w:sz="2"/>
        </w:tblBorders>
      </w:tblPr>
      <w:tblGrid>
        <w:gridCol w:w="4680"/>
        <w:gridCol w:w="4680"/>
      </w:tblGrid>
      <w:tr>
        <w:trPr>
          <w:tblHeader/>
        </w:trPr>
        <w:tc>
          <w:tcPr>
            <w:tcW w:type="dxa" w:w="468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The Lead produces</w:t>
            </w:r>
          </w:p>
        </w:tc>
        <w:tc>
          <w:tcPr>
            <w:tcW w:type="dxa" w:w="468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Owned by others</w:t>
            </w:r>
          </w:p>
        </w:tc>
      </w:tr>
      <w:tr>
        <w:tc>
          <w:tcPr>
            <w:tcW w:type="dxa" w:w="468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 collaboration charter with the quantum team: scope, roles, decision rights, credit, and how the work enters the team’s programme.</w:t>
            </w:r>
          </w:p>
        </w:tc>
        <w:tc>
          <w:tcPr>
            <w:tcW w:type="dxa" w:w="468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technology agenda, technical content and the Quantum Economy Network: the quantum team.</w:t>
            </w:r>
          </w:p>
        </w:tc>
      </w:tr>
      <w:tr>
        <w:tc>
          <w:tcPr>
            <w:tcW w:type="dxa" w:w="468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 governance issue map for quantum and a reasoned choice of the first priority question.</w:t>
            </w:r>
          </w:p>
        </w:tc>
        <w:tc>
          <w:tcPr>
            <w:tcW w:type="dxa" w:w="468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Regulation and supervisory expectations: governments and regulators.</w:t>
            </w:r>
          </w:p>
        </w:tc>
      </w:tr>
      <w:tr>
        <w:tc>
          <w:tcPr>
            <w:tcW w:type="dxa" w:w="468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 stakeholder map with a sequence for bringing regulators, industry, legal and compliance leaders and under-represented jurisdictions into the work.</w:t>
            </w:r>
          </w:p>
        </w:tc>
        <w:tc>
          <w:tcPr>
            <w:tcW w:type="dxa" w:w="468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GRIP’s Regulatory Future Readiness Index and flagship paper: the core GRIP team.</w:t>
            </w:r>
          </w:p>
        </w:tc>
      </w:tr>
      <w:tr>
        <w:tc>
          <w:tcPr>
            <w:tcW w:type="dxa" w:w="468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co-designed knowledge product, jointly with the quantum team.</w:t>
            </w:r>
          </w:p>
        </w:tc>
        <w:tc>
          <w:tcPr>
            <w:tcW w:type="dxa" w:w="468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Cybersecurity expertise on cryptographic migration: shared with the Centre for Cybersecurity.</w:t>
            </w:r>
          </w:p>
        </w:tc>
      </w:tr>
      <w:tr>
        <w:tc>
          <w:tcPr>
            <w:tcW w:type="dxa" w:w="468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 method note: the reusable approach for integrating regulatory thinking into a frontier-technology programme.</w:t>
            </w:r>
          </w:p>
        </w:tc>
        <w:tc>
          <w:tcPr>
            <w:tcW w:type="dxa" w:w="468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In-country pilots: C4IR centres and their government counterparts.</w:t>
            </w:r>
          </w:p>
        </w:tc>
      </w:tr>
    </w:tbl>
    <w:p>
      <w:pPr>
        <w:spacing w:after="80"/>
      </w:pPr>
    </w:p>
    <w:p>
      <w:pPr>
        <w:pStyle w:val="Heading3"/>
        <w:spacing w:after="70" w:before="160"/>
      </w:pPr>
      <w:r>
        <w:rPr>
          <w:rFonts w:ascii="Calibri" w:cs="Calibri" w:eastAsia="Calibri" w:hAnsi="Calibri"/>
          <w:b/>
          <w:bCs/>
          <w:color w:val="1F2A44"/>
          <w:sz w:val="22"/>
          <w:szCs w:val="22"/>
        </w:rPr>
        <w:t xml:space="preserve">3. Three-phase framework</w:t>
      </w:r>
    </w:p>
    <w:p>
      <w:pPr>
        <w:spacing w:after="140" w:line="276"/>
        <w:jc w:val="both"/>
      </w:pPr>
      <w:r>
        <w:rPr>
          <w:rFonts w:ascii="Georgia" w:cs="Georgia" w:eastAsia="Georgia" w:hAnsi="Georgia"/>
          <w:color w:val="1A1A1A"/>
          <w:sz w:val="21"/>
          <w:szCs w:val="21"/>
        </w:rPr>
        <w:t xml:space="preserve">The phases reflect the logic of moving from an agreed partnership, to evidence that the collaboration adds value, to a model that outlasts the contract. Timing assumes a start in late 2026; the phases, not the months, are the design.</w:t>
      </w:r>
    </w:p>
    <w:p>
      <w:pPr>
        <w:pStyle w:val="Heading3"/>
        <w:spacing w:after="70" w:before="160"/>
      </w:pPr>
      <w:r>
        <w:rPr>
          <w:rFonts w:ascii="Calibri" w:cs="Calibri" w:eastAsia="Calibri" w:hAnsi="Calibri"/>
          <w:b/>
          <w:bCs/>
          <w:color w:val="1F2A44"/>
          <w:sz w:val="22"/>
          <w:szCs w:val="22"/>
        </w:rPr>
        <w:t xml:space="preserve">Phase 1 · Foundations (months 1–2)</w:t>
      </w:r>
    </w:p>
    <w:p>
      <w:pPr>
        <w:spacing w:after="140" w:line="276"/>
        <w:jc w:val="both"/>
      </w:pPr>
      <w:r>
        <w:rPr>
          <w:rFonts w:ascii="Georgia" w:cs="Georgia" w:eastAsia="Georgia" w:hAnsi="Georgia"/>
          <w:color w:val="1A1A1A"/>
          <w:sz w:val="21"/>
          <w:szCs w:val="21"/>
        </w:rPr>
        <w:t xml:space="preserve">The foundations phase creates the conditions everything else depends on. Nothing external happens until the partnership with the quantum team is explicit, because an external convening launched without agreed roles and credit damages the relationship the whole model relies on. The Lead and the quantum team run a joint diagnostic: an inventory of existing outputs and relationships, the governance issue map (Part A, Part III §1.10), the decision windows by jurisdiction, and the regulators relevant to each issue. The collaboration charter is agreed with the team lead and endorsed by the Head of Digital Inclusion. The priority question is chosen against four criteria: a live decision window, a gap in existing work, willing regulators, and replicability. The working hypothesis is coherence of the quantum-safe transition across jurisdictions and critical sectors beyond finance, but the diagnostic may point elsewhere (for instance to quantum sensing, which has almost no governance framework). The phase ends with one or two anchor regulators agreeing to co-lead, because industry participation depends on it.</w:t>
      </w:r>
    </w:p>
    <w:p>
      <w:pPr>
        <w:pStyle w:val="Heading3"/>
        <w:spacing w:after="70" w:before="160"/>
      </w:pPr>
      <w:r>
        <w:rPr>
          <w:rFonts w:ascii="Calibri" w:cs="Calibri" w:eastAsia="Calibri" w:hAnsi="Calibri"/>
          <w:b/>
          <w:bCs/>
          <w:color w:val="1F2A44"/>
          <w:sz w:val="22"/>
          <w:szCs w:val="22"/>
        </w:rPr>
        <w:t xml:space="preserve">Phase 2 · Proof of value (months 3–5)</w:t>
      </w:r>
    </w:p>
    <w:p>
      <w:pPr>
        <w:spacing w:after="140" w:line="276"/>
        <w:jc w:val="both"/>
      </w:pPr>
      <w:r>
        <w:rPr>
          <w:rFonts w:ascii="Georgia" w:cs="Georgia" w:eastAsia="Georgia" w:hAnsi="Georgia"/>
          <w:color w:val="1A1A1A"/>
          <w:sz w:val="21"/>
          <w:szCs w:val="21"/>
        </w:rPr>
        <w:t xml:space="preserve">The proof-of-value phase produces evidence that the collaboration makes the quantum team’s work more useful to regulators and industry. A working group is convened around the priority question, built on the team’s existing network: anchor regulators and national cybersecurity agencies; sector supervisors (telecommunications, energy, health, government services); companies represented by both technical and legal and compliance leaders; standards bodies; and participants from jurisdictions beyond the US and Europe, including through the C4IR network. The working group reacts to a concrete draft rather than an open agenda: for example, a crosswalk of national requirements and a small set of shared principles for supervisors. The Annual Meeting in January is used as a convening moment (a closed-door roundtable of regulators and chief legal officers), not as a launch, because the output will not yet be mature. One C4IR centre, most naturally Abu Dhabi or Saudi Arabia, is engaged to test the output with a government counterpart.</w:t>
      </w:r>
    </w:p>
    <w:p>
      <w:pPr>
        <w:pStyle w:val="Heading3"/>
        <w:spacing w:after="70" w:before="160"/>
      </w:pPr>
      <w:r>
        <w:rPr>
          <w:rFonts w:ascii="Calibri" w:cs="Calibri" w:eastAsia="Calibri" w:hAnsi="Calibri"/>
          <w:b/>
          <w:bCs/>
          <w:color w:val="1F2A44"/>
          <w:sz w:val="22"/>
          <w:szCs w:val="22"/>
        </w:rPr>
        <w:t xml:space="preserve">Phase 3 · Institutionalisation and replication (months 6–7)</w:t>
      </w:r>
    </w:p>
    <w:p>
      <w:pPr>
        <w:spacing w:after="140" w:line="276"/>
        <w:jc w:val="both"/>
      </w:pPr>
      <w:r>
        <w:rPr>
          <w:rFonts w:ascii="Georgia" w:cs="Georgia" w:eastAsia="Georgia" w:hAnsi="Georgia"/>
          <w:color w:val="1A1A1A"/>
          <w:sz w:val="21"/>
          <w:szCs w:val="21"/>
        </w:rPr>
        <w:t xml:space="preserve">The final phase makes the collaboration self-sustaining without the Lead. The output is finalised and published with the quantum team and its regulator co-leads, with an owner for its next iteration. The regulator community is given a chair and a cadence inside the quantum team’s network. The scoping questions for integrating regulatory thinking are built into the quantum team’s programme-design template. The method note is completed and used to start the second collaboration, most likely with autonomous mobility and robotics (Case 2). By May 2027, the test of success is that the quantum work continues without GRIP’s day-to-day involvement and the second team is working from the method.</w:t>
      </w:r>
    </w:p>
    <w:p>
      <w:pPr>
        <w:pStyle w:val="Heading3"/>
        <w:spacing w:after="70" w:before="160"/>
      </w:pPr>
      <w:r>
        <w:rPr>
          <w:rFonts w:ascii="Calibri" w:cs="Calibri" w:eastAsia="Calibri" w:hAnsi="Calibri"/>
          <w:b/>
          <w:bCs/>
          <w:color w:val="1F2A44"/>
          <w:sz w:val="22"/>
          <w:szCs w:val="22"/>
        </w:rPr>
        <w:t xml:space="preserve">4. Initiative design across six dimensions</w:t>
      </w:r>
    </w:p>
    <w:tbl>
      <w:tblPr>
        <w:tblW w:type="dxa" w:w="9360"/>
        <w:tblBorders>
          <w:top w:val="single" w:color="C9D3E0" w:sz="2"/>
          <w:left w:val="none"/>
          <w:bottom w:val="single" w:color="C9D3E0" w:sz="2"/>
          <w:right w:val="none"/>
          <w:insideH w:val="single" w:color="C9D3E0" w:sz="2"/>
          <w:insideV w:val="single" w:color="C9D3E0" w:sz="2"/>
        </w:tblBorders>
      </w:tblPr>
      <w:tblGrid>
        <w:gridCol w:w="1700"/>
        <w:gridCol w:w="2560"/>
        <w:gridCol w:w="2550"/>
        <w:gridCol w:w="2550"/>
      </w:tblGrid>
      <w:tr>
        <w:trPr>
          <w:tblHeader/>
        </w:trPr>
        <w:tc>
          <w:tcPr>
            <w:tcW w:type="dxa" w:w="17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Dimension</w:t>
            </w:r>
          </w:p>
        </w:tc>
        <w:tc>
          <w:tcPr>
            <w:tcW w:type="dxa" w:w="25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Phase 1 · Foundations</w:t>
            </w:r>
          </w:p>
        </w:tc>
        <w:tc>
          <w:tcPr>
            <w:tcW w:type="dxa" w:w="255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Phase 2 · Proof of value</w:t>
            </w:r>
          </w:p>
        </w:tc>
        <w:tc>
          <w:tcPr>
            <w:tcW w:type="dxa" w:w="255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Phase 3 · Institutionalisation</w:t>
            </w:r>
          </w:p>
        </w:tc>
      </w:tr>
      <w:tr>
        <w:tc>
          <w:tcPr>
            <w:tcW w:type="dxa" w:w="17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Agenda and evidence</w:t>
            </w:r>
          </w:p>
        </w:tc>
        <w:tc>
          <w:tcPr>
            <w:tcW w:type="dxa" w:w="25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Joint diagnostic; issue map; decision windows by jurisdiction; priority question chosen on explicit criteria.</w:t>
            </w:r>
          </w:p>
        </w:tc>
        <w:tc>
          <w:tcPr>
            <w:tcW w:type="dxa" w:w="255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Evidence base built: crosswalk of national requirements; sector readiness evidence from working-group members.</w:t>
            </w:r>
          </w:p>
        </w:tc>
        <w:tc>
          <w:tcPr>
            <w:tcW w:type="dxa" w:w="255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Evidence handed to the quantum team for maintenance; next priority question identified (e.g. quantum sensing).</w:t>
            </w:r>
          </w:p>
        </w:tc>
      </w:tr>
      <w:tr>
        <w:tc>
          <w:tcPr>
            <w:tcW w:type="dxa" w:w="17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Internal integration</w:t>
            </w:r>
          </w:p>
        </w:tc>
        <w:tc>
          <w:tcPr>
            <w:tcW w:type="dxa" w:w="25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Collaboration charter agreed and endorsed; Centre for Cybersecurity engaged on scope.</w:t>
            </w:r>
          </w:p>
        </w:tc>
        <w:tc>
          <w:tcPr>
            <w:tcW w:type="dxa" w:w="255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Joint working rhythm with the quantum team; governance questions inform the team’s programme.</w:t>
            </w:r>
          </w:p>
        </w:tc>
        <w:tc>
          <w:tcPr>
            <w:tcW w:type="dxa" w:w="255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Scoping questions embedded in the team’s programme-design template.</w:t>
            </w:r>
          </w:p>
        </w:tc>
      </w:tr>
      <w:tr>
        <w:tc>
          <w:tcPr>
            <w:tcW w:type="dxa" w:w="17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Regulators and governments</w:t>
            </w:r>
          </w:p>
        </w:tc>
        <w:tc>
          <w:tcPr>
            <w:tcW w:type="dxa" w:w="25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Regulator map; anchor regulator(s) secured as co-leads.</w:t>
            </w:r>
          </w:p>
        </w:tc>
        <w:tc>
          <w:tcPr>
            <w:tcW w:type="dxa" w:w="255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Cybersecurity agencies and sector supervisors in the working group; C4IR centre engaged.</w:t>
            </w:r>
          </w:p>
        </w:tc>
        <w:tc>
          <w:tcPr>
            <w:tcW w:type="dxa" w:w="255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Regulator community chaired and on a cadence; C4IR pilot under way with a government counterpart.</w:t>
            </w:r>
          </w:p>
        </w:tc>
      </w:tr>
      <w:tr>
        <w:tc>
          <w:tcPr>
            <w:tcW w:type="dxa" w:w="17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Industry and community</w:t>
            </w:r>
          </w:p>
        </w:tc>
        <w:tc>
          <w:tcPr>
            <w:tcW w:type="dxa" w:w="25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Existing Quantum Economy Network mapped; CLO and CCO communities briefed.</w:t>
            </w:r>
          </w:p>
        </w:tc>
        <w:tc>
          <w:tcPr>
            <w:tcW w:type="dxa" w:w="255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Companies (technical, legal and compliance) contribute implementation evidence; Global South participants included.</w:t>
            </w:r>
          </w:p>
        </w:tc>
        <w:tc>
          <w:tcPr>
            <w:tcW w:type="dxa" w:w="255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Community continues within the quantum network.</w:t>
            </w:r>
          </w:p>
        </w:tc>
      </w:tr>
      <w:tr>
        <w:tc>
          <w:tcPr>
            <w:tcW w:type="dxa" w:w="17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Knowledge product</w:t>
            </w:r>
          </w:p>
        </w:tc>
        <w:tc>
          <w:tcPr>
            <w:tcW w:type="dxa" w:w="25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Output concept and audience defined; draft outline tested with anchor regulators.</w:t>
            </w:r>
          </w:p>
        </w:tc>
        <w:tc>
          <w:tcPr>
            <w:tcW w:type="dxa" w:w="255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Draft co-designed through working group; January roundtable used to test contested points.</w:t>
            </w:r>
          </w:p>
        </w:tc>
        <w:tc>
          <w:tcPr>
            <w:tcW w:type="dxa" w:w="255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Output finalised and published jointly; owner for next edition named.</w:t>
            </w:r>
          </w:p>
        </w:tc>
      </w:tr>
      <w:tr>
        <w:tc>
          <w:tcPr>
            <w:tcW w:type="dxa" w:w="17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Codification and replication</w:t>
            </w:r>
          </w:p>
        </w:tc>
        <w:tc>
          <w:tcPr>
            <w:tcW w:type="dxa" w:w="25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Method note opened; every design choice logged.</w:t>
            </w:r>
          </w:p>
        </w:tc>
        <w:tc>
          <w:tcPr>
            <w:tcW w:type="dxa" w:w="255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After-action review at each milestone.</w:t>
            </w:r>
          </w:p>
        </w:tc>
        <w:tc>
          <w:tcPr>
            <w:tcW w:type="dxa" w:w="255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Method note completed; second collaboration started from it.</w:t>
            </w:r>
          </w:p>
        </w:tc>
      </w:tr>
    </w:tbl>
    <w:p>
      <w:pPr>
        <w:spacing w:after="80"/>
      </w:pPr>
    </w:p>
    <w:p>
      <w:pPr>
        <w:pStyle w:val="Heading3"/>
        <w:spacing w:after="70" w:before="160"/>
      </w:pPr>
      <w:r>
        <w:rPr>
          <w:rFonts w:ascii="Calibri" w:cs="Calibri" w:eastAsia="Calibri" w:hAnsi="Calibri"/>
          <w:b/>
          <w:bCs/>
          <w:color w:val="1F2A44"/>
          <w:sz w:val="22"/>
          <w:szCs w:val="22"/>
        </w:rPr>
        <w:t xml:space="preserve">5. Dependency map</w:t>
      </w:r>
    </w:p>
    <w:p>
      <w:pPr>
        <w:spacing w:after="140" w:line="276"/>
        <w:jc w:val="both"/>
      </w:pPr>
      <w:r>
        <w:rPr>
          <w:rFonts w:ascii="Georgia" w:cs="Georgia" w:eastAsia="Georgia" w:hAnsi="Georgia"/>
          <w:color w:val="1A1A1A"/>
          <w:sz w:val="21"/>
          <w:szCs w:val="21"/>
        </w:rPr>
        <w:t xml:space="preserve">Treating these dimensions as parallel workstreams would produce activity without a coherent collaboration. The dependencies below govern sequencing.</w:t>
      </w:r>
    </w:p>
    <w:tbl>
      <w:tblPr>
        <w:tblW w:type="dxa" w:w="9360"/>
        <w:tblBorders>
          <w:top w:val="single" w:color="C9D3E0" w:sz="2"/>
          <w:left w:val="none"/>
          <w:bottom w:val="single" w:color="C9D3E0" w:sz="2"/>
          <w:right w:val="none"/>
          <w:insideH w:val="single" w:color="C9D3E0" w:sz="2"/>
          <w:insideV w:val="single" w:color="C9D3E0" w:sz="2"/>
        </w:tblBorders>
      </w:tblPr>
      <w:tblGrid>
        <w:gridCol w:w="2600"/>
        <w:gridCol w:w="2600"/>
        <w:gridCol w:w="4160"/>
      </w:tblGrid>
      <w:tr>
        <w:trPr>
          <w:tblHeader/>
        </w:trPr>
        <w:tc>
          <w:tcPr>
            <w:tcW w:type="dxa" w:w="26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Enabling step</w:t>
            </w:r>
          </w:p>
        </w:tc>
        <w:tc>
          <w:tcPr>
            <w:tcW w:type="dxa" w:w="26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Dependent step</w:t>
            </w:r>
          </w:p>
        </w:tc>
        <w:tc>
          <w:tcPr>
            <w:tcW w:type="dxa" w:w="41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Why the dependency is binding</w:t>
            </w:r>
          </w:p>
        </w:tc>
      </w:tr>
      <w:tr>
        <w:tc>
          <w:tcPr>
            <w:tcW w:type="dxa" w:w="26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Collaboration charter (Phase 1)</w:t>
            </w:r>
          </w:p>
        </w:tc>
        <w:tc>
          <w:tcPr>
            <w:tcW w:type="dxa" w:w="26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Any external convening</w:t>
            </w:r>
          </w:p>
        </w:tc>
        <w:tc>
          <w:tcPr>
            <w:tcW w:type="dxa" w:w="41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Convening before roles and credit are agreed signals that GRIP is building a parallel track, and undermines the partnership the model depends on.</w:t>
            </w:r>
          </w:p>
        </w:tc>
      </w:tr>
      <w:tr>
        <w:tc>
          <w:tcPr>
            <w:tcW w:type="dxa" w:w="26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Priority question (Phase 1)</w:t>
            </w:r>
          </w:p>
        </w:tc>
        <w:tc>
          <w:tcPr>
            <w:tcW w:type="dxa" w:w="26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Regulator mapping and invitations</w:t>
            </w:r>
          </w:p>
        </w:tc>
        <w:tc>
          <w:tcPr>
            <w:tcW w:type="dxa" w:w="41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Which regulators matter depends on the question: cybersecurity agencies for migration coherence, defence and privacy bodies for sensing.</w:t>
            </w:r>
          </w:p>
        </w:tc>
      </w:tr>
      <w:tr>
        <w:tc>
          <w:tcPr>
            <w:tcW w:type="dxa" w:w="26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Anchor regulator commitment (Phase 1)</w:t>
            </w:r>
          </w:p>
        </w:tc>
        <w:tc>
          <w:tcPr>
            <w:tcW w:type="dxa" w:w="26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Industry participation</w:t>
            </w:r>
          </w:p>
        </w:tc>
        <w:tc>
          <w:tcPr>
            <w:tcW w:type="dxa" w:w="41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Companies, and especially legal and compliance leaders, commit time when regulators are at the table; without an anchor, the working group becomes an industry forum.</w:t>
            </w:r>
          </w:p>
        </w:tc>
      </w:tr>
      <w:tr>
        <w:tc>
          <w:tcPr>
            <w:tcW w:type="dxa" w:w="26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Evidence base (crosswalk) (Phase 2)</w:t>
            </w:r>
          </w:p>
        </w:tc>
        <w:tc>
          <w:tcPr>
            <w:tcW w:type="dxa" w:w="26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Draft principles for supervisors</w:t>
            </w:r>
          </w:p>
        </w:tc>
        <w:tc>
          <w:tcPr>
            <w:tcW w:type="dxa" w:w="41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Principles written before the divergence is mapped would be generic; the crosswalk shows where alignment is actually needed.</w:t>
            </w:r>
          </w:p>
        </w:tc>
      </w:tr>
      <w:tr>
        <w:tc>
          <w:tcPr>
            <w:tcW w:type="dxa" w:w="26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Working-group draft (Phase 2)</w:t>
            </w:r>
          </w:p>
        </w:tc>
        <w:tc>
          <w:tcPr>
            <w:tcW w:type="dxa" w:w="26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January roundtable</w:t>
            </w:r>
          </w:p>
        </w:tc>
        <w:tc>
          <w:tcPr>
            <w:tcW w:type="dxa" w:w="41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 senior roundtable produces decisions only if it reacts to a concrete draft; without one it becomes a general discussion.</w:t>
            </w:r>
          </w:p>
        </w:tc>
      </w:tr>
      <w:tr>
        <w:tc>
          <w:tcPr>
            <w:tcW w:type="dxa" w:w="26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C4IR government counterpart (Phase 2)</w:t>
            </w:r>
          </w:p>
        </w:tc>
        <w:tc>
          <w:tcPr>
            <w:tcW w:type="dxa" w:w="26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In-country pilot</w:t>
            </w:r>
          </w:p>
        </w:tc>
        <w:tc>
          <w:tcPr>
            <w:tcW w:type="dxa" w:w="41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 pilot needs a government that is actively deciding something; the centre identifies whether one exists.</w:t>
            </w:r>
          </w:p>
        </w:tc>
      </w:tr>
      <w:tr>
        <w:tc>
          <w:tcPr>
            <w:tcW w:type="dxa" w:w="26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Method note (continuous)</w:t>
            </w:r>
          </w:p>
        </w:tc>
        <w:tc>
          <w:tcPr>
            <w:tcW w:type="dxa" w:w="26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Second collaboration</w:t>
            </w:r>
          </w:p>
        </w:tc>
        <w:tc>
          <w:tcPr>
            <w:tcW w:type="dxa" w:w="41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Without documentation, the second team starts from scratch and the ‘scalable model’ does not exist.</w:t>
            </w:r>
          </w:p>
        </w:tc>
      </w:tr>
    </w:tbl>
    <w:p>
      <w:pPr>
        <w:spacing w:after="80"/>
      </w:pPr>
    </w:p>
    <w:p>
      <w:pPr>
        <w:pStyle w:val="Heading3"/>
        <w:spacing w:after="70" w:before="160"/>
      </w:pPr>
      <w:r>
        <w:rPr>
          <w:rFonts w:ascii="Calibri" w:cs="Calibri" w:eastAsia="Calibri" w:hAnsi="Calibri"/>
          <w:b/>
          <w:bCs/>
          <w:color w:val="1F2A44"/>
          <w:sz w:val="22"/>
          <w:szCs w:val="22"/>
        </w:rPr>
        <w:t xml:space="preserve">6. Transition logic: when GRIP steps back</w:t>
      </w:r>
    </w:p>
    <w:p>
      <w:pPr>
        <w:spacing w:after="140" w:line="276"/>
        <w:jc w:val="both"/>
      </w:pPr>
      <w:r>
        <w:rPr>
          <w:rFonts w:ascii="Georgia" w:cs="Georgia" w:eastAsia="Georgia" w:hAnsi="Georgia"/>
          <w:color w:val="1A1A1A"/>
          <w:sz w:val="21"/>
          <w:szCs w:val="21"/>
        </w:rPr>
        <w:t xml:space="preserve">The collaboration must be designed so that GRIP’s intensive role is temporary. Each GRIP-led mechanism has a trigger for handover and a steady-state owner.</w:t>
      </w:r>
    </w:p>
    <w:tbl>
      <w:tblPr>
        <w:tblW w:type="dxa" w:w="9360"/>
        <w:tblBorders>
          <w:top w:val="single" w:color="C9D3E0" w:sz="2"/>
          <w:left w:val="none"/>
          <w:bottom w:val="single" w:color="C9D3E0" w:sz="2"/>
          <w:right w:val="none"/>
          <w:insideH w:val="single" w:color="C9D3E0" w:sz="2"/>
          <w:insideV w:val="single" w:color="C9D3E0" w:sz="2"/>
        </w:tblBorders>
      </w:tblPr>
      <w:tblGrid>
        <w:gridCol w:w="3000"/>
        <w:gridCol w:w="3300"/>
        <w:gridCol w:w="3060"/>
      </w:tblGrid>
      <w:tr>
        <w:trPr>
          <w:tblHeader/>
        </w:trPr>
        <w:tc>
          <w:tcPr>
            <w:tcW w:type="dxa" w:w="30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GRIP-led mechanism</w:t>
            </w:r>
          </w:p>
        </w:tc>
        <w:tc>
          <w:tcPr>
            <w:tcW w:type="dxa" w:w="33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Transition trigger</w:t>
            </w:r>
          </w:p>
        </w:tc>
        <w:tc>
          <w:tcPr>
            <w:tcW w:type="dxa" w:w="30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Steady-state owner</w:t>
            </w:r>
          </w:p>
        </w:tc>
      </w:tr>
      <w:tr>
        <w:tc>
          <w:tcPr>
            <w:tcW w:type="dxa" w:w="30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Setting the governance agenda with the quantum team</w:t>
            </w:r>
          </w:p>
        </w:tc>
        <w:tc>
          <w:tcPr>
            <w:tcW w:type="dxa" w:w="33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Scoping questions embedded in the team’s programme template and used once without GRIP support.</w:t>
            </w:r>
          </w:p>
        </w:tc>
        <w:tc>
          <w:tcPr>
            <w:tcW w:type="dxa" w:w="30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Quantum team, with GRIP available on request.</w:t>
            </w:r>
          </w:p>
        </w:tc>
      </w:tr>
      <w:tr>
        <w:tc>
          <w:tcPr>
            <w:tcW w:type="dxa" w:w="30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Convening the regulator community</w:t>
            </w:r>
          </w:p>
        </w:tc>
        <w:tc>
          <w:tcPr>
            <w:tcW w:type="dxa" w:w="33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community has a chair (ideally a regulator) and a regular cadence.</w:t>
            </w:r>
          </w:p>
        </w:tc>
        <w:tc>
          <w:tcPr>
            <w:tcW w:type="dxa" w:w="30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Regulator community within the Quantum Economy Network.</w:t>
            </w:r>
          </w:p>
        </w:tc>
      </w:tr>
      <w:tr>
        <w:tc>
          <w:tcPr>
            <w:tcW w:type="dxa" w:w="30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Co-authoring the knowledge product</w:t>
            </w:r>
          </w:p>
        </w:tc>
        <w:tc>
          <w:tcPr>
            <w:tcW w:type="dxa" w:w="33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Published, and an owner named for updates as deadlines approach.</w:t>
            </w:r>
          </w:p>
        </w:tc>
        <w:tc>
          <w:tcPr>
            <w:tcW w:type="dxa" w:w="30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Quantum team and regulator co-leads.</w:t>
            </w:r>
          </w:p>
        </w:tc>
      </w:tr>
      <w:tr>
        <w:tc>
          <w:tcPr>
            <w:tcW w:type="dxa" w:w="30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Brokering the C4IR pilot</w:t>
            </w:r>
          </w:p>
        </w:tc>
        <w:tc>
          <w:tcPr>
            <w:tcW w:type="dxa" w:w="33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Government counterpart and centre own the workplan.</w:t>
            </w:r>
          </w:p>
        </w:tc>
        <w:tc>
          <w:tcPr>
            <w:tcW w:type="dxa" w:w="30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C4IR centre and its government counterpart.</w:t>
            </w:r>
          </w:p>
        </w:tc>
      </w:tr>
      <w:tr>
        <w:tc>
          <w:tcPr>
            <w:tcW w:type="dxa" w:w="30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Codifying the method</w:t>
            </w:r>
          </w:p>
        </w:tc>
        <w:tc>
          <w:tcPr>
            <w:tcW w:type="dxa" w:w="33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Method used to start a second collaboration.</w:t>
            </w:r>
          </w:p>
        </w:tc>
        <w:tc>
          <w:tcPr>
            <w:tcW w:type="dxa" w:w="30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GRIP (as the Forum’s reusable approach for frontier-technology governance).</w:t>
            </w:r>
          </w:p>
        </w:tc>
      </w:tr>
    </w:tbl>
    <w:p>
      <w:pPr>
        <w:spacing w:after="80"/>
      </w:pPr>
    </w:p>
    <w:p>
      <w:pPr>
        <w:pStyle w:val="Heading3"/>
        <w:spacing w:after="70" w:before="160"/>
      </w:pPr>
      <w:r>
        <w:rPr>
          <w:rFonts w:ascii="Calibri" w:cs="Calibri" w:eastAsia="Calibri" w:hAnsi="Calibri"/>
          <w:b/>
          <w:bCs/>
          <w:color w:val="1F2A44"/>
          <w:sz w:val="22"/>
          <w:szCs w:val="22"/>
        </w:rPr>
        <w:t xml:space="preserve">7. How success is measured</w:t>
      </w:r>
    </w:p>
    <w:tbl>
      <w:tblPr>
        <w:tblW w:type="dxa" w:w="9360"/>
        <w:tblBorders>
          <w:top w:val="single" w:color="C9D3E0" w:sz="2"/>
          <w:left w:val="none"/>
          <w:bottom w:val="single" w:color="C9D3E0" w:sz="2"/>
          <w:right w:val="none"/>
          <w:insideH w:val="single" w:color="C9D3E0" w:sz="2"/>
          <w:insideV w:val="single" w:color="C9D3E0" w:sz="2"/>
        </w:tblBorders>
      </w:tblPr>
      <w:tblGrid>
        <w:gridCol w:w="1500"/>
        <w:gridCol w:w="4600"/>
        <w:gridCol w:w="3260"/>
      </w:tblGrid>
      <w:tr>
        <w:trPr>
          <w:tblHeader/>
        </w:trPr>
        <w:tc>
          <w:tcPr>
            <w:tcW w:type="dxa" w:w="15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Level</w:t>
            </w:r>
          </w:p>
        </w:tc>
        <w:tc>
          <w:tcPr>
            <w:tcW w:type="dxa" w:w="46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Indicator</w:t>
            </w:r>
          </w:p>
        </w:tc>
        <w:tc>
          <w:tcPr>
            <w:tcW w:type="dxa" w:w="32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Early warning signal</w:t>
            </w:r>
          </w:p>
        </w:tc>
      </w:tr>
      <w:tr>
        <w:tc>
          <w:tcPr>
            <w:tcW w:type="dxa" w:w="15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Adoption</w:t>
            </w:r>
          </w:p>
        </w:tc>
        <w:tc>
          <w:tcPr>
            <w:tcW w:type="dxa" w:w="46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Regulators and companies in the working group use the output (cited in guidance, used in supervisory dialogue or migration plans).</w:t>
            </w:r>
          </w:p>
        </w:tc>
        <w:tc>
          <w:tcPr>
            <w:tcW w:type="dxa" w:w="32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Working-group attendance drops, or regulators send observers rather than decision-makers.</w:t>
            </w:r>
          </w:p>
        </w:tc>
      </w:tr>
      <w:tr>
        <w:tc>
          <w:tcPr>
            <w:tcW w:type="dxa" w:w="15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Outcome</w:t>
            </w:r>
          </w:p>
        </w:tc>
        <w:tc>
          <w:tcPr>
            <w:tcW w:type="dxa" w:w="46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At least one concrete change: a regulator aligns a requirement, a sector body adopts the principles, a government uses the output in its plan.</w:t>
            </w:r>
          </w:p>
        </w:tc>
        <w:tc>
          <w:tcPr>
            <w:tcW w:type="dxa" w:w="32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Feedback limited to ‘interesting’; no requests to use or adapt the output.</w:t>
            </w:r>
          </w:p>
        </w:tc>
      </w:tr>
      <w:tr>
        <w:tc>
          <w:tcPr>
            <w:tcW w:type="dxa" w:w="15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System</w:t>
            </w:r>
          </w:p>
        </w:tc>
        <w:tc>
          <w:tcPr>
            <w:tcW w:type="dxa" w:w="46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quantum team continues the governance work without GRIP; a second team starts from the method.</w:t>
            </w:r>
          </w:p>
        </w:tc>
        <w:tc>
          <w:tcPr>
            <w:tcW w:type="dxa" w:w="32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quantum team treats governance as GRIP’s task rather than part of its programme.</w:t>
            </w:r>
          </w:p>
        </w:tc>
      </w:tr>
    </w:tbl>
    <w:p>
      <w:pPr>
        <w:spacing w:after="80"/>
      </w:pPr>
    </w:p>
    <w:p>
      <w:pPr>
        <w:pStyle w:val="Heading3"/>
        <w:spacing w:after="70" w:before="160"/>
      </w:pPr>
      <w:r>
        <w:rPr>
          <w:rFonts w:ascii="Calibri" w:cs="Calibri" w:eastAsia="Calibri" w:hAnsi="Calibri"/>
          <w:b/>
          <w:bCs/>
          <w:color w:val="1F2A44"/>
          <w:sz w:val="22"/>
          <w:szCs w:val="22"/>
        </w:rPr>
        <w:t xml:space="preserve">8. Risks and mitigations</w:t>
      </w:r>
    </w:p>
    <w:tbl>
      <w:tblPr>
        <w:tblW w:type="dxa" w:w="9360"/>
        <w:tblBorders>
          <w:top w:val="single" w:color="C9D3E0" w:sz="2"/>
          <w:left w:val="none"/>
          <w:bottom w:val="single" w:color="C9D3E0" w:sz="2"/>
          <w:right w:val="none"/>
          <w:insideH w:val="single" w:color="C9D3E0" w:sz="2"/>
          <w:insideV w:val="single" w:color="C9D3E0" w:sz="2"/>
        </w:tblBorders>
      </w:tblPr>
      <w:tblGrid>
        <w:gridCol w:w="3500"/>
        <w:gridCol w:w="5860"/>
      </w:tblGrid>
      <w:tr>
        <w:trPr>
          <w:tblHeader/>
        </w:trPr>
        <w:tc>
          <w:tcPr>
            <w:tcW w:type="dxa" w:w="35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Risk</w:t>
            </w:r>
          </w:p>
        </w:tc>
        <w:tc>
          <w:tcPr>
            <w:tcW w:type="dxa" w:w="58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Mitigation</w:t>
            </w:r>
          </w:p>
        </w:tc>
      </w:tr>
      <w:tr>
        <w:tc>
          <w:tcPr>
            <w:tcW w:type="dxa" w:w="35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quantum team sees GRIP as an extra layer.</w:t>
            </w:r>
          </w:p>
        </w:tc>
        <w:tc>
          <w:tcPr>
            <w:tcW w:type="dxa" w:w="58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Start with something concretely useful to them; co-own and credit; agree decision rights in the charter.</w:t>
            </w:r>
          </w:p>
        </w:tc>
      </w:tr>
      <w:tr>
        <w:tc>
          <w:tcPr>
            <w:tcW w:type="dxa" w:w="35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Regulators engage at too junior a level.</w:t>
            </w:r>
          </w:p>
        </w:tc>
        <w:tc>
          <w:tcPr>
            <w:tcW w:type="dxa" w:w="58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Secure anchor co-leads before convening; offer them something of value (peer comparison, early industry evidence).</w:t>
            </w:r>
          </w:p>
        </w:tc>
      </w:tr>
      <w:tr>
        <w:tc>
          <w:tcPr>
            <w:tcW w:type="dxa" w:w="35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Industry voices dominate.</w:t>
            </w:r>
          </w:p>
        </w:tc>
        <w:tc>
          <w:tcPr>
            <w:tcW w:type="dxa" w:w="58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Regulator co-leads; civil society and Global South participation from the start; transparent membership.</w:t>
            </w:r>
          </w:p>
        </w:tc>
      </w:tr>
      <w:tr>
        <w:tc>
          <w:tcPr>
            <w:tcW w:type="dxa" w:w="35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Geopolitical sensitivity (export controls, divergent national standards).</w:t>
            </w:r>
          </w:p>
        </w:tc>
        <w:tc>
          <w:tcPr>
            <w:tcW w:type="dxa" w:w="58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Keep the focus on transition coherence and shared principles; hold sensitive discussions under Chatham House rule; involve the Centre for Cybersecurity.</w:t>
            </w:r>
          </w:p>
        </w:tc>
      </w:tr>
      <w:tr>
        <w:tc>
          <w:tcPr>
            <w:tcW w:type="dxa" w:w="35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contract ends before the work is embedded.</w:t>
            </w:r>
          </w:p>
        </w:tc>
        <w:tc>
          <w:tcPr>
            <w:tcW w:type="dxa" w:w="58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Design handover from Phase 1; prioritise the transition logic over additional outputs.</w:t>
            </w:r>
          </w:p>
        </w:tc>
      </w:tr>
    </w:tbl>
    <w:p>
      <w:pPr>
        <w:spacing w:after="80"/>
      </w:pPr>
    </w:p>
    <w:p>
      <w:pPr>
        <w:pStyle w:val="Heading3"/>
        <w:spacing w:after="70" w:before="160"/>
      </w:pPr>
      <w:r>
        <w:rPr>
          <w:rFonts w:ascii="Calibri" w:cs="Calibri" w:eastAsia="Calibri" w:hAnsi="Calibri"/>
          <w:b/>
          <w:bCs/>
          <w:color w:val="1F2A44"/>
          <w:sz w:val="22"/>
          <w:szCs w:val="22"/>
        </w:rPr>
        <w:t xml:space="preserve">9. Feedback architecture: from one collaboration to a model</w:t>
      </w:r>
    </w:p>
    <w:p>
      <w:pPr>
        <w:spacing w:after="140" w:line="276"/>
        <w:jc w:val="both"/>
      </w:pPr>
      <w:r>
        <w:rPr>
          <w:rFonts w:ascii="Georgia" w:cs="Georgia" w:eastAsia="Georgia" w:hAnsi="Georgia"/>
          <w:color w:val="1A1A1A"/>
          <w:sz w:val="21"/>
          <w:szCs w:val="21"/>
        </w:rPr>
        <w:t xml:space="preserve">Codifying what works is a primary responsibility, not an afterthought. At each milestone, a short after-action review produces four outputs. A </w:t>
      </w:r>
      <w:r>
        <w:rPr>
          <w:rFonts w:ascii="Georgia" w:cs="Georgia" w:eastAsia="Georgia" w:hAnsi="Georgia"/>
          <w:b/>
          <w:bCs/>
          <w:color w:val="1A1A1A"/>
          <w:sz w:val="21"/>
          <w:szCs w:val="21"/>
        </w:rPr>
        <w:t xml:space="preserve">conditions note</w:t>
      </w:r>
      <w:r>
        <w:rPr>
          <w:rFonts w:ascii="Georgia" w:cs="Georgia" w:eastAsia="Georgia" w:hAnsi="Georgia"/>
          <w:color w:val="1A1A1A"/>
          <w:sz w:val="21"/>
          <w:szCs w:val="21"/>
        </w:rPr>
        <w:t xml:space="preserve">: what was true at the start (the team’s existing work, regulator appetite, decision windows) that made the chosen approach possible. A </w:t>
      </w:r>
      <w:r>
        <w:rPr>
          <w:rFonts w:ascii="Georgia" w:cs="Georgia" w:eastAsia="Georgia" w:hAnsi="Georgia"/>
          <w:b/>
          <w:bCs/>
          <w:color w:val="1A1A1A"/>
          <w:sz w:val="21"/>
          <w:szCs w:val="21"/>
        </w:rPr>
        <w:t xml:space="preserve">sequencing note</w:t>
      </w:r>
      <w:r>
        <w:rPr>
          <w:rFonts w:ascii="Georgia" w:cs="Georgia" w:eastAsia="Georgia" w:hAnsi="Georgia"/>
          <w:color w:val="1A1A1A"/>
          <w:sz w:val="21"/>
          <w:szCs w:val="21"/>
        </w:rPr>
        <w:t xml:space="preserve">: why each step came when it did, and what would have happened otherwise. A </w:t>
      </w:r>
      <w:r>
        <w:rPr>
          <w:rFonts w:ascii="Georgia" w:cs="Georgia" w:eastAsia="Georgia" w:hAnsi="Georgia"/>
          <w:b/>
          <w:bCs/>
          <w:color w:val="1A1A1A"/>
          <w:sz w:val="21"/>
          <w:szCs w:val="21"/>
        </w:rPr>
        <w:t xml:space="preserve">failure log</w:t>
      </w:r>
      <w:r>
        <w:rPr>
          <w:rFonts w:ascii="Georgia" w:cs="Georgia" w:eastAsia="Georgia" w:hAnsi="Georgia"/>
          <w:color w:val="1A1A1A"/>
          <w:sz w:val="21"/>
          <w:szCs w:val="21"/>
        </w:rPr>
        <w:t xml:space="preserve">: what did not work before the right approach was found. A </w:t>
      </w:r>
      <w:r>
        <w:rPr>
          <w:rFonts w:ascii="Georgia" w:cs="Georgia" w:eastAsia="Georgia" w:hAnsi="Georgia"/>
          <w:b/>
          <w:bCs/>
          <w:color w:val="1A1A1A"/>
          <w:sz w:val="21"/>
          <w:szCs w:val="21"/>
        </w:rPr>
        <w:t xml:space="preserve">replication brief</w:t>
      </w:r>
      <w:r>
        <w:rPr>
          <w:rFonts w:ascii="Georgia" w:cs="Georgia" w:eastAsia="Georgia" w:hAnsi="Georgia"/>
          <w:color w:val="1A1A1A"/>
          <w:sz w:val="21"/>
          <w:szCs w:val="21"/>
        </w:rPr>
        <w:t xml:space="preserve">: what another frontier-technology team would need in place to apply the same approach, and how it would need to adapt to a different technology, regulator landscape or maturity stage.</w:t>
      </w:r>
    </w:p>
    <w:p>
      <w:pPr>
        <w:spacing w:after="140" w:line="276"/>
        <w:jc w:val="both"/>
      </w:pPr>
      <w:r>
        <w:rPr>
          <w:rFonts w:ascii="Georgia" w:cs="Georgia" w:eastAsia="Georgia" w:hAnsi="Georgia"/>
          <w:color w:val="1A1A1A"/>
          <w:sz w:val="21"/>
          <w:szCs w:val="21"/>
        </w:rPr>
        <w:t xml:space="preserve">These reviews feed the method note that the second collaboration uses. The distinction matters: a quantum collaboration that produces a good output without this documentation is a success story; the same collaboration with it is the first instance of a replicable model for integrating governance into every frontier-technology programme at the Forum. That difference is the Lead’s responsibility.</w:t>
      </w:r>
    </w:p>
    <w:p>
      <w:r>
        <w:br w:type="page"/>
      </w:r>
    </w:p>
    <w:p>
      <w:pPr>
        <w:pStyle w:val="Heading2"/>
        <w:spacing w:after="100" w:before="220"/>
      </w:pPr>
      <w:r>
        <w:rPr>
          <w:rFonts w:ascii="Calibri" w:cs="Calibri" w:eastAsia="Calibri" w:hAnsi="Calibri"/>
          <w:b/>
          <w:bCs/>
          <w:color w:val="2F5D8A"/>
          <w:sz w:val="25"/>
          <w:szCs w:val="25"/>
        </w:rPr>
        <w:t xml:space="preserve">Case 2 · Extending the Model Across All Frontier-Technology Teams</w:t>
      </w:r>
    </w:p>
    <w:p>
      <w:pPr>
        <w:spacing w:after="140" w:line="276"/>
        <w:jc w:val="both"/>
      </w:pPr>
      <w:r>
        <w:rPr>
          <w:rFonts w:ascii="Georgia" w:cs="Georgia" w:eastAsia="Georgia" w:hAnsi="Georgia"/>
          <w:b/>
          <w:bCs/>
          <w:color w:val="1A1A1A"/>
          <w:sz w:val="21"/>
          <w:szCs w:val="21"/>
        </w:rPr>
        <w:t xml:space="preserve">Prompt:</w:t>
      </w:r>
      <w:r>
        <w:rPr>
          <w:rFonts w:ascii="Georgia" w:cs="Georgia" w:eastAsia="Georgia" w:hAnsi="Georgia"/>
          <w:color w:val="1A1A1A"/>
          <w:sz w:val="21"/>
          <w:szCs w:val="21"/>
        </w:rPr>
        <w:t xml:space="preserve"> “The role is meant to work across all the frontier-technology teams. How would you organise that, as one person, by May 2027?”</w:t>
      </w:r>
    </w:p>
    <w:p>
      <w:pPr>
        <w:pStyle w:val="Heading3"/>
        <w:spacing w:after="70" w:before="160"/>
      </w:pPr>
      <w:r>
        <w:rPr>
          <w:rFonts w:ascii="Calibri" w:cs="Calibri" w:eastAsia="Calibri" w:hAnsi="Calibri"/>
          <w:b/>
          <w:bCs/>
          <w:color w:val="1F2A44"/>
          <w:sz w:val="22"/>
          <w:szCs w:val="22"/>
        </w:rPr>
        <w:t xml:space="preserve">Answer first</w:t>
      </w:r>
    </w:p>
    <w:p>
      <w:pPr>
        <w:spacing w:after="140" w:line="276"/>
        <w:jc w:val="both"/>
      </w:pPr>
      <w:r>
        <w:rPr>
          <w:rFonts w:ascii="Georgia" w:cs="Georgia" w:eastAsia="Georgia" w:hAnsi="Georgia"/>
          <w:color w:val="1A1A1A"/>
          <w:sz w:val="21"/>
          <w:szCs w:val="21"/>
        </w:rPr>
        <w:t xml:space="preserve">Work in depth with one team at a time, starting with quantum, while giving every other team a light version of the method at the point where it matters most (programme scoping). Sequence the teams by explicit criteria, and treat the documented method, not the number of teams touched, as the real deliverable.</w:t>
      </w:r>
    </w:p>
    <w:p>
      <w:pPr>
        <w:pStyle w:val="Heading3"/>
        <w:spacing w:after="70" w:before="160"/>
      </w:pPr>
      <w:r>
        <w:rPr>
          <w:rFonts w:ascii="Calibri" w:cs="Calibri" w:eastAsia="Calibri" w:hAnsi="Calibri"/>
          <w:b/>
          <w:bCs/>
          <w:color w:val="1F2A44"/>
          <w:sz w:val="22"/>
          <w:szCs w:val="22"/>
        </w:rPr>
        <w:t xml:space="preserve">1. Three possible operating models</w:t>
      </w:r>
    </w:p>
    <w:tbl>
      <w:tblPr>
        <w:tblW w:type="dxa" w:w="9360"/>
        <w:tblBorders>
          <w:top w:val="single" w:color="C9D3E0" w:sz="2"/>
          <w:left w:val="none"/>
          <w:bottom w:val="single" w:color="C9D3E0" w:sz="2"/>
          <w:right w:val="none"/>
          <w:insideH w:val="single" w:color="C9D3E0" w:sz="2"/>
          <w:insideV w:val="single" w:color="C9D3E0" w:sz="2"/>
        </w:tblBorders>
      </w:tblPr>
      <w:tblGrid>
        <w:gridCol w:w="1900"/>
        <w:gridCol w:w="3000"/>
        <w:gridCol w:w="2230"/>
        <w:gridCol w:w="2230"/>
      </w:tblGrid>
      <w:tr>
        <w:trPr>
          <w:tblHeader/>
        </w:trPr>
        <w:tc>
          <w:tcPr>
            <w:tcW w:type="dxa" w:w="19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Model</w:t>
            </w:r>
          </w:p>
        </w:tc>
        <w:tc>
          <w:tcPr>
            <w:tcW w:type="dxa" w:w="30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How it works</w:t>
            </w:r>
          </w:p>
        </w:tc>
        <w:tc>
          <w:tcPr>
            <w:tcW w:type="dxa" w:w="223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Strength</w:t>
            </w:r>
          </w:p>
        </w:tc>
        <w:tc>
          <w:tcPr>
            <w:tcW w:type="dxa" w:w="223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Weakness</w:t>
            </w:r>
          </w:p>
        </w:tc>
      </w:tr>
      <w:tr>
        <w:tc>
          <w:tcPr>
            <w:tcW w:type="dxa" w:w="19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Embedded partnership</w:t>
            </w:r>
          </w:p>
        </w:tc>
        <w:tc>
          <w:tcPr>
            <w:tcW w:type="dxa" w:w="30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Lead works inside one team’s programme for a period, co-owning a piece of work.</w:t>
            </w:r>
          </w:p>
        </w:tc>
        <w:tc>
          <w:tcPr>
            <w:tcW w:type="dxa" w:w="223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Deep value; real trust; produces evidence the model works.</w:t>
            </w:r>
          </w:p>
        </w:tc>
        <w:tc>
          <w:tcPr>
            <w:tcW w:type="dxa" w:w="223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Covers one team at a time.</w:t>
            </w:r>
          </w:p>
        </w:tc>
      </w:tr>
      <w:tr>
        <w:tc>
          <w:tcPr>
            <w:tcW w:type="dxa" w:w="19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Central service</w:t>
            </w:r>
          </w:p>
        </w:tc>
        <w:tc>
          <w:tcPr>
            <w:tcW w:type="dxa" w:w="30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Teams request governance input as needed (reviews, introductions to regulators).</w:t>
            </w:r>
          </w:p>
        </w:tc>
        <w:tc>
          <w:tcPr>
            <w:tcW w:type="dxa" w:w="223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Broad coverage; low cost per team.</w:t>
            </w:r>
          </w:p>
        </w:tc>
        <w:tc>
          <w:tcPr>
            <w:tcW w:type="dxa" w:w="223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Shallow; governance stays an afterthought.</w:t>
            </w:r>
          </w:p>
        </w:tc>
      </w:tr>
      <w:tr>
        <w:tc>
          <w:tcPr>
            <w:tcW w:type="dxa" w:w="19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Community of practice</w:t>
            </w:r>
          </w:p>
        </w:tc>
        <w:tc>
          <w:tcPr>
            <w:tcW w:type="dxa" w:w="30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 cross-team network sharing governance approaches and regulator contacts.</w:t>
            </w:r>
          </w:p>
        </w:tc>
        <w:tc>
          <w:tcPr>
            <w:tcW w:type="dxa" w:w="223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Sustainable; builds internal capability.</w:t>
            </w:r>
          </w:p>
        </w:tc>
        <w:tc>
          <w:tcPr>
            <w:tcW w:type="dxa" w:w="223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Slow to show impact; needs an anchor.</w:t>
            </w:r>
          </w:p>
        </w:tc>
      </w:tr>
    </w:tbl>
    <w:p>
      <w:pPr>
        <w:spacing w:after="80"/>
      </w:pPr>
    </w:p>
    <w:p>
      <w:pPr>
        <w:spacing w:after="140" w:line="276"/>
        <w:jc w:val="both"/>
      </w:pPr>
      <w:r>
        <w:rPr>
          <w:rFonts w:ascii="Georgia" w:cs="Georgia" w:eastAsia="Georgia" w:hAnsi="Georgia"/>
          <w:b/>
          <w:bCs/>
          <w:color w:val="1A1A1A"/>
          <w:sz w:val="21"/>
          <w:szCs w:val="21"/>
        </w:rPr>
        <w:t xml:space="preserve">Recommendation:</w:t>
      </w:r>
      <w:r>
        <w:rPr>
          <w:rFonts w:ascii="Georgia" w:cs="Georgia" w:eastAsia="Georgia" w:hAnsi="Georgia"/>
          <w:color w:val="1A1A1A"/>
          <w:sz w:val="21"/>
          <w:szCs w:val="21"/>
        </w:rPr>
        <w:t xml:space="preserve"> a hybrid. Embedded partnership with one team at a time (quantum first); a light ‘scoping check’ offered to every team (the six governance questions from Part A, Part I §6.2, applied when a programme is designed); and a community of practice started in the final phase, so the approach survives the contract.</w:t>
      </w:r>
    </w:p>
    <w:p>
      <w:pPr>
        <w:pStyle w:val="Heading3"/>
        <w:spacing w:after="70" w:before="160"/>
      </w:pPr>
      <w:r>
        <w:rPr>
          <w:rFonts w:ascii="Calibri" w:cs="Calibri" w:eastAsia="Calibri" w:hAnsi="Calibri"/>
          <w:b/>
          <w:bCs/>
          <w:color w:val="1F2A44"/>
          <w:sz w:val="22"/>
          <w:szCs w:val="22"/>
        </w:rPr>
        <w:t xml:space="preserve">2. Sequencing the teams</w:t>
      </w:r>
    </w:p>
    <w:tbl>
      <w:tblPr>
        <w:tblW w:type="dxa" w:w="9360"/>
        <w:tblBorders>
          <w:top w:val="single" w:color="C9D3E0" w:sz="2"/>
          <w:left w:val="none"/>
          <w:bottom w:val="single" w:color="C9D3E0" w:sz="2"/>
          <w:right w:val="none"/>
          <w:insideH w:val="single" w:color="C9D3E0" w:sz="2"/>
          <w:insideV w:val="single" w:color="C9D3E0" w:sz="2"/>
        </w:tblBorders>
      </w:tblPr>
      <w:tblGrid>
        <w:gridCol w:w="2100"/>
        <w:gridCol w:w="1810"/>
        <w:gridCol w:w="1810"/>
        <w:gridCol w:w="1820"/>
        <w:gridCol w:w="1820"/>
      </w:tblGrid>
      <w:tr>
        <w:trPr>
          <w:tblHeader/>
        </w:trPr>
        <w:tc>
          <w:tcPr>
            <w:tcW w:type="dxa" w:w="21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Criterion</w:t>
            </w:r>
          </w:p>
        </w:tc>
        <w:tc>
          <w:tcPr>
            <w:tcW w:type="dxa" w:w="181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Quantum</w:t>
            </w:r>
          </w:p>
        </w:tc>
        <w:tc>
          <w:tcPr>
            <w:tcW w:type="dxa" w:w="181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Autonomous mobility and robotics</w:t>
            </w:r>
          </w:p>
        </w:tc>
        <w:tc>
          <w:tcPr>
            <w:tcW w:type="dxa" w:w="182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Biotechnology</w:t>
            </w:r>
          </w:p>
        </w:tc>
        <w:tc>
          <w:tcPr>
            <w:tcW w:type="dxa" w:w="182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Planetary systems</w:t>
            </w:r>
          </w:p>
        </w:tc>
      </w:tr>
      <w:tr>
        <w:tc>
          <w:tcPr>
            <w:tcW w:type="dxa" w:w="21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Live decision window</w:t>
            </w:r>
          </w:p>
        </w:tc>
        <w:tc>
          <w:tcPr>
            <w:tcW w:type="dxa" w:w="181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High: migration deadlines to 2035.</w:t>
            </w:r>
          </w:p>
        </w:tc>
        <w:tc>
          <w:tcPr>
            <w:tcW w:type="dxa" w:w="181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High: UK, US, China and UNECE rules moving now.</w:t>
            </w:r>
          </w:p>
        </w:tc>
        <w:tc>
          <w:tcPr>
            <w:tcW w:type="dxa" w:w="182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Medium-high: EU Biotech Act, NGT rules, US security measures.</w:t>
            </w:r>
          </w:p>
        </w:tc>
        <w:tc>
          <w:tcPr>
            <w:tcW w:type="dxa" w:w="182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Medium: debris guidance; less defined.</w:t>
            </w:r>
          </w:p>
        </w:tc>
      </w:tr>
      <w:tr>
        <w:tc>
          <w:tcPr>
            <w:tcW w:type="dxa" w:w="21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Existing regulatory-facing work</w:t>
            </w:r>
          </w:p>
        </w:tc>
        <w:tc>
          <w:tcPr>
            <w:tcW w:type="dxa" w:w="181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High: FCA collaboration (2024).</w:t>
            </w:r>
          </w:p>
        </w:tc>
        <w:tc>
          <w:tcPr>
            <w:tcW w:type="dxa" w:w="181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High: 2026 paper on regulatory diversity.</w:t>
            </w:r>
          </w:p>
        </w:tc>
        <w:tc>
          <w:tcPr>
            <w:tcW w:type="dxa" w:w="182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Medium: Policy Maturity Index.</w:t>
            </w:r>
          </w:p>
        </w:tc>
        <w:tc>
          <w:tcPr>
            <w:tcW w:type="dxa" w:w="182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Medium: Space Sustainability Rating precedent.</w:t>
            </w:r>
          </w:p>
        </w:tc>
      </w:tr>
      <w:tr>
        <w:tc>
          <w:tcPr>
            <w:tcW w:type="dxa" w:w="21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Partner readiness</w:t>
            </w:r>
          </w:p>
        </w:tc>
        <w:tc>
          <w:tcPr>
            <w:tcW w:type="dxa" w:w="181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Expected to be high (confirmed first collaboration).</w:t>
            </w:r>
          </w:p>
        </w:tc>
        <w:tc>
          <w:tcPr>
            <w:tcW w:type="dxa" w:w="181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To confirm.</w:t>
            </w:r>
          </w:p>
        </w:tc>
        <w:tc>
          <w:tcPr>
            <w:tcW w:type="dxa" w:w="182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To confirm; AI-bio needs the Centre for AI Excellence.</w:t>
            </w:r>
          </w:p>
        </w:tc>
        <w:tc>
          <w:tcPr>
            <w:tcW w:type="dxa" w:w="182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Scope to confirm.</w:t>
            </w:r>
          </w:p>
        </w:tc>
      </w:tr>
      <w:tr>
        <w:tc>
          <w:tcPr>
            <w:tcW w:type="dxa" w:w="21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Replicability of lessons</w:t>
            </w:r>
          </w:p>
        </w:tc>
        <w:tc>
          <w:tcPr>
            <w:tcW w:type="dxa" w:w="181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High: clean regulatory-coherence problem.</w:t>
            </w:r>
          </w:p>
        </w:tc>
        <w:tc>
          <w:tcPr>
            <w:tcW w:type="dxa" w:w="181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High: shared-learning model transfers.</w:t>
            </w:r>
          </w:p>
        </w:tc>
        <w:tc>
          <w:tcPr>
            <w:tcW w:type="dxa" w:w="182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Medium: more sensitive domain.</w:t>
            </w:r>
          </w:p>
        </w:tc>
        <w:tc>
          <w:tcPr>
            <w:tcW w:type="dxa" w:w="182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Medium.</w:t>
            </w:r>
          </w:p>
        </w:tc>
      </w:tr>
    </w:tbl>
    <w:p>
      <w:pPr>
        <w:spacing w:after="80"/>
      </w:pPr>
    </w:p>
    <w:p>
      <w:pPr>
        <w:spacing w:after="140" w:line="276"/>
        <w:jc w:val="both"/>
      </w:pPr>
      <w:r>
        <w:rPr>
          <w:rFonts w:ascii="Georgia" w:cs="Georgia" w:eastAsia="Georgia" w:hAnsi="Georgia"/>
          <w:b/>
          <w:bCs/>
          <w:color w:val="1A1A1A"/>
          <w:sz w:val="21"/>
          <w:szCs w:val="21"/>
        </w:rPr>
        <w:t xml:space="preserve">Sequence:</w:t>
      </w:r>
      <w:r>
        <w:rPr>
          <w:rFonts w:ascii="Georgia" w:cs="Georgia" w:eastAsia="Georgia" w:hAnsi="Georgia"/>
          <w:color w:val="1A1A1A"/>
          <w:sz w:val="21"/>
          <w:szCs w:val="21"/>
        </w:rPr>
        <w:t xml:space="preserve"> quantum, then autonomous mobility and robotics, then biotechnology (with the AI Centre on the AI-bio convergence), with planetary systems kept light until its scope and decision windows are clearer. Realistically, by May 2027 this means one collaboration completed and a second well under way; claiming more would not be credible.</w:t>
      </w:r>
    </w:p>
    <w:p>
      <w:pPr>
        <w:pStyle w:val="Heading3"/>
        <w:spacing w:after="70" w:before="160"/>
      </w:pPr>
      <w:r>
        <w:rPr>
          <w:rFonts w:ascii="Calibri" w:cs="Calibri" w:eastAsia="Calibri" w:hAnsi="Calibri"/>
          <w:b/>
          <w:bCs/>
          <w:color w:val="1F2A44"/>
          <w:sz w:val="22"/>
          <w:szCs w:val="22"/>
        </w:rPr>
        <w:t xml:space="preserve">3. The reusable method (what gets documented)</w:t>
      </w:r>
    </w:p>
    <w:p>
      <w:pPr>
        <w:pStyle w:val="ListParagraph"/>
        <w:numPr>
          <w:ilvl w:val="0"/>
          <w:numId w:val="2"/>
        </w:numPr>
        <w:spacing w:after="70" w:line="268"/>
      </w:pPr>
      <w:r>
        <w:rPr>
          <w:rFonts w:ascii="Georgia" w:cs="Georgia" w:eastAsia="Georgia" w:hAnsi="Georgia"/>
          <w:b/>
          <w:bCs/>
          <w:color w:val="1A1A1A"/>
          <w:sz w:val="21"/>
          <w:szCs w:val="21"/>
        </w:rPr>
        <w:t xml:space="preserve">Scoping questions:</w:t>
      </w:r>
      <w:r>
        <w:rPr>
          <w:rFonts w:ascii="Georgia" w:cs="Georgia" w:eastAsia="Georgia" w:hAnsi="Georgia"/>
          <w:color w:val="1A1A1A"/>
          <w:sz w:val="21"/>
          <w:szCs w:val="21"/>
        </w:rPr>
        <w:t xml:space="preserve"> the six questions for integrating governance into programme design.</w:t>
      </w:r>
    </w:p>
    <w:p>
      <w:pPr>
        <w:pStyle w:val="ListParagraph"/>
        <w:numPr>
          <w:ilvl w:val="0"/>
          <w:numId w:val="2"/>
        </w:numPr>
        <w:spacing w:after="70" w:line="268"/>
      </w:pPr>
      <w:r>
        <w:rPr>
          <w:rFonts w:ascii="Georgia" w:cs="Georgia" w:eastAsia="Georgia" w:hAnsi="Georgia"/>
          <w:b/>
          <w:bCs/>
          <w:color w:val="1A1A1A"/>
          <w:sz w:val="21"/>
          <w:szCs w:val="21"/>
        </w:rPr>
        <w:t xml:space="preserve">Governance issue map:</w:t>
      </w:r>
      <w:r>
        <w:rPr>
          <w:rFonts w:ascii="Georgia" w:cs="Georgia" w:eastAsia="Georgia" w:hAnsi="Georgia"/>
          <w:color w:val="1A1A1A"/>
          <w:sz w:val="21"/>
          <w:szCs w:val="21"/>
        </w:rPr>
        <w:t xml:space="preserve"> a standard template (issue, stakes, active actors, gap), as used for quantum in Part A.</w:t>
      </w:r>
    </w:p>
    <w:p>
      <w:pPr>
        <w:pStyle w:val="ListParagraph"/>
        <w:numPr>
          <w:ilvl w:val="0"/>
          <w:numId w:val="2"/>
        </w:numPr>
        <w:spacing w:after="70" w:line="268"/>
      </w:pPr>
      <w:r>
        <w:rPr>
          <w:rFonts w:ascii="Georgia" w:cs="Georgia" w:eastAsia="Georgia" w:hAnsi="Georgia"/>
          <w:b/>
          <w:bCs/>
          <w:color w:val="1A1A1A"/>
          <w:sz w:val="21"/>
          <w:szCs w:val="21"/>
        </w:rPr>
        <w:t xml:space="preserve">Stakeholder sequencing:</w:t>
      </w:r>
      <w:r>
        <w:rPr>
          <w:rFonts w:ascii="Georgia" w:cs="Georgia" w:eastAsia="Georgia" w:hAnsi="Georgia"/>
          <w:color w:val="1A1A1A"/>
          <w:sz w:val="21"/>
          <w:szCs w:val="21"/>
        </w:rPr>
        <w:t xml:space="preserve"> anchor regulator first, then industry (technical plus legal and compliance), then standards bodies, then civil society and under-represented jurisdictions.</w:t>
      </w:r>
    </w:p>
    <w:p>
      <w:pPr>
        <w:pStyle w:val="ListParagraph"/>
        <w:numPr>
          <w:ilvl w:val="0"/>
          <w:numId w:val="2"/>
        </w:numPr>
        <w:spacing w:after="70" w:line="268"/>
      </w:pPr>
      <w:r>
        <w:rPr>
          <w:rFonts w:ascii="Georgia" w:cs="Georgia" w:eastAsia="Georgia" w:hAnsi="Georgia"/>
          <w:b/>
          <w:bCs/>
          <w:color w:val="1A1A1A"/>
          <w:sz w:val="21"/>
          <w:szCs w:val="21"/>
        </w:rPr>
        <w:t xml:space="preserve">Output selection:</w:t>
      </w:r>
      <w:r>
        <w:rPr>
          <w:rFonts w:ascii="Georgia" w:cs="Georgia" w:eastAsia="Georgia" w:hAnsi="Georgia"/>
          <w:color w:val="1A1A1A"/>
          <w:sz w:val="21"/>
          <w:szCs w:val="21"/>
        </w:rPr>
        <w:t xml:space="preserve"> matching the product type to the situation (principles, readiness toolkit, regulator-facing paper, cross-jurisdiction synthesis, pilot), as in Part A, Part IV §4 and §6.</w:t>
      </w:r>
    </w:p>
    <w:p>
      <w:pPr>
        <w:pStyle w:val="ListParagraph"/>
        <w:numPr>
          <w:ilvl w:val="0"/>
          <w:numId w:val="2"/>
        </w:numPr>
        <w:spacing w:after="70" w:line="268"/>
      </w:pPr>
      <w:r>
        <w:rPr>
          <w:rFonts w:ascii="Georgia" w:cs="Georgia" w:eastAsia="Georgia" w:hAnsi="Georgia"/>
          <w:b/>
          <w:bCs/>
          <w:color w:val="1A1A1A"/>
          <w:sz w:val="21"/>
          <w:szCs w:val="21"/>
        </w:rPr>
        <w:t xml:space="preserve">After-action review:</w:t>
      </w:r>
      <w:r>
        <w:rPr>
          <w:rFonts w:ascii="Georgia" w:cs="Georgia" w:eastAsia="Georgia" w:hAnsi="Georgia"/>
          <w:color w:val="1A1A1A"/>
          <w:sz w:val="21"/>
          <w:szCs w:val="21"/>
        </w:rPr>
        <w:t xml:space="preserve"> conditions, sequencing, failures, replication brief.</w:t>
      </w:r>
    </w:p>
    <w:p>
      <w:pPr>
        <w:pStyle w:val="Heading3"/>
        <w:spacing w:after="70" w:before="160"/>
      </w:pPr>
      <w:r>
        <w:rPr>
          <w:rFonts w:ascii="Calibri" w:cs="Calibri" w:eastAsia="Calibri" w:hAnsi="Calibri"/>
          <w:b/>
          <w:bCs/>
          <w:color w:val="1F2A44"/>
          <w:sz w:val="22"/>
          <w:szCs w:val="22"/>
        </w:rPr>
        <w:t xml:space="preserve">4. Making one person go further</w:t>
      </w:r>
    </w:p>
    <w:p>
      <w:pPr>
        <w:spacing w:after="140" w:line="276"/>
        <w:jc w:val="both"/>
      </w:pPr>
      <w:r>
        <w:rPr>
          <w:rFonts w:ascii="Georgia" w:cs="Georgia" w:eastAsia="Georgia" w:hAnsi="Georgia"/>
          <w:color w:val="1A1A1A"/>
          <w:sz w:val="21"/>
          <w:szCs w:val="21"/>
        </w:rPr>
        <w:t xml:space="preserve">Use the leverage the Forum already has: the teams’ own communities, knowledge partners on specific outputs, C4IR centres for pilots, the GRIP team’s government relationships, and the Centres for AI Excellence and Cybersecurity for convergence and security questions. Say no to things outside scope: writing regulation, running parallel communities, or starting collaborations that cannot be finished.</w:t>
      </w:r>
    </w:p>
    <w:p>
      <w:pPr>
        <w:pStyle w:val="Heading2"/>
        <w:spacing w:after="100" w:before="220"/>
      </w:pPr>
      <w:r>
        <w:rPr>
          <w:rFonts w:ascii="Calibri" w:cs="Calibri" w:eastAsia="Calibri" w:hAnsi="Calibri"/>
          <w:b/>
          <w:bCs/>
          <w:color w:val="2F5D8A"/>
          <w:sz w:val="25"/>
          <w:szCs w:val="25"/>
        </w:rPr>
        <w:t xml:space="preserve">Case 3 · Humanoid Robots Before the Rules</w:t>
      </w:r>
    </w:p>
    <w:p>
      <w:pPr>
        <w:spacing w:after="140" w:line="276"/>
        <w:jc w:val="both"/>
      </w:pPr>
      <w:r>
        <w:rPr>
          <w:rFonts w:ascii="Georgia" w:cs="Georgia" w:eastAsia="Georgia" w:hAnsi="Georgia"/>
          <w:b/>
          <w:bCs/>
          <w:color w:val="1A1A1A"/>
          <w:sz w:val="21"/>
          <w:szCs w:val="21"/>
        </w:rPr>
        <w:t xml:space="preserve">Prompt:</w:t>
      </w:r>
      <w:r>
        <w:rPr>
          <w:rFonts w:ascii="Georgia" w:cs="Georgia" w:eastAsia="Georgia" w:hAnsi="Georgia"/>
          <w:color w:val="1A1A1A"/>
          <w:sz w:val="21"/>
          <w:szCs w:val="21"/>
        </w:rPr>
        <w:t xml:space="preserve"> “General-purpose and humanoid robots are moving into warehouses, shops and eventually homes faster than any governance framework. What should the Forum do, and how would you work with the robotics team?”</w:t>
      </w:r>
    </w:p>
    <w:p>
      <w:pPr>
        <w:pStyle w:val="Heading3"/>
        <w:spacing w:after="70" w:before="160"/>
      </w:pPr>
      <w:r>
        <w:rPr>
          <w:rFonts w:ascii="Calibri" w:cs="Calibri" w:eastAsia="Calibri" w:hAnsi="Calibri"/>
          <w:b/>
          <w:bCs/>
          <w:color w:val="1F2A44"/>
          <w:sz w:val="22"/>
          <w:szCs w:val="22"/>
        </w:rPr>
        <w:t xml:space="preserve">Answer first</w:t>
      </w:r>
    </w:p>
    <w:p>
      <w:pPr>
        <w:spacing w:after="140" w:line="276"/>
        <w:jc w:val="both"/>
      </w:pPr>
      <w:r>
        <w:rPr>
          <w:rFonts w:ascii="Georgia" w:cs="Georgia" w:eastAsia="Georgia" w:hAnsi="Georgia"/>
          <w:color w:val="1A1A1A"/>
          <w:sz w:val="21"/>
          <w:szCs w:val="21"/>
        </w:rPr>
        <w:t xml:space="preserve">This is the textbook case for integrating governance early. The technology is at pilot stage, the market is scaling fast (especially in China), and existing safety rules were written for fenced industrial robots. The Forum’s best contribution is a shared, evidence-based view of what responsible deployment in shared spaces requires, built with the people who will deploy, regulate and work alongside these machines, before incidents and divergent national rules set the terms.</w:t>
      </w:r>
    </w:p>
    <w:p>
      <w:pPr>
        <w:pStyle w:val="Heading3"/>
        <w:spacing w:after="70" w:before="160"/>
      </w:pPr>
      <w:r>
        <w:rPr>
          <w:rFonts w:ascii="Calibri" w:cs="Calibri" w:eastAsia="Calibri" w:hAnsi="Calibri"/>
          <w:b/>
          <w:bCs/>
          <w:color w:val="1F2A44"/>
          <w:sz w:val="22"/>
          <w:szCs w:val="22"/>
        </w:rPr>
        <w:t xml:space="preserve">1. Diagnosis: what governance questions arise, and when</w:t>
      </w:r>
    </w:p>
    <w:tbl>
      <w:tblPr>
        <w:tblW w:type="dxa" w:w="9360"/>
        <w:tblBorders>
          <w:top w:val="single" w:color="C9D3E0" w:sz="2"/>
          <w:left w:val="none"/>
          <w:bottom w:val="single" w:color="C9D3E0" w:sz="2"/>
          <w:right w:val="none"/>
          <w:insideH w:val="single" w:color="C9D3E0" w:sz="2"/>
          <w:insideV w:val="single" w:color="C9D3E0" w:sz="2"/>
        </w:tblBorders>
      </w:tblPr>
      <w:tblGrid>
        <w:gridCol w:w="1700"/>
        <w:gridCol w:w="2400"/>
        <w:gridCol w:w="5260"/>
      </w:tblGrid>
      <w:tr>
        <w:trPr>
          <w:tblHeader/>
        </w:trPr>
        <w:tc>
          <w:tcPr>
            <w:tcW w:type="dxa" w:w="17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Stage</w:t>
            </w:r>
          </w:p>
        </w:tc>
        <w:tc>
          <w:tcPr>
            <w:tcW w:type="dxa" w:w="24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Setting</w:t>
            </w:r>
          </w:p>
        </w:tc>
        <w:tc>
          <w:tcPr>
            <w:tcW w:type="dxa" w:w="52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Governance questions</w:t>
            </w:r>
          </w:p>
        </w:tc>
      </w:tr>
      <w:tr>
        <w:tc>
          <w:tcPr>
            <w:tcW w:type="dxa" w:w="17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Now: pilots</w:t>
            </w:r>
          </w:p>
        </w:tc>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Warehouses and factories.</w:t>
            </w:r>
          </w:p>
        </w:tc>
        <w:tc>
          <w:tcPr>
            <w:tcW w:type="dxa" w:w="52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Worker safety alongside mobile, dynamically balancing robots; incident reporting; data from cameras and sensors in workplaces.</w:t>
            </w:r>
          </w:p>
        </w:tc>
      </w:tr>
      <w:tr>
        <w:tc>
          <w:tcPr>
            <w:tcW w:type="dxa" w:w="17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Next: early commercial</w:t>
            </w:r>
          </w:p>
        </w:tc>
        <w:tc>
          <w:tcPr>
            <w:tcW w:type="dxa" w:w="2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Retail, hospitality, healthcare support.</w:t>
            </w:r>
          </w:p>
        </w:tc>
        <w:tc>
          <w:tcPr>
            <w:tcW w:type="dxa" w:w="52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Interaction with the public; liability; cybersecurity (a hacked robot is a physical risk); accessibility.</w:t>
            </w:r>
          </w:p>
        </w:tc>
      </w:tr>
      <w:tr>
        <w:tc>
          <w:tcPr>
            <w:tcW w:type="dxa" w:w="17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Later: scale</w:t>
            </w:r>
          </w:p>
        </w:tc>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Homes and care.</w:t>
            </w:r>
          </w:p>
        </w:tc>
        <w:tc>
          <w:tcPr>
            <w:tcW w:type="dxa" w:w="52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Privacy inside homes; safety with children and vulnerable people; consumer protection; labour-market impacts.</w:t>
            </w:r>
          </w:p>
        </w:tc>
      </w:tr>
    </w:tbl>
    <w:p>
      <w:pPr>
        <w:spacing w:after="80"/>
      </w:pPr>
    </w:p>
    <w:p>
      <w:pPr>
        <w:pStyle w:val="Heading3"/>
        <w:spacing w:after="70" w:before="160"/>
      </w:pPr>
      <w:r>
        <w:rPr>
          <w:rFonts w:ascii="Calibri" w:cs="Calibri" w:eastAsia="Calibri" w:hAnsi="Calibri"/>
          <w:b/>
          <w:bCs/>
          <w:color w:val="1F2A44"/>
          <w:sz w:val="22"/>
          <w:szCs w:val="22"/>
        </w:rPr>
        <w:t xml:space="preserve">2. Landscape</w:t>
      </w:r>
    </w:p>
    <w:p>
      <w:pPr>
        <w:spacing w:after="140" w:line="276"/>
        <w:jc w:val="both"/>
      </w:pPr>
      <w:r>
        <w:rPr>
          <w:rFonts w:ascii="Georgia" w:cs="Georgia" w:eastAsia="Georgia" w:hAnsi="Georgia"/>
          <w:color w:val="1A1A1A"/>
          <w:sz w:val="21"/>
          <w:szCs w:val="21"/>
        </w:rPr>
        <w:t xml:space="preserve">Standards exist for industrial robots (ISO 10218, revised 2025) and collaborative robots (ISO/TS 15066), and work on dynamically stable mobile robots is emerging. China published a national standard system for humanoid robots and embodied intelligence in February 2026. The EU’s Machinery Regulation (applying from January 2027) and AI Act will cover many AI-enabled robots, and product liability now extends to software. No jurisdiction has a dedicated framework for general-purpose robots in public or domestic spaces.</w:t>
      </w:r>
    </w:p>
    <w:p>
      <w:pPr>
        <w:pStyle w:val="Heading3"/>
        <w:spacing w:after="70" w:before="160"/>
      </w:pPr>
      <w:r>
        <w:rPr>
          <w:rFonts w:ascii="Calibri" w:cs="Calibri" w:eastAsia="Calibri" w:hAnsi="Calibri"/>
          <w:b/>
          <w:bCs/>
          <w:color w:val="1F2A44"/>
          <w:sz w:val="22"/>
          <w:szCs w:val="22"/>
        </w:rPr>
        <w:t xml:space="preserve">3. Proposed approach</w:t>
      </w:r>
    </w:p>
    <w:p>
      <w:pPr>
        <w:pStyle w:val="ListParagraph"/>
        <w:numPr>
          <w:ilvl w:val="0"/>
          <w:numId w:val="2"/>
        </w:numPr>
        <w:spacing w:after="70" w:line="268"/>
      </w:pPr>
      <w:r>
        <w:rPr>
          <w:rFonts w:ascii="Georgia" w:cs="Georgia" w:eastAsia="Georgia" w:hAnsi="Georgia"/>
          <w:b/>
          <w:bCs/>
          <w:color w:val="1A1A1A"/>
          <w:sz w:val="21"/>
          <w:szCs w:val="21"/>
        </w:rPr>
        <w:t xml:space="preserve">Evidence first.</w:t>
      </w:r>
      <w:r>
        <w:rPr>
          <w:rFonts w:ascii="Georgia" w:cs="Georgia" w:eastAsia="Georgia" w:hAnsi="Georgia"/>
          <w:color w:val="1A1A1A"/>
          <w:sz w:val="21"/>
          <w:szCs w:val="21"/>
        </w:rPr>
        <w:t xml:space="preserve"> Gather deployment evidence from companies already piloting humanoids, drawing on the Forum’s industrial-operations communities (including the Global Lighthouse Network of advanced manufacturing sites), so the work is grounded in what actually happens on the floor.</w:t>
      </w:r>
    </w:p>
    <w:p>
      <w:pPr>
        <w:pStyle w:val="ListParagraph"/>
        <w:numPr>
          <w:ilvl w:val="0"/>
          <w:numId w:val="2"/>
        </w:numPr>
        <w:spacing w:after="70" w:line="268"/>
      </w:pPr>
      <w:r>
        <w:rPr>
          <w:rFonts w:ascii="Georgia" w:cs="Georgia" w:eastAsia="Georgia" w:hAnsi="Georgia"/>
          <w:b/>
          <w:bCs/>
          <w:color w:val="1A1A1A"/>
          <w:sz w:val="21"/>
          <w:szCs w:val="21"/>
        </w:rPr>
        <w:t xml:space="preserve">Cross-jurisdiction synthesis.</w:t>
      </w:r>
      <w:r>
        <w:rPr>
          <w:rFonts w:ascii="Georgia" w:cs="Georgia" w:eastAsia="Georgia" w:hAnsi="Georgia"/>
          <w:color w:val="1A1A1A"/>
          <w:sz w:val="21"/>
          <w:szCs w:val="21"/>
        </w:rPr>
        <w:t xml:space="preserve"> Compare emerging approaches (China’s standard system, EU machinery and AI rules, ISO work, US occupational-safety practice) to show regulators where they converge and diverge.</w:t>
      </w:r>
    </w:p>
    <w:p>
      <w:pPr>
        <w:pStyle w:val="ListParagraph"/>
        <w:numPr>
          <w:ilvl w:val="0"/>
          <w:numId w:val="2"/>
        </w:numPr>
        <w:spacing w:after="70" w:line="268"/>
      </w:pPr>
      <w:r>
        <w:rPr>
          <w:rFonts w:ascii="Georgia" w:cs="Georgia" w:eastAsia="Georgia" w:hAnsi="Georgia"/>
          <w:b/>
          <w:bCs/>
          <w:color w:val="1A1A1A"/>
          <w:sz w:val="21"/>
          <w:szCs w:val="21"/>
        </w:rPr>
        <w:t xml:space="preserve">Co-developed deployment principles.</w:t>
      </w:r>
      <w:r>
        <w:rPr>
          <w:rFonts w:ascii="Georgia" w:cs="Georgia" w:eastAsia="Georgia" w:hAnsi="Georgia"/>
          <w:color w:val="1A1A1A"/>
          <w:sz w:val="21"/>
          <w:szCs w:val="21"/>
        </w:rPr>
        <w:t xml:space="preserve"> With operators, manufacturers, standards bodies, occupational-safety and product-safety regulators, insurers and worker representatives: what responsible deployment in shared spaces requires at each stage.</w:t>
      </w:r>
    </w:p>
    <w:p>
      <w:pPr>
        <w:pStyle w:val="ListParagraph"/>
        <w:numPr>
          <w:ilvl w:val="0"/>
          <w:numId w:val="2"/>
        </w:numPr>
        <w:spacing w:after="70" w:line="268"/>
      </w:pPr>
      <w:r>
        <w:rPr>
          <w:rFonts w:ascii="Georgia" w:cs="Georgia" w:eastAsia="Georgia" w:hAnsi="Georgia"/>
          <w:b/>
          <w:bCs/>
          <w:color w:val="1A1A1A"/>
          <w:sz w:val="21"/>
          <w:szCs w:val="21"/>
        </w:rPr>
        <w:t xml:space="preserve">Pilot and learn.</w:t>
      </w:r>
      <w:r>
        <w:rPr>
          <w:rFonts w:ascii="Georgia" w:cs="Georgia" w:eastAsia="Georgia" w:hAnsi="Georgia"/>
          <w:color w:val="1A1A1A"/>
          <w:sz w:val="21"/>
          <w:szCs w:val="21"/>
        </w:rPr>
        <w:t xml:space="preserve"> Test the principles with one or two operators and a C4IR centre (Abu Dhabi lists robotics as a focus area).</w:t>
      </w:r>
    </w:p>
    <w:p>
      <w:pPr>
        <w:pStyle w:val="Heading3"/>
        <w:spacing w:after="70" w:before="160"/>
      </w:pPr>
      <w:r>
        <w:rPr>
          <w:rFonts w:ascii="Calibri" w:cs="Calibri" w:eastAsia="Calibri" w:hAnsi="Calibri"/>
          <w:b/>
          <w:bCs/>
          <w:color w:val="1F2A44"/>
          <w:sz w:val="22"/>
          <w:szCs w:val="22"/>
        </w:rPr>
        <w:t xml:space="preserve">4. Key dependencies and risks</w:t>
      </w:r>
    </w:p>
    <w:p>
      <w:pPr>
        <w:spacing w:after="140" w:line="276"/>
        <w:jc w:val="both"/>
      </w:pPr>
      <w:r>
        <w:rPr>
          <w:rFonts w:ascii="Georgia" w:cs="Georgia" w:eastAsia="Georgia" w:hAnsi="Georgia"/>
          <w:color w:val="1A1A1A"/>
          <w:sz w:val="21"/>
          <w:szCs w:val="21"/>
        </w:rPr>
        <w:t xml:space="preserve">Worker representatives must be involved from the start: principles designed without them will lack legitimacy where adoption matters most. Regulators need to be present before principles are drafted, or they will treat the output as industry self-regulation. Risks: hype cycles (humanoid timelines are contested), US-China divergence in standards, and the perception of the Forum as a promotional platform for robot makers.</w:t>
      </w:r>
    </w:p>
    <w:p>
      <w:pPr>
        <w:pStyle w:val="Heading2"/>
        <w:spacing w:after="100" w:before="220"/>
      </w:pPr>
      <w:r>
        <w:rPr>
          <w:rFonts w:ascii="Calibri" w:cs="Calibri" w:eastAsia="Calibri" w:hAnsi="Calibri"/>
          <w:b/>
          <w:bCs/>
          <w:color w:val="2F5D8A"/>
          <w:sz w:val="25"/>
          <w:szCs w:val="25"/>
        </w:rPr>
        <w:t xml:space="preserve">Case 4 · AI-Designed Biology Between Two Teams</w:t>
      </w:r>
    </w:p>
    <w:p>
      <w:pPr>
        <w:spacing w:after="140" w:line="276"/>
        <w:jc w:val="both"/>
      </w:pPr>
      <w:r>
        <w:rPr>
          <w:rFonts w:ascii="Georgia" w:cs="Georgia" w:eastAsia="Georgia" w:hAnsi="Georgia"/>
          <w:b/>
          <w:bCs/>
          <w:color w:val="1A1A1A"/>
          <w:sz w:val="21"/>
          <w:szCs w:val="21"/>
        </w:rPr>
        <w:t xml:space="preserve">Prompt:</w:t>
      </w:r>
      <w:r>
        <w:rPr>
          <w:rFonts w:ascii="Georgia" w:cs="Georgia" w:eastAsia="Georgia" w:hAnsi="Georgia"/>
          <w:color w:val="1A1A1A"/>
          <w:sz w:val="21"/>
          <w:szCs w:val="21"/>
        </w:rPr>
        <w:t xml:space="preserve"> “AI models can now design proteins and genetic sequences. The issue sits between the Centre for AI Excellence and the biotechnology team. What would you propose?”</w:t>
      </w:r>
    </w:p>
    <w:p>
      <w:pPr>
        <w:pStyle w:val="Heading3"/>
        <w:spacing w:after="70" w:before="160"/>
      </w:pPr>
      <w:r>
        <w:rPr>
          <w:rFonts w:ascii="Calibri" w:cs="Calibri" w:eastAsia="Calibri" w:hAnsi="Calibri"/>
          <w:b/>
          <w:bCs/>
          <w:color w:val="1F2A44"/>
          <w:sz w:val="22"/>
          <w:szCs w:val="22"/>
        </w:rPr>
        <w:t xml:space="preserve">Answer first</w:t>
      </w:r>
    </w:p>
    <w:p>
      <w:pPr>
        <w:spacing w:after="140" w:line="276"/>
        <w:jc w:val="both"/>
      </w:pPr>
      <w:r>
        <w:rPr>
          <w:rFonts w:ascii="Georgia" w:cs="Georgia" w:eastAsia="Georgia" w:hAnsi="Georgia"/>
          <w:color w:val="1A1A1A"/>
          <w:sz w:val="21"/>
          <w:szCs w:val="21"/>
        </w:rPr>
        <w:t xml:space="preserve">Treat it as a chain that needs to be governed as a whole: safeguards in AI models, screening by DNA-synthesis providers, and verification of customers, across countries. Each link is currently governed separately, by different actors, with different standards. The Forum’s contribution is to convene the three links, with security agencies, and help build interoperable expectations; the cross-cutting workstream is the natural home precisely because neither team owns it alone.</w:t>
      </w:r>
    </w:p>
    <w:p>
      <w:pPr>
        <w:pStyle w:val="Heading3"/>
        <w:spacing w:after="70" w:before="160"/>
      </w:pPr>
      <w:r>
        <w:rPr>
          <w:rFonts w:ascii="Calibri" w:cs="Calibri" w:eastAsia="Calibri" w:hAnsi="Calibri"/>
          <w:b/>
          <w:bCs/>
          <w:color w:val="1F2A44"/>
          <w:sz w:val="22"/>
          <w:szCs w:val="22"/>
        </w:rPr>
        <w:t xml:space="preserve">1. The governance chain</w:t>
      </w:r>
    </w:p>
    <w:tbl>
      <w:tblPr>
        <w:tblW w:type="dxa" w:w="9360"/>
        <w:tblBorders>
          <w:top w:val="single" w:color="C9D3E0" w:sz="2"/>
          <w:left w:val="none"/>
          <w:bottom w:val="single" w:color="C9D3E0" w:sz="2"/>
          <w:right w:val="none"/>
          <w:insideH w:val="single" w:color="C9D3E0" w:sz="2"/>
          <w:insideV w:val="single" w:color="C9D3E0" w:sz="2"/>
        </w:tblBorders>
      </w:tblPr>
      <w:tblGrid>
        <w:gridCol w:w="2200"/>
        <w:gridCol w:w="3700"/>
        <w:gridCol w:w="3460"/>
      </w:tblGrid>
      <w:tr>
        <w:trPr>
          <w:tblHeader/>
        </w:trPr>
        <w:tc>
          <w:tcPr>
            <w:tcW w:type="dxa" w:w="22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Link</w:t>
            </w:r>
          </w:p>
        </w:tc>
        <w:tc>
          <w:tcPr>
            <w:tcW w:type="dxa" w:w="37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Current state</w:t>
            </w:r>
          </w:p>
        </w:tc>
        <w:tc>
          <w:tcPr>
            <w:tcW w:type="dxa" w:w="34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Gap</w:t>
            </w:r>
          </w:p>
        </w:tc>
      </w:tr>
      <w:tr>
        <w:tc>
          <w:tcPr>
            <w:tcW w:type="dxa" w:w="22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AI model safeguards</w:t>
            </w:r>
          </w:p>
        </w:tc>
        <w:tc>
          <w:tcPr>
            <w:tcW w:type="dxa" w:w="37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Frontier AI developers run biosecurity evaluations; practices vary; open-weight biological models raise specific questions.</w:t>
            </w:r>
          </w:p>
        </w:tc>
        <w:tc>
          <w:tcPr>
            <w:tcW w:type="dxa" w:w="34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Shared expectations for evaluation and access controls on biological design tools.</w:t>
            </w:r>
          </w:p>
        </w:tc>
      </w:tr>
      <w:tr>
        <w:tc>
          <w:tcPr>
            <w:tcW w:type="dxa" w:w="22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DNA-synthesis screening</w:t>
            </w:r>
          </w:p>
        </w:tc>
        <w:tc>
          <w:tcPr>
            <w:tcW w:type="dxa" w:w="37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Industry screening (International Gene Synthesis Consortium), IBBIS, US and UK guidance; screening largely compares orders to known threats.</w:t>
            </w:r>
          </w:p>
        </w:tc>
        <w:tc>
          <w:tcPr>
            <w:tcW w:type="dxa" w:w="34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Function-based screening that can catch novel AI-designed sequences; coverage of benchtop synthesisers.</w:t>
            </w:r>
          </w:p>
        </w:tc>
      </w:tr>
      <w:tr>
        <w:tc>
          <w:tcPr>
            <w:tcW w:type="dxa" w:w="22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Customer verification</w:t>
            </w:r>
          </w:p>
        </w:tc>
        <w:tc>
          <w:tcPr>
            <w:tcW w:type="dxa" w:w="37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Varies by provider and country.</w:t>
            </w:r>
          </w:p>
        </w:tc>
        <w:tc>
          <w:tcPr>
            <w:tcW w:type="dxa" w:w="34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Common know-your-customer standards across jurisdictions.</w:t>
            </w:r>
          </w:p>
        </w:tc>
      </w:tr>
      <w:tr>
        <w:tc>
          <w:tcPr>
            <w:tcW w:type="dxa" w:w="22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International layer</w:t>
            </w:r>
          </w:p>
        </w:tc>
        <w:tc>
          <w:tcPr>
            <w:tcW w:type="dxa" w:w="37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Biological Weapons Convention without verification.</w:t>
            </w:r>
          </w:p>
        </w:tc>
        <w:tc>
          <w:tcPr>
            <w:tcW w:type="dxa" w:w="34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Practical cooperation among national biosecurity authorities.</w:t>
            </w:r>
          </w:p>
        </w:tc>
      </w:tr>
    </w:tbl>
    <w:p>
      <w:pPr>
        <w:spacing w:after="80"/>
      </w:pPr>
    </w:p>
    <w:p>
      <w:pPr>
        <w:pStyle w:val="Heading3"/>
        <w:spacing w:after="70" w:before="160"/>
      </w:pPr>
      <w:r>
        <w:rPr>
          <w:rFonts w:ascii="Calibri" w:cs="Calibri" w:eastAsia="Calibri" w:hAnsi="Calibri"/>
          <w:b/>
          <w:bCs/>
          <w:color w:val="1F2A44"/>
          <w:sz w:val="22"/>
          <w:szCs w:val="22"/>
        </w:rPr>
        <w:t xml:space="preserve">2. Proposed approach and sequencing</w:t>
      </w:r>
    </w:p>
    <w:p>
      <w:pPr>
        <w:pStyle w:val="ListParagraph"/>
        <w:numPr>
          <w:ilvl w:val="0"/>
          <w:numId w:val="2"/>
        </w:numPr>
        <w:spacing w:after="70" w:line="268"/>
      </w:pPr>
      <w:r>
        <w:rPr>
          <w:rFonts w:ascii="Georgia" w:cs="Georgia" w:eastAsia="Georgia" w:hAnsi="Georgia"/>
          <w:b/>
          <w:bCs/>
          <w:color w:val="1A1A1A"/>
          <w:sz w:val="21"/>
          <w:szCs w:val="21"/>
        </w:rPr>
        <w:t xml:space="preserve">Agree ownership internally first:</w:t>
      </w:r>
      <w:r>
        <w:rPr>
          <w:rFonts w:ascii="Georgia" w:cs="Georgia" w:eastAsia="Georgia" w:hAnsi="Georgia"/>
          <w:color w:val="1A1A1A"/>
          <w:sz w:val="21"/>
          <w:szCs w:val="21"/>
        </w:rPr>
        <w:t xml:space="preserve"> a joint approach with the Centre for AI Excellence and the biotechnology team, so the Forum speaks with one voice.</w:t>
      </w:r>
    </w:p>
    <w:p>
      <w:pPr>
        <w:pStyle w:val="ListParagraph"/>
        <w:numPr>
          <w:ilvl w:val="0"/>
          <w:numId w:val="2"/>
        </w:numPr>
        <w:spacing w:after="70" w:line="268"/>
      </w:pPr>
      <w:r>
        <w:rPr>
          <w:rFonts w:ascii="Georgia" w:cs="Georgia" w:eastAsia="Georgia" w:hAnsi="Georgia"/>
          <w:b/>
          <w:bCs/>
          <w:color w:val="1A1A1A"/>
          <w:sz w:val="21"/>
          <w:szCs w:val="21"/>
        </w:rPr>
        <w:t xml:space="preserve">Start closed-door:</w:t>
      </w:r>
      <w:r>
        <w:rPr>
          <w:rFonts w:ascii="Georgia" w:cs="Georgia" w:eastAsia="Georgia" w:hAnsi="Georgia"/>
          <w:color w:val="1A1A1A"/>
          <w:sz w:val="21"/>
          <w:szCs w:val="21"/>
        </w:rPr>
        <w:t xml:space="preserve"> an off-the-record dialogue with national biosecurity authorities and leading AI developers and synthesis providers, because the topic involves information hazards and security sensitivities.</w:t>
      </w:r>
    </w:p>
    <w:p>
      <w:pPr>
        <w:pStyle w:val="ListParagraph"/>
        <w:numPr>
          <w:ilvl w:val="0"/>
          <w:numId w:val="2"/>
        </w:numPr>
        <w:spacing w:after="70" w:line="268"/>
      </w:pPr>
      <w:r>
        <w:rPr>
          <w:rFonts w:ascii="Georgia" w:cs="Georgia" w:eastAsia="Georgia" w:hAnsi="Georgia"/>
          <w:b/>
          <w:bCs/>
          <w:color w:val="1A1A1A"/>
          <w:sz w:val="21"/>
          <w:szCs w:val="21"/>
        </w:rPr>
        <w:t xml:space="preserve">Build on existing actors rather than duplicate them:</w:t>
      </w:r>
      <w:r>
        <w:rPr>
          <w:rFonts w:ascii="Georgia" w:cs="Georgia" w:eastAsia="Georgia" w:hAnsi="Georgia"/>
          <w:color w:val="1A1A1A"/>
          <w:sz w:val="21"/>
          <w:szCs w:val="21"/>
        </w:rPr>
        <w:t xml:space="preserve"> connect with IBBIS, industry screening consortia and biosecurity NGOs; the Forum adds reach across AI companies, governments and industry.</w:t>
      </w:r>
    </w:p>
    <w:p>
      <w:pPr>
        <w:pStyle w:val="ListParagraph"/>
        <w:numPr>
          <w:ilvl w:val="0"/>
          <w:numId w:val="2"/>
        </w:numPr>
        <w:spacing w:after="70" w:line="268"/>
      </w:pPr>
      <w:r>
        <w:rPr>
          <w:rFonts w:ascii="Georgia" w:cs="Georgia" w:eastAsia="Georgia" w:hAnsi="Georgia"/>
          <w:b/>
          <w:bCs/>
          <w:color w:val="1A1A1A"/>
          <w:sz w:val="21"/>
          <w:szCs w:val="21"/>
        </w:rPr>
        <w:t xml:space="preserve">Aim for interoperable principles</w:t>
      </w:r>
      <w:r>
        <w:rPr>
          <w:rFonts w:ascii="Georgia" w:cs="Georgia" w:eastAsia="Georgia" w:hAnsi="Georgia"/>
          <w:color w:val="1A1A1A"/>
          <w:sz w:val="21"/>
          <w:szCs w:val="21"/>
        </w:rPr>
        <w:t xml:space="preserve"> linking the three links, and a handover to an institutional owner (for example a standards process or an existing biosecurity initiative).</w:t>
      </w:r>
    </w:p>
    <w:p>
      <w:pPr>
        <w:pStyle w:val="Heading3"/>
        <w:spacing w:after="70" w:before="160"/>
      </w:pPr>
      <w:r>
        <w:rPr>
          <w:rFonts w:ascii="Calibri" w:cs="Calibri" w:eastAsia="Calibri" w:hAnsi="Calibri"/>
          <w:b/>
          <w:bCs/>
          <w:color w:val="1F2A44"/>
          <w:sz w:val="22"/>
          <w:szCs w:val="22"/>
        </w:rPr>
        <w:t xml:space="preserve">3. The judgement to show</w:t>
      </w:r>
    </w:p>
    <w:p>
      <w:pPr>
        <w:spacing w:after="140" w:line="276"/>
        <w:jc w:val="both"/>
      </w:pPr>
      <w:r>
        <w:rPr>
          <w:rFonts w:ascii="Georgia" w:cs="Georgia" w:eastAsia="Georgia" w:hAnsi="Georgia"/>
          <w:color w:val="1A1A1A"/>
          <w:sz w:val="21"/>
          <w:szCs w:val="21"/>
        </w:rPr>
        <w:t xml:space="preserve">This is a domain where soft law has limits: the downside is catastrophic and actors can defect. The honest position is that voluntary principles are a starting point to build consensus and evidence, while some elements (such as screening requirements) will likely need to become binding through governments. Knowing when a convening approach is sufficient, and when it is only the first step, is part of the job.</w:t>
      </w: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B4 · Questions to Ask</w:t>
      </w:r>
    </w:p>
    <w:p>
      <w:pPr>
        <w:spacing w:after="140" w:line="276"/>
        <w:jc w:val="both"/>
      </w:pPr>
      <w:r>
        <w:rPr>
          <w:rFonts w:ascii="Georgia" w:cs="Georgia" w:eastAsia="Georgia" w:hAnsi="Georgia"/>
          <w:color w:val="1A1A1A"/>
          <w:sz w:val="21"/>
          <w:szCs w:val="21"/>
        </w:rPr>
        <w:t xml:space="preserve">You have already asked the Head of Digital Inclusion about the UAE partnership, key relationships and success metrics. Build on those answers rather than repeating them; reference them where natural (‘When I spoke with [Head], they mentioned…’).</w:t>
      </w:r>
    </w:p>
    <w:p>
      <w:pPr>
        <w:pStyle w:val="Heading2"/>
        <w:spacing w:after="100" w:before="220"/>
      </w:pPr>
      <w:r>
        <w:rPr>
          <w:rFonts w:ascii="Calibri" w:cs="Calibri" w:eastAsia="Calibri" w:hAnsi="Calibri"/>
          <w:b/>
          <w:bCs/>
          <w:color w:val="2F5D8A"/>
          <w:sz w:val="25"/>
          <w:szCs w:val="25"/>
        </w:rPr>
        <w:t xml:space="preserve">For the panel</w:t>
      </w:r>
    </w:p>
    <w:p>
      <w:pPr>
        <w:pStyle w:val="ListParagraph"/>
        <w:numPr>
          <w:ilvl w:val="0"/>
          <w:numId w:val="1"/>
        </w:numPr>
        <w:spacing w:after="70" w:line="268"/>
      </w:pPr>
      <w:r>
        <w:rPr>
          <w:rFonts w:ascii="Georgia" w:cs="Georgia" w:eastAsia="Georgia" w:hAnsi="Georgia"/>
          <w:color w:val="1A1A1A"/>
          <w:sz w:val="21"/>
          <w:szCs w:val="21"/>
        </w:rPr>
        <w:t xml:space="preserve">How did the decision to start with the quantum team come about, and what does the team hope to get from the collaboration?</w:t>
      </w:r>
    </w:p>
    <w:p>
      <w:pPr>
        <w:pStyle w:val="ListParagraph"/>
        <w:numPr>
          <w:ilvl w:val="0"/>
          <w:numId w:val="1"/>
        </w:numPr>
        <w:spacing w:after="70" w:line="268"/>
      </w:pPr>
      <w:r>
        <w:rPr>
          <w:rFonts w:ascii="Georgia" w:cs="Georgia" w:eastAsia="Georgia" w:hAnsi="Georgia"/>
          <w:color w:val="1A1A1A"/>
          <w:sz w:val="21"/>
          <w:szCs w:val="21"/>
        </w:rPr>
        <w:t xml:space="preserve">What is the intended scope of ‘planetary systems’ as a technology initiative?</w:t>
      </w:r>
    </w:p>
    <w:p>
      <w:pPr>
        <w:pStyle w:val="ListParagraph"/>
        <w:numPr>
          <w:ilvl w:val="0"/>
          <w:numId w:val="1"/>
        </w:numPr>
        <w:spacing w:after="70" w:line="268"/>
      </w:pPr>
      <w:r>
        <w:rPr>
          <w:rFonts w:ascii="Georgia" w:cs="Georgia" w:eastAsia="Georgia" w:hAnsi="Georgia"/>
          <w:color w:val="1A1A1A"/>
          <w:sz w:val="21"/>
          <w:szCs w:val="21"/>
        </w:rPr>
        <w:t xml:space="preserve">Where do you see the balance between depth with one team and coverage across all of them in the first months?</w:t>
      </w:r>
    </w:p>
    <w:p>
      <w:pPr>
        <w:pStyle w:val="ListParagraph"/>
        <w:numPr>
          <w:ilvl w:val="0"/>
          <w:numId w:val="1"/>
        </w:numPr>
        <w:spacing w:after="70" w:line="268"/>
      </w:pPr>
      <w:r>
        <w:rPr>
          <w:rFonts w:ascii="Georgia" w:cs="Georgia" w:eastAsia="Georgia" w:hAnsi="Georgia"/>
          <w:color w:val="1A1A1A"/>
          <w:sz w:val="21"/>
          <w:szCs w:val="21"/>
        </w:rPr>
        <w:t xml:space="preserve">Which regulators or governments are already closest to the frontier-technology teams’ work?</w:t>
      </w:r>
    </w:p>
    <w:p>
      <w:pPr>
        <w:pStyle w:val="ListParagraph"/>
        <w:numPr>
          <w:ilvl w:val="0"/>
          <w:numId w:val="1"/>
        </w:numPr>
        <w:spacing w:after="70" w:line="268"/>
      </w:pPr>
      <w:r>
        <w:rPr>
          <w:rFonts w:ascii="Georgia" w:cs="Georgia" w:eastAsia="Georgia" w:hAnsi="Georgia"/>
          <w:color w:val="1A1A1A"/>
          <w:sz w:val="21"/>
          <w:szCs w:val="21"/>
        </w:rPr>
        <w:t xml:space="preserve">What would make you say, in May 2027, that this workstream had been worth creating?</w:t>
      </w:r>
    </w:p>
    <w:p>
      <w:pPr>
        <w:pStyle w:val="Heading2"/>
        <w:spacing w:after="100" w:before="220"/>
      </w:pPr>
      <w:r>
        <w:rPr>
          <w:rFonts w:ascii="Calibri" w:cs="Calibri" w:eastAsia="Calibri" w:hAnsi="Calibri"/>
          <w:b/>
          <w:bCs/>
          <w:color w:val="2F5D8A"/>
          <w:sz w:val="25"/>
          <w:szCs w:val="25"/>
        </w:rPr>
        <w:t xml:space="preserve">For HR</w:t>
      </w:r>
    </w:p>
    <w:p>
      <w:pPr>
        <w:pStyle w:val="ListParagraph"/>
        <w:numPr>
          <w:ilvl w:val="0"/>
          <w:numId w:val="1"/>
        </w:numPr>
        <w:spacing w:after="70" w:line="268"/>
      </w:pPr>
      <w:r>
        <w:rPr>
          <w:rFonts w:ascii="Georgia" w:cs="Georgia" w:eastAsia="Georgia" w:hAnsi="Georgia"/>
          <w:color w:val="1A1A1A"/>
          <w:sz w:val="21"/>
          <w:szCs w:val="21"/>
        </w:rPr>
        <w:t xml:space="preserve">What will the panel format be, and who will be on it?</w:t>
      </w:r>
    </w:p>
    <w:p>
      <w:pPr>
        <w:pStyle w:val="ListParagraph"/>
        <w:numPr>
          <w:ilvl w:val="0"/>
          <w:numId w:val="1"/>
        </w:numPr>
        <w:spacing w:after="70" w:line="268"/>
      </w:pPr>
      <w:r>
        <w:rPr>
          <w:rFonts w:ascii="Georgia" w:cs="Georgia" w:eastAsia="Georgia" w:hAnsi="Georgia"/>
          <w:color w:val="1A1A1A"/>
          <w:sz w:val="21"/>
          <w:szCs w:val="21"/>
        </w:rPr>
        <w:t xml:space="preserve">What is the timeline to a decision, and how is an internal move typically coordinated with the current team?</w:t>
      </w:r>
    </w:p>
    <w:p>
      <w:pPr>
        <w:pStyle w:val="Heading1"/>
        <w:pBdr>
          <w:bottom w:val="single" w:color="2F5D8A" w:sz="12" w:space="6"/>
        </w:pBdr>
        <w:spacing w:after="140" w:before="260"/>
      </w:pPr>
      <w:r>
        <w:rPr>
          <w:rFonts w:ascii="Calibri" w:cs="Calibri" w:eastAsia="Calibri" w:hAnsi="Calibri"/>
          <w:b/>
          <w:bCs/>
          <w:color w:val="1F2A44"/>
          <w:sz w:val="30"/>
          <w:szCs w:val="30"/>
        </w:rPr>
        <w:t xml:space="preserve">B5 · Final Checklist</w:t>
      </w:r>
    </w:p>
    <w:tbl>
      <w:tblPr>
        <w:tblW w:type="dxa" w:w="9360"/>
        <w:tblBorders>
          <w:top w:val="single" w:color="C9D3E0" w:sz="2"/>
          <w:left w:val="none"/>
          <w:bottom w:val="single" w:color="C9D3E0" w:sz="2"/>
          <w:right w:val="none"/>
          <w:insideH w:val="single" w:color="C9D3E0" w:sz="2"/>
          <w:insideV w:val="single" w:color="C9D3E0" w:sz="2"/>
        </w:tblBorders>
      </w:tblPr>
      <w:tblGrid>
        <w:gridCol w:w="2400"/>
        <w:gridCol w:w="6960"/>
      </w:tblGrid>
      <w:tr>
        <w:trPr>
          <w:tblHeader/>
        </w:trPr>
        <w:tc>
          <w:tcPr>
            <w:tcW w:type="dxa" w:w="24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Have ready</w:t>
            </w:r>
          </w:p>
        </w:tc>
        <w:tc>
          <w:tcPr>
            <w:tcW w:type="dxa" w:w="69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Content</w:t>
            </w:r>
          </w:p>
        </w:tc>
      </w:tr>
      <w:tr>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Your headline</w:t>
            </w:r>
          </w:p>
        </w:tc>
        <w:tc>
          <w:tcPr>
            <w:tcW w:type="dxa" w:w="6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 have seen how transformations are sequenced (China), how regulators innovate under pressure (crypto), and what makes a regime credible (NEOM, the Forum). This role is where those meet, starting with quantum.</w:t>
            </w:r>
          </w:p>
        </w:tc>
      </w:tr>
      <w:tr>
        <w:tc>
          <w:tcPr>
            <w:tcW w:type="dxa" w:w="2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Forum’s next problem</w:t>
            </w:r>
          </w:p>
        </w:tc>
        <w:tc>
          <w:tcPr>
            <w:tcW w:type="dxa" w:w="6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Making GRIP’s thesis technology-specific and embedded in frontier programmes, without the Forum becoming a regulator. The hard part: earning the right to integrate.</w:t>
            </w:r>
          </w:p>
        </w:tc>
      </w:tr>
      <w:tr>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role in five verbs</w:t>
            </w:r>
          </w:p>
        </w:tc>
        <w:tc>
          <w:tcPr>
            <w:tcW w:type="dxa" w:w="6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Connect, integrate, convene, translate, codify. Not: writing regulation, running sandboxes, GRIP’s index or paper.</w:t>
            </w:r>
          </w:p>
        </w:tc>
      </w:tr>
      <w:tr>
        <w:tc>
          <w:tcPr>
            <w:tcW w:type="dxa" w:w="2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Crypto facts</w:t>
            </w:r>
          </w:p>
        </w:tc>
        <w:tc>
          <w:tcPr>
            <w:tcW w:type="dxa" w:w="6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FCA sandbox (2016); FINMA token taxonomy (2018); ADGM framework (2018); FATF standard (2019); Basel standard (2022); MiCA applicable end-2024; FTX (2022).</w:t>
            </w:r>
          </w:p>
        </w:tc>
      </w:tr>
      <w:tr>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Quantum facts</w:t>
            </w:r>
          </w:p>
        </w:tc>
        <w:tc>
          <w:tcPr>
            <w:tcW w:type="dxa" w:w="6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NIST PQC standards (Aug 2024); deadlines 2030/2035 (US, EU, UK); Gidney 2025 (&lt;1M qubits, &lt;1 week); Willow below threshold (2024); Helios 48 logical qubits (2025); IBM Starling 2029; ~$12.6bn invested in 2025.</w:t>
            </w:r>
          </w:p>
        </w:tc>
      </w:tr>
      <w:tr>
        <w:tc>
          <w:tcPr>
            <w:tcW w:type="dxa" w:w="2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Quantum stakes</w:t>
            </w:r>
          </w:p>
        </w:tc>
        <w:tc>
          <w:tcPr>
            <w:tcW w:type="dxa" w:w="6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Simulation for medicines, batteries, fertiliser catalysts, carbon capture; sensing for diagnostics and navigation. Transformative, later than the hype.</w:t>
            </w:r>
          </w:p>
        </w:tc>
      </w:tr>
      <w:tr>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Frameworks</w:t>
            </w:r>
          </w:p>
        </w:tc>
        <w:tc>
          <w:tcPr>
            <w:tcW w:type="dxa" w:w="6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Mosca’s theorem; governance questions by maturity stage; the six scoping questions; the case architecture (principles, phases, dependencies, transition, feedback).</w:t>
            </w:r>
          </w:p>
        </w:tc>
      </w:tr>
      <w:tr>
        <w:tc>
          <w:tcPr>
            <w:tcW w:type="dxa" w:w="2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Realism</w:t>
            </w:r>
          </w:p>
        </w:tc>
        <w:tc>
          <w:tcPr>
            <w:tcW w:type="dxa" w:w="6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Six to eight months of tenure: one collaboration completed, a second under way, a method documented.</w:t>
            </w:r>
          </w:p>
        </w:tc>
      </w:tr>
    </w:tbl>
    <w:p>
      <w:pPr>
        <w:spacing w:after="80"/>
      </w:pP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b/>
                <w:bCs/>
                <w:color w:val="1F2A44"/>
                <w:sz w:val="20"/>
                <w:szCs w:val="20"/>
              </w:rPr>
              <w:t xml:space="preserve">Delivery reminders.</w:t>
            </w:r>
            <w:r>
              <w:rPr>
                <w:rFonts w:ascii="Georgia" w:cs="Georgia" w:eastAsia="Georgia" w:hAnsi="Georgia"/>
                <w:color w:val="1F2A44"/>
                <w:sz w:val="20"/>
                <w:szCs w:val="20"/>
              </w:rPr>
              <w:t xml:space="preserve"> Headline first, every time. No hedging. Signpost (‘Three reasons.’). Use ‘I’ in stories. If interrupted, you should already have made your point.</w:t>
            </w:r>
          </w:p>
        </w:tc>
      </w:tr>
    </w:tbl>
    <w:p>
      <w:pPr>
        <w:spacing w:after="80"/>
      </w:pPr>
    </w:p>
    <w:sectPr>
      <w:footerReference w:type="default" r:id="rId7"/>
      <w:pgSz w:w="12240" w:h="15840" w:orient="portrait"/>
      <w:pgMar w:top="118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0" w:sz="4" w:space="6"/>
      </w:pBdr>
      <w:tabs>
        <w:tab w:val="right" w:pos="9360"/>
      </w:tabs>
    </w:pPr>
    <w:r>
      <w:rPr>
        <w:rFonts w:ascii="Calibri" w:cs="Calibri" w:eastAsia="Calibri" w:hAnsi="Calibri"/>
        <w:color w:val="55606E"/>
        <w:sz w:val="15"/>
        <w:szCs w:val="15"/>
      </w:rPr>
      <w:t xml:space="preserve">Frontier Technology Governance · Part B: Interview and Case Preparation</w:t>
    </w:r>
    <w:r>
      <w:rPr>
        <w:sz w:val="15"/>
        <w:szCs w:val="15"/>
      </w:rPr>
      <w:t xml:space="preserve">	</w:t>
    </w:r>
    <w:r>
      <w:rPr>
        <w:rFonts w:ascii="Calibri" w:cs="Calibri" w:eastAsia="Calibri" w:hAnsi="Calibri"/>
        <w:color w:val="55606E"/>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Technology Governance — Part B: Interview and Case Preparation</dc:title>
  <dc:creator>Interview Preparation</dc:creator>
  <cp:lastModifiedBy>Un-named</cp:lastModifiedBy>
  <cp:revision>1</cp:revision>
  <dcterms:created xsi:type="dcterms:W3CDTF">2026-09-29T15:08:04.342Z</dcterms:created>
  <dcterms:modified xsi:type="dcterms:W3CDTF">2026-09-29T15:08:04.343Z</dcterms:modified>
</cp:coreProperties>
</file>

<file path=docProps/custom.xml><?xml version="1.0" encoding="utf-8"?>
<Properties xmlns="http://schemas.openxmlformats.org/officeDocument/2006/custom-properties" xmlns:vt="http://schemas.openxmlformats.org/officeDocument/2006/docPropsVTypes"/>
</file>