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BUSINESS LIFECYCLE</w:t>
      </w:r>
    </w:p>
    <w:p>
      <w:pPr>
        <w:keepLines w:val="0"/>
        <w:jc w:val="center"/>
      </w:pPr>
      <w:r>
        <w:rPr>
          <w:b/>
          <w:color w:val="355C7D"/>
        </w:rPr>
        <w:t>Version 2.1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Founder Canon Version 2.0 located; expanded against financial, identity, marketplace, workforce, integration, and continuity governance</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Purpose and Constitutional Scope</w:t>
      </w:r>
    </w:p>
    <w:p>
      <w:pPr>
        <w:keepLines w:val="0"/>
        <w:spacing w:after="100"/>
      </w:pPr>
      <w:r>
        <w:t>This Model governs an equestrian business as a durable organizational and commercial entity from formation through operation, growth, restructuring, succession, insolvency, closure, and archive.</w:t>
      </w:r>
    </w:p>
    <w:p>
      <w:pPr>
        <w:keepLines w:val="0"/>
        <w:spacing w:after="100"/>
      </w:pPr>
      <w:r>
        <w:t>A business is not merely a billing profile or decorative account wrapper. It may own contracts, employ people, provide services, operate across facilities, maintain reputation, receive funds, incur obligations, and outlive individual users.</w:t>
      </w:r>
    </w:p>
    <w:p>
      <w:pPr>
        <w:pStyle w:val="Heading1"/>
        <w:keepLines w:val="0"/>
      </w:pPr>
      <w:r>
        <w:t>Business Identity Rule</w:t>
      </w:r>
    </w:p>
    <w:p>
      <w:pPr>
        <w:pStyle w:val="ListBullet"/>
        <w:keepLines w:val="0"/>
      </w:pPr>
      <w:r>
        <w:t>Business identity must remain distinct from owner identity, user accounts, legal entities, brands, facilities, merchant accounts, marketplace profiles, and provider credentials.</w:t>
      </w:r>
    </w:p>
    <w:p>
      <w:pPr>
        <w:pStyle w:val="ListBullet"/>
        <w:keepLines w:val="0"/>
      </w:pPr>
      <w:r>
        <w:t>One legal entity may operate multiple brands or business units; one brand may be used by more than one legal arrangement only when explicitly governed.</w:t>
      </w:r>
    </w:p>
    <w:p>
      <w:pPr>
        <w:pStyle w:val="ListBullet"/>
        <w:keepLines w:val="0"/>
      </w:pPr>
      <w:r>
        <w:t>Business continuity must not depend on a single founder, employee, email address, device, or payment-provider account.</w:t>
      </w:r>
    </w:p>
    <w:p>
      <w:pPr>
        <w:pStyle w:val="ListBullet"/>
        <w:keepLines w:val="0"/>
      </w:pPr>
      <w:r>
        <w:t>Changes in beneficial ownership, management, legal form, tax status, or operating name must preserve historical truth and require appropriate verification.</w:t>
      </w:r>
    </w:p>
    <w:p>
      <w:pPr>
        <w:pStyle w:val="Heading1"/>
        <w:keepLines w:val="0"/>
      </w:pPr>
      <w:r>
        <w:t>Business Lifecycle Stages</w:t>
      </w:r>
    </w:p>
    <w:p>
      <w:pPr>
        <w:pStyle w:val="ListNumber"/>
        <w:keepLines w:val="0"/>
      </w:pPr>
      <w:r>
        <w:t>Concept and pre-formation planning</w:t>
      </w:r>
    </w:p>
    <w:p>
      <w:pPr>
        <w:pStyle w:val="ListNumber"/>
        <w:keepLines w:val="0"/>
      </w:pPr>
      <w:r>
        <w:t>Legal formation, tax, banking, insurance, licensing, and governance setup</w:t>
      </w:r>
    </w:p>
    <w:p>
      <w:pPr>
        <w:pStyle w:val="ListNumber"/>
        <w:keepLines w:val="0"/>
      </w:pPr>
      <w:r>
        <w:t>Platform onboarding, authority verification, service configuration, and initial customer relationships</w:t>
      </w:r>
    </w:p>
    <w:p>
      <w:pPr>
        <w:pStyle w:val="ListNumber"/>
        <w:keepLines w:val="0"/>
      </w:pPr>
      <w:r>
        <w:t>Active operations, service delivery, workforce, billing, reporting, and compliance</w:t>
      </w:r>
    </w:p>
    <w:p>
      <w:pPr>
        <w:pStyle w:val="ListNumber"/>
        <w:keepLines w:val="0"/>
      </w:pPr>
      <w:r>
        <w:t>Growth, multi-location operation, marketplace participation, financing, or restructuring</w:t>
      </w:r>
    </w:p>
    <w:p>
      <w:pPr>
        <w:pStyle w:val="ListNumber"/>
        <w:keepLines w:val="0"/>
      </w:pPr>
      <w:r>
        <w:t>Ownership change, merger, acquisition, succession, insolvency, dispute, or regulatory restriction</w:t>
      </w:r>
    </w:p>
    <w:p>
      <w:pPr>
        <w:pStyle w:val="ListNumber"/>
        <w:keepLines w:val="0"/>
      </w:pPr>
      <w:r>
        <w:t>Suspension, wind-down, closure, data transition, record retention, and archive</w:t>
      </w:r>
    </w:p>
    <w:p>
      <w:pPr>
        <w:pStyle w:val="Heading1"/>
        <w:keepLines w:val="0"/>
      </w:pPr>
      <w:r>
        <w:t>Legal Entity, Brand, Operating Unit, and Facility</w:t>
      </w:r>
    </w:p>
    <w:p>
      <w:pPr>
        <w:pStyle w:val="ListBullet"/>
        <w:keepLines w:val="0"/>
      </w:pPr>
      <w:r>
        <w:t>The legal entity is the recognized contracting or ownership body where applicable.</w:t>
      </w:r>
    </w:p>
    <w:p>
      <w:pPr>
        <w:pStyle w:val="ListBullet"/>
        <w:keepLines w:val="0"/>
      </w:pPr>
      <w:r>
        <w:t>The brand is the public or commercial identity and may change without erasing legal history.</w:t>
      </w:r>
    </w:p>
    <w:p>
      <w:pPr>
        <w:pStyle w:val="ListBullet"/>
        <w:keepLines w:val="0"/>
      </w:pPr>
      <w:r>
        <w:t>An operating unit is a governed subdivision with scoped people, services, facilities, finances, or reporting.</w:t>
      </w:r>
    </w:p>
    <w:p>
      <w:pPr>
        <w:pStyle w:val="ListBullet"/>
        <w:keepLines w:val="0"/>
      </w:pPr>
      <w:r>
        <w:t>A facility is a physical place and may be owned, leased, licensed, or merely used by the business.</w:t>
      </w:r>
    </w:p>
    <w:p>
      <w:pPr>
        <w:pStyle w:val="ListBullet"/>
        <w:keepLines w:val="0"/>
      </w:pPr>
      <w:r>
        <w:t>A merchant or payout account is a financial channel, not the business itself.</w:t>
      </w:r>
    </w:p>
    <w:p>
      <w:pPr>
        <w:pStyle w:val="ListBullet"/>
        <w:keepLines w:val="0"/>
      </w:pPr>
      <w:r>
        <w:t>A provider profile represents professional services and credentials, not the entire organizational identity.</w:t>
      </w:r>
    </w:p>
    <w:p>
      <w:pPr>
        <w:pStyle w:val="Heading1"/>
        <w:keepLines w:val="0"/>
      </w:pPr>
      <w:r>
        <w:t>Authority, Governance, and Administration</w:t>
      </w:r>
    </w:p>
    <w:p>
      <w:pPr>
        <w:pStyle w:val="ListBullet"/>
        <w:keepLines w:val="0"/>
      </w:pPr>
      <w:r>
        <w:t>Business authority must be grounded in verified organizational relationships, delegated powers, and effective periods.</w:t>
      </w:r>
    </w:p>
    <w:p>
      <w:pPr>
        <w:pStyle w:val="ListBullet"/>
        <w:keepLines w:val="0"/>
      </w:pPr>
      <w:r>
        <w:t>Owners, directors, managers, billing administrators, staff, accountants, providers, and platform administrators require distinct scopes.</w:t>
      </w:r>
    </w:p>
    <w:p>
      <w:pPr>
        <w:pStyle w:val="ListBullet"/>
        <w:keepLines w:val="0"/>
      </w:pPr>
      <w:r>
        <w:t>No departed employee or contractor should retain access merely because they created records or originally configured the account.</w:t>
      </w:r>
    </w:p>
    <w:p>
      <w:pPr>
        <w:pStyle w:val="ListBullet"/>
        <w:keepLines w:val="0"/>
      </w:pPr>
      <w:r>
        <w:t>Sensitive actions such as changing ownership, bank details, payout destination, tax identity, legal name, or primary administrator require heightened review and audit.</w:t>
      </w:r>
    </w:p>
    <w:p>
      <w:pPr>
        <w:pStyle w:val="ListBullet"/>
        <w:keepLines w:val="0"/>
      </w:pPr>
      <w:r>
        <w:t>Break-glass platform support access must remain customer-data-minimized, reason-coded, attributable, and reviewable.</w:t>
      </w:r>
    </w:p>
    <w:p>
      <w:pPr>
        <w:pStyle w:val="Heading1"/>
        <w:keepLines w:val="0"/>
      </w:pPr>
      <w:r>
        <w:t>Services, Clients, Agreements, and Delivery</w:t>
      </w:r>
    </w:p>
    <w:p>
      <w:pPr>
        <w:pStyle w:val="ListBullet"/>
        <w:keepLines w:val="0"/>
      </w:pPr>
      <w:r>
        <w:t>Service catalogs must distinguish the selling business, delivering business, provider, location, scope, price basis, taxes, cancellation rules, and required agreements.</w:t>
      </w:r>
    </w:p>
    <w:p>
      <w:pPr>
        <w:pStyle w:val="ListBullet"/>
        <w:keepLines w:val="0"/>
      </w:pPr>
      <w:r>
        <w:t>A client, payer, horse owner, guardian, rider, and service recipient may be different parties.</w:t>
      </w:r>
    </w:p>
    <w:p>
      <w:pPr>
        <w:pStyle w:val="ListBullet"/>
        <w:keepLines w:val="0"/>
      </w:pPr>
      <w:r>
        <w:t>Service completion, customer acceptance, invoice issuance, payment, refund, and dispute are separate events.</w:t>
      </w:r>
    </w:p>
    <w:p>
      <w:pPr>
        <w:pStyle w:val="ListBullet"/>
        <w:keepLines w:val="0"/>
      </w:pPr>
      <w:r>
        <w:t>Bundled services, packages, subscriptions, deposits, retainers, credits, and marketplace bookings require explicit rules.</w:t>
      </w:r>
    </w:p>
    <w:p>
      <w:pPr>
        <w:pStyle w:val="ListBullet"/>
        <w:keepLines w:val="0"/>
      </w:pPr>
      <w:r>
        <w:t>Business records must retain customer and horse context without granting broad access to unrelated information.</w:t>
      </w:r>
    </w:p>
    <w:p>
      <w:pPr>
        <w:pStyle w:val="Heading1"/>
        <w:keepLines w:val="0"/>
      </w:pPr>
      <w:r>
        <w:t>Workforce and Institutional Knowledge</w:t>
      </w:r>
    </w:p>
    <w:p>
      <w:pPr>
        <w:pStyle w:val="ListBullet"/>
        <w:keepLines w:val="0"/>
      </w:pPr>
      <w:r>
        <w:t>Employees, independent contractors, volunteers, interns, owners, and service providers require distinct classifications and relationships.</w:t>
      </w:r>
    </w:p>
    <w:p>
      <w:pPr>
        <w:pStyle w:val="ListBullet"/>
        <w:keepLines w:val="0"/>
      </w:pPr>
      <w:r>
        <w:t>The platform may support scheduling, assignments, credential tracking, time records, communication, and performance context without determining legal employment status.</w:t>
      </w:r>
    </w:p>
    <w:p>
      <w:pPr>
        <w:pStyle w:val="ListBullet"/>
        <w:keepLines w:val="0"/>
      </w:pPr>
      <w:r>
        <w:t>Business knowledge, templates, procedures, customer history, and operational records must survive staff departure.</w:t>
      </w:r>
    </w:p>
    <w:p>
      <w:pPr>
        <w:pStyle w:val="ListBullet"/>
        <w:keepLines w:val="0"/>
      </w:pPr>
      <w:r>
        <w:t>Private personnel, safeguarding, disciplinary, and compensation information require restricted handling.</w:t>
      </w:r>
    </w:p>
    <w:p>
      <w:pPr>
        <w:pStyle w:val="ListBullet"/>
        <w:keepLines w:val="0"/>
      </w:pPr>
      <w:r>
        <w:t>Analytics and AI must not create opaque worker rankings or make final hiring, discipline, termination, compensation, or credential decisions.</w:t>
      </w:r>
    </w:p>
    <w:p>
      <w:pPr>
        <w:pStyle w:val="Heading1"/>
        <w:keepLines w:val="0"/>
      </w:pPr>
      <w:r>
        <w:t>Financial Truth and Responsibility</w:t>
      </w:r>
    </w:p>
    <w:p>
      <w:pPr>
        <w:pStyle w:val="ListBullet"/>
        <w:keepLines w:val="0"/>
      </w:pPr>
      <w:r>
        <w:t>The business must be able to distinguish revenue, receivables, liabilities, deposits, restricted funds, refunds, credits, taxes, platform fees, commissions, payouts, and reconciliation items.</w:t>
      </w:r>
    </w:p>
    <w:p>
      <w:pPr>
        <w:pStyle w:val="ListBullet"/>
        <w:keepLines w:val="0"/>
      </w:pPr>
      <w:r>
        <w:t>Subscription billing, direct service billing, marketplace payments, and third-party processor balances remain architecturally distinct.</w:t>
      </w:r>
    </w:p>
    <w:p>
      <w:pPr>
        <w:pStyle w:val="ListBullet"/>
        <w:keepLines w:val="0"/>
      </w:pPr>
      <w:r>
        <w:t>The party selling the service, owing the payment, receiving funds, bearing tax responsibility, and authorizing refunds must be explicit.</w:t>
      </w:r>
    </w:p>
    <w:p>
      <w:pPr>
        <w:pStyle w:val="ListBullet"/>
        <w:keepLines w:val="0"/>
      </w:pPr>
      <w:r>
        <w:t>Processor dashboards and bank feeds are evidence sources, not the sole constitutional ledger.</w:t>
      </w:r>
    </w:p>
    <w:p>
      <w:pPr>
        <w:pStyle w:val="ListBullet"/>
        <w:keepLines w:val="0"/>
      </w:pPr>
      <w:r>
        <w:t>Financial corrections require traceability and may not erase prior statements, payments, or disputes.</w:t>
      </w:r>
    </w:p>
    <w:p>
      <w:pPr>
        <w:pStyle w:val="ListBullet"/>
        <w:keepLines w:val="0"/>
      </w:pPr>
      <w:r>
        <w:t>No AI or automation may independently move money, change bank instructions, waive material debt, or make final credit decisions without governed authority.</w:t>
      </w:r>
    </w:p>
    <w:p>
      <w:pPr>
        <w:pStyle w:val="Heading1"/>
        <w:keepLines w:val="0"/>
      </w:pPr>
      <w:r>
        <w:t>Marketplace and Network Participation</w:t>
      </w:r>
    </w:p>
    <w:p>
      <w:pPr>
        <w:pStyle w:val="ListBullet"/>
        <w:keepLines w:val="0"/>
      </w:pPr>
      <w:r>
        <w:t>Marketplace participation is optional and does not create private-data access or a service relationship.</w:t>
      </w:r>
    </w:p>
    <w:p>
      <w:pPr>
        <w:pStyle w:val="ListBullet"/>
        <w:keepLines w:val="0"/>
      </w:pPr>
      <w:r>
        <w:t>Credentials, insurance, reviews, response time, availability, pricing, and service area must retain source, verification, expiration, and challenge rights.</w:t>
      </w:r>
    </w:p>
    <w:p>
      <w:pPr>
        <w:pStyle w:val="ListBullet"/>
        <w:keepLines w:val="0"/>
      </w:pPr>
      <w:r>
        <w:t>Ranking and recommendation systems must be explainable, fair, resistant to manipulation, and separated from undisclosed pay-to-play influence.</w:t>
      </w:r>
    </w:p>
    <w:p>
      <w:pPr>
        <w:pStyle w:val="ListBullet"/>
        <w:keepLines w:val="0"/>
      </w:pPr>
      <w:r>
        <w:t>Private horse, owner, staff, business-performance, and exact-location data may not be used for marketplace discovery without explicit authority.</w:t>
      </w:r>
    </w:p>
    <w:p>
      <w:pPr>
        <w:pStyle w:val="ListBullet"/>
        <w:keepLines w:val="0"/>
      </w:pPr>
      <w:r>
        <w:t>Suspension or removal from the marketplace must not automatically suspend the underlying business account unless separately justified.</w:t>
      </w:r>
    </w:p>
    <w:p>
      <w:pPr>
        <w:pStyle w:val="Heading1"/>
        <w:keepLines w:val="0"/>
      </w:pPr>
      <w:r>
        <w:t>Multi-Facility, Multi-Business, and Group Structures</w:t>
      </w:r>
    </w:p>
    <w:p>
      <w:pPr>
        <w:pStyle w:val="ListBullet"/>
        <w:keepLines w:val="0"/>
      </w:pPr>
      <w:r>
        <w:t>A business may operate at multiple facilities, and multiple businesses may operate at one facility.</w:t>
      </w:r>
    </w:p>
    <w:p>
      <w:pPr>
        <w:pStyle w:val="ListBullet"/>
        <w:keepLines w:val="0"/>
      </w:pPr>
      <w:r>
        <w:t>Parent, subsidiary, affiliate, franchise, joint venture, contractor, and management relationships must be explicit.</w:t>
      </w:r>
    </w:p>
    <w:p>
      <w:pPr>
        <w:pStyle w:val="ListBullet"/>
        <w:keepLines w:val="0"/>
      </w:pPr>
      <w:r>
        <w:t>Cross-business access must not be inferred from shared ownership, shared staff, shared email domain, or shared facility.</w:t>
      </w:r>
    </w:p>
    <w:p>
      <w:pPr>
        <w:pStyle w:val="ListBullet"/>
        <w:keepLines w:val="0"/>
      </w:pPr>
      <w:r>
        <w:t>Consolidated reporting may not erase entity-level financial, contractual, privacy, or authority boundaries.</w:t>
      </w:r>
    </w:p>
    <w:p>
      <w:pPr>
        <w:pStyle w:val="ListBullet"/>
        <w:keepLines w:val="0"/>
      </w:pPr>
      <w:r>
        <w:t>Shared services such as accounting, support, marketing, or administration require delegated scope and audit.</w:t>
      </w:r>
    </w:p>
    <w:p>
      <w:pPr>
        <w:pStyle w:val="Heading1"/>
        <w:keepLines w:val="0"/>
      </w:pPr>
      <w:r>
        <w:t>Change, Succession, Insolvency, and Closure</w:t>
      </w:r>
    </w:p>
    <w:p>
      <w:pPr>
        <w:pStyle w:val="Heading2"/>
        <w:keepLines w:val="0"/>
      </w:pPr>
      <w:r>
        <w:t>Material Change Events</w:t>
      </w:r>
    </w:p>
    <w:p>
      <w:pPr>
        <w:pStyle w:val="ListBullet"/>
        <w:keepLines w:val="0"/>
      </w:pPr>
      <w:r>
        <w:t>Ownership or control change</w:t>
      </w:r>
    </w:p>
    <w:p>
      <w:pPr>
        <w:pStyle w:val="ListBullet"/>
        <w:keepLines w:val="0"/>
      </w:pPr>
      <w:r>
        <w:t>Legal entity conversion or merger</w:t>
      </w:r>
    </w:p>
    <w:p>
      <w:pPr>
        <w:pStyle w:val="ListBullet"/>
        <w:keepLines w:val="0"/>
      </w:pPr>
      <w:r>
        <w:t>Brand sale or licensing</w:t>
      </w:r>
    </w:p>
    <w:p>
      <w:pPr>
        <w:pStyle w:val="ListBullet"/>
        <w:keepLines w:val="0"/>
      </w:pPr>
      <w:r>
        <w:t>Facility acquisition or departure</w:t>
      </w:r>
    </w:p>
    <w:p>
      <w:pPr>
        <w:pStyle w:val="ListBullet"/>
        <w:keepLines w:val="0"/>
      </w:pPr>
      <w:r>
        <w:t>Bank, processor, tax, or insurance change</w:t>
      </w:r>
    </w:p>
    <w:p>
      <w:pPr>
        <w:pStyle w:val="ListBullet"/>
        <w:keepLines w:val="0"/>
      </w:pPr>
      <w:r>
        <w:t>Administrator succession</w:t>
      </w:r>
    </w:p>
    <w:p>
      <w:pPr>
        <w:pStyle w:val="ListBullet"/>
        <w:keepLines w:val="0"/>
      </w:pPr>
      <w:r>
        <w:t>Service-line sale or closure</w:t>
      </w:r>
    </w:p>
    <w:p>
      <w:pPr>
        <w:pStyle w:val="ListBullet"/>
        <w:keepLines w:val="0"/>
      </w:pPr>
      <w:r>
        <w:t>Insolvency, receivership, bankruptcy, dissolution, or regulatory restriction</w:t>
      </w:r>
    </w:p>
    <w:p>
      <w:pPr>
        <w:pStyle w:val="Heading2"/>
        <w:keepLines w:val="0"/>
      </w:pPr>
      <w:r>
        <w:t>Continuity Requirements</w:t>
      </w:r>
    </w:p>
    <w:p>
      <w:pPr>
        <w:pStyle w:val="ListBullet"/>
        <w:keepLines w:val="0"/>
      </w:pPr>
      <w:r>
        <w:t>Preserve customer, horse, provider, staff, financial, contract, claim, and audit history.</w:t>
      </w:r>
    </w:p>
    <w:p>
      <w:pPr>
        <w:pStyle w:val="ListBullet"/>
        <w:keepLines w:val="0"/>
      </w:pPr>
      <w:r>
        <w:t>Revalidate authority and revoke obsolete access.</w:t>
      </w:r>
    </w:p>
    <w:p>
      <w:pPr>
        <w:pStyle w:val="ListBullet"/>
        <w:keepLines w:val="0"/>
      </w:pPr>
      <w:r>
        <w:t>Protect restricted records and avoid unauthorized transfer to a successor.</w:t>
      </w:r>
    </w:p>
    <w:p>
      <w:pPr>
        <w:pStyle w:val="ListBullet"/>
        <w:keepLines w:val="0"/>
      </w:pPr>
      <w:r>
        <w:t>Maintain lawful access to receipts, agreements, exports, disputes, and open obligations.</w:t>
      </w:r>
    </w:p>
    <w:p>
      <w:pPr>
        <w:pStyle w:val="ListBullet"/>
        <w:keepLines w:val="0"/>
      </w:pPr>
      <w:r>
        <w:t>Communicate material changes with appropriate notice and acknowledgment.</w:t>
      </w:r>
    </w:p>
    <w:p>
      <w:pPr>
        <w:pStyle w:val="ListBullet"/>
        <w:keepLines w:val="0"/>
      </w:pPr>
      <w:r>
        <w:t>Prevent account abandonment, orphaned integrations, stranded payouts, or inaccessible records.</w:t>
      </w:r>
    </w:p>
    <w:p>
      <w:pPr>
        <w:pStyle w:val="Heading1"/>
        <w:keepLines w:val="0"/>
      </w:pPr>
      <w:r>
        <w:t>Business Analytics and AI Limits</w:t>
      </w:r>
    </w:p>
    <w:p>
      <w:pPr>
        <w:pStyle w:val="ListBullet"/>
        <w:keepLines w:val="0"/>
      </w:pPr>
      <w:r>
        <w:t>Business analytics may support revenue, retention, utilization, capacity, service quality, customer health, staffing, and operational planning.</w:t>
      </w:r>
    </w:p>
    <w:p>
      <w:pPr>
        <w:pStyle w:val="ListBullet"/>
        <w:keepLines w:val="0"/>
      </w:pPr>
      <w:r>
        <w:t>Official KPIs require defined ownership, source lineage, time semantics, corrections, and certification status.</w:t>
      </w:r>
    </w:p>
    <w:p>
      <w:pPr>
        <w:pStyle w:val="ListBullet"/>
        <w:keepLines w:val="0"/>
      </w:pPr>
      <w:r>
        <w:t>Cross-tenant benchmarks require aggregation, small-cell protection, and clear comparability limits.</w:t>
      </w:r>
    </w:p>
    <w:p>
      <w:pPr>
        <w:pStyle w:val="ListBullet"/>
        <w:keepLines w:val="0"/>
      </w:pPr>
      <w:r>
        <w:t>AI may draft summaries, identify anomalies, explain invoices, suggest scheduling, and surface missing data, but may not make final legal, financial, employment, medical, welfare, or access decisions.</w:t>
      </w:r>
    </w:p>
    <w:p>
      <w:pPr>
        <w:pStyle w:val="ListBullet"/>
        <w:keepLines w:val="0"/>
      </w:pPr>
      <w:r>
        <w:t>No metric may become an unsupported public claim about business quality, safety, profitability, or professional competence.</w:t>
      </w:r>
    </w:p>
    <w:p>
      <w:pPr>
        <w:pStyle w:val="Heading1"/>
        <w:keepLines w:val="0"/>
      </w:pPr>
      <w:r>
        <w:t>Lifecycle Success Criteria</w:t>
      </w:r>
    </w:p>
    <w:p>
      <w:pPr>
        <w:pStyle w:val="ListBullet"/>
        <w:keepLines w:val="0"/>
      </w:pPr>
      <w:r>
        <w:t>The business remains identifiable across people, brands, facilities, and vendors.</w:t>
      </w:r>
    </w:p>
    <w:p>
      <w:pPr>
        <w:pStyle w:val="ListBullet"/>
        <w:keepLines w:val="0"/>
      </w:pPr>
      <w:r>
        <w:t>Authority survives staff turnover without becoming overbroad.</w:t>
      </w:r>
    </w:p>
    <w:p>
      <w:pPr>
        <w:pStyle w:val="ListBullet"/>
        <w:keepLines w:val="0"/>
      </w:pPr>
      <w:r>
        <w:t>Services, agreements, work, money, and responsibility remain traceable.</w:t>
      </w:r>
    </w:p>
    <w:p>
      <w:pPr>
        <w:pStyle w:val="ListBullet"/>
        <w:keepLines w:val="0"/>
      </w:pPr>
      <w:r>
        <w:t>Multi-business and multi-facility structures preserve separation.</w:t>
      </w:r>
    </w:p>
    <w:p>
      <w:pPr>
        <w:pStyle w:val="ListBullet"/>
        <w:keepLines w:val="0"/>
      </w:pPr>
      <w:r>
        <w:t>Succession or closure does not strand records, customers, horses, obligations, or funds.</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