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EQUINESYNC</w:t>
      </w:r>
    </w:p>
    <w:p>
      <w:pPr>
        <w:pStyle w:val="Heading2"/>
        <w:jc w:val="center"/>
      </w:pPr>
      <w:r>
        <w:t>Founder Approval and Authority Status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40364D"/>
          </w:tcPr>
          <w:p>
            <w:r>
              <w:rPr>
                <w:b/>
                <w:color w:val="FFFFFF"/>
                <w:sz w:val="16"/>
              </w:rPr>
              <w:t>Field</w:t>
            </w:r>
          </w:p>
        </w:tc>
        <w:tc>
          <w:tcPr>
            <w:tcW w:type="dxa" w:w="5040"/>
            <w:vAlign w:val="center"/>
            <w:shd w:fill="40364D"/>
          </w:tcPr>
          <w:p>
            <w:r>
              <w:rPr>
                <w:b/>
                <w:color w:val="FFFFFF"/>
                <w:sz w:val="16"/>
              </w:rPr>
              <w:t>Controlling Value</w:t>
            </w:r>
          </w:p>
        </w:tc>
      </w:tr>
      <w:tr>
        <w:tc>
          <w:tcPr>
            <w:tcW w:type="dxa" w:w="5040"/>
            <w:vAlign w:val="center"/>
          </w:tcPr>
          <w:p>
            <w:r>
              <w:rPr>
                <w:sz w:val="16"/>
              </w:rPr>
              <w:t>Founder Approval Status</w:t>
            </w:r>
          </w:p>
        </w:tc>
        <w:tc>
          <w:tcPr>
            <w:tcW w:type="dxa" w:w="5040"/>
            <w:vAlign w:val="center"/>
          </w:tcPr>
          <w:p>
            <w:r>
              <w:rPr>
                <w:sz w:val="16"/>
              </w:rPr>
              <w:t>**FOUNDER APPROVED**</w:t>
            </w:r>
          </w:p>
        </w:tc>
      </w:tr>
      <w:tr>
        <w:tc>
          <w:tcPr>
            <w:tcW w:type="dxa" w:w="5040"/>
            <w:vAlign w:val="center"/>
          </w:tcPr>
          <w:p>
            <w:r>
              <w:rPr>
                <w:sz w:val="16"/>
              </w:rPr>
              <w:t>Founder Approval Date</w:t>
            </w:r>
          </w:p>
        </w:tc>
        <w:tc>
          <w:tcPr>
            <w:tcW w:type="dxa" w:w="5040"/>
            <w:vAlign w:val="center"/>
          </w:tcPr>
          <w:p>
            <w:r>
              <w:rPr>
                <w:sz w:val="16"/>
              </w:rPr>
              <w:t>**July 16, 2026**</w:t>
            </w:r>
          </w:p>
        </w:tc>
      </w:tr>
      <w:tr>
        <w:tc>
          <w:tcPr>
            <w:tcW w:type="dxa" w:w="5040"/>
            <w:vAlign w:val="center"/>
          </w:tcPr>
          <w:p>
            <w:r>
              <w:rPr>
                <w:sz w:val="16"/>
              </w:rPr>
              <w:t>Constitutional Status</w:t>
            </w:r>
          </w:p>
        </w:tc>
        <w:tc>
          <w:tcPr>
            <w:tcW w:type="dxa" w:w="5040"/>
            <w:vAlign w:val="center"/>
          </w:tcPr>
          <w:p>
            <w:r>
              <w:rPr>
                <w:sz w:val="16"/>
              </w:rPr>
              <w:t>**CONTROLLING SUBSTANTIVE CANON**</w:t>
            </w:r>
          </w:p>
        </w:tc>
      </w:tr>
      <w:tr>
        <w:tc>
          <w:tcPr>
            <w:tcW w:type="dxa" w:w="5040"/>
            <w:vAlign w:val="center"/>
          </w:tcPr>
          <w:p>
            <w:r>
              <w:rPr>
                <w:sz w:val="16"/>
              </w:rPr>
              <w:t>Canon Adoption</w:t>
            </w:r>
          </w:p>
        </w:tc>
        <w:tc>
          <w:tcPr>
            <w:tcW w:type="dxa" w:w="5040"/>
            <w:vAlign w:val="center"/>
          </w:tcPr>
          <w:p>
            <w:r>
              <w:rPr>
                <w:sz w:val="16"/>
              </w:rPr>
              <w:t>**PENDING SEPARATE ADOPTION EVIDENCE**</w:t>
            </w:r>
          </w:p>
        </w:tc>
      </w:tr>
      <w:tr>
        <w:tc>
          <w:tcPr>
            <w:tcW w:type="dxa" w:w="5040"/>
            <w:vAlign w:val="center"/>
          </w:tcPr>
          <w:p>
            <w:r>
              <w:rPr>
                <w:sz w:val="16"/>
              </w:rPr>
              <w:t>Canon Lock</w:t>
            </w:r>
          </w:p>
        </w:tc>
        <w:tc>
          <w:tcPr>
            <w:tcW w:type="dxa" w:w="5040"/>
            <w:vAlign w:val="center"/>
          </w:tcPr>
          <w:p>
            <w:r>
              <w:rPr>
                <w:sz w:val="16"/>
              </w:rPr>
              <w:t>**NOT LOCKED BY THIS DIRECTIVE**</w:t>
            </w:r>
          </w:p>
        </w:tc>
      </w:tr>
      <w:tr>
        <w:tc>
          <w:tcPr>
            <w:tcW w:type="dxa" w:w="5040"/>
            <w:vAlign w:val="center"/>
          </w:tcPr>
          <w:p>
            <w:r>
              <w:rPr>
                <w:sz w:val="16"/>
              </w:rPr>
              <w:t>Implementation Authority</w:t>
            </w:r>
          </w:p>
        </w:tc>
        <w:tc>
          <w:tcPr>
            <w:tcW w:type="dxa" w:w="5040"/>
            <w:vAlign w:val="center"/>
          </w:tcPr>
          <w:p>
            <w:r>
              <w:rPr>
                <w:sz w:val="16"/>
              </w:rPr>
              <w:t>**FALSE**</w:t>
            </w:r>
          </w:p>
        </w:tc>
      </w:tr>
      <w:tr>
        <w:tc>
          <w:tcPr>
            <w:tcW w:type="dxa" w:w="5040"/>
            <w:vAlign w:val="center"/>
          </w:tcPr>
          <w:p>
            <w:r>
              <w:rPr>
                <w:sz w:val="16"/>
              </w:rPr>
              <w:t>Schema / Migration Authority</w:t>
            </w:r>
          </w:p>
        </w:tc>
        <w:tc>
          <w:tcPr>
            <w:tcW w:type="dxa" w:w="5040"/>
            <w:vAlign w:val="center"/>
          </w:tcPr>
          <w:p>
            <w:r>
              <w:rPr>
                <w:sz w:val="16"/>
              </w:rPr>
              <w:t>**FALSE**</w:t>
            </w:r>
          </w:p>
        </w:tc>
      </w:tr>
      <w:tr>
        <w:tc>
          <w:tcPr>
            <w:tcW w:type="dxa" w:w="5040"/>
            <w:vAlign w:val="center"/>
          </w:tcPr>
          <w:p>
            <w:r>
              <w:rPr>
                <w:sz w:val="16"/>
              </w:rPr>
              <w:t>Runtime Activation Authority</w:t>
            </w:r>
          </w:p>
        </w:tc>
        <w:tc>
          <w:tcPr>
            <w:tcW w:type="dxa" w:w="5040"/>
            <w:vAlign w:val="center"/>
          </w:tcPr>
          <w:p>
            <w:r>
              <w:rPr>
                <w:sz w:val="16"/>
              </w:rPr>
              <w:t>**FALSE**</w:t>
            </w:r>
          </w:p>
        </w:tc>
      </w:tr>
      <w:tr>
        <w:tc>
          <w:tcPr>
            <w:tcW w:type="dxa" w:w="5040"/>
            <w:vAlign w:val="center"/>
          </w:tcPr>
          <w:p>
            <w:r>
              <w:rPr>
                <w:sz w:val="16"/>
              </w:rPr>
              <w:t>Production Authority</w:t>
            </w:r>
          </w:p>
        </w:tc>
        <w:tc>
          <w:tcPr>
            <w:tcW w:type="dxa" w:w="5040"/>
            <w:vAlign w:val="center"/>
          </w:tcPr>
          <w:p>
            <w:r>
              <w:rPr>
                <w:sz w:val="16"/>
              </w:rPr>
              <w:t>**FALSE**</w:t>
            </w:r>
          </w:p>
        </w:tc>
      </w:tr>
      <w:tr>
        <w:tc>
          <w:tcPr>
            <w:tcW w:type="dxa" w:w="5040"/>
            <w:vAlign w:val="center"/>
          </w:tcPr>
          <w:p>
            <w:r>
              <w:rPr>
                <w:sz w:val="16"/>
              </w:rPr>
              <w:t>External-Provider Activation Authority</w:t>
            </w:r>
          </w:p>
        </w:tc>
        <w:tc>
          <w:tcPr>
            <w:tcW w:type="dxa" w:w="5040"/>
            <w:vAlign w:val="center"/>
          </w:tcPr>
          <w:p>
            <w:r>
              <w:rPr>
                <w:sz w:val="16"/>
              </w:rPr>
              <w:t>**FALSE**</w:t>
            </w:r>
          </w:p>
        </w:tc>
      </w:tr>
      <w:tr>
        <w:tc>
          <w:tcPr>
            <w:tcW w:type="dxa" w:w="5040"/>
            <w:vAlign w:val="center"/>
          </w:tcPr>
          <w:p>
            <w:r>
              <w:rPr>
                <w:sz w:val="16"/>
              </w:rPr>
              <w:t>Public-Claims Authority</w:t>
            </w:r>
          </w:p>
        </w:tc>
        <w:tc>
          <w:tcPr>
            <w:tcW w:type="dxa" w:w="5040"/>
            <w:vAlign w:val="center"/>
          </w:tcPr>
          <w:p>
            <w:r>
              <w:rPr>
                <w:sz w:val="16"/>
              </w:rPr>
              <w:t>**FALSE**</w:t>
            </w:r>
          </w:p>
        </w:tc>
      </w:tr>
      <w:tr>
        <w:tc>
          <w:tcPr>
            <w:tcW w:type="dxa" w:w="5040"/>
            <w:vAlign w:val="center"/>
          </w:tcPr>
          <w:p>
            <w:r>
              <w:rPr>
                <w:sz w:val="16"/>
              </w:rPr>
              <w:t>Public-Launch Authority</w:t>
            </w:r>
          </w:p>
        </w:tc>
        <w:tc>
          <w:tcPr>
            <w:tcW w:type="dxa" w:w="5040"/>
            <w:vAlign w:val="center"/>
          </w:tcPr>
          <w:p>
            <w:r>
              <w:rPr>
                <w:sz w:val="16"/>
              </w:rPr>
              <w:t>**FALSE**</w:t>
            </w:r>
          </w:p>
        </w:tc>
      </w:tr>
    </w:tbl>
    <w:p>
      <w:pPr>
        <w:ind w:left="432" w:right="432"/>
      </w:pPr>
      <w:r>
        <w:rPr>
          <w:i/>
          <w:color w:val="50465C"/>
        </w:rPr>
        <w:t>Founder approval establishes the controlling substantive constitutional text. Adoption, lock, implementation, runtime, production, provider, public-claims, and launch authority remain separately gated.</w:t>
      </w:r>
    </w:p>
    <w:p>
      <w:pPr>
        <w:pStyle w:val="Heading1"/>
      </w:pPr>
      <w:r>
        <w:t>MASTER CONFIGURATION AND</w:t>
      </w:r>
    </w:p>
    <w:p>
      <w:r>
        <w:t>FEATURE FLAG GOVERNANCE MODEL</w:t>
      </w:r>
    </w:p>
    <w:p>
      <w:r>
        <w:t>Version 2.0</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40364D"/>
          </w:tcPr>
          <w:p>
            <w:r>
              <w:rPr>
                <w:b/>
                <w:color w:val="FFFFFF"/>
                <w:sz w:val="16"/>
              </w:rPr>
              <w:t>Document Classification</w:t>
            </w:r>
          </w:p>
        </w:tc>
        <w:tc>
          <w:tcPr>
            <w:tcW w:type="dxa" w:w="5040"/>
            <w:vAlign w:val="center"/>
            <w:shd w:fill="40364D"/>
          </w:tcPr>
          <w:p>
            <w:r>
              <w:rPr>
                <w:b/>
                <w:color w:val="FFFFFF"/>
                <w:sz w:val="16"/>
              </w:rPr>
              <w:t>Constitutional Governance Canon</w:t>
            </w:r>
          </w:p>
        </w:tc>
      </w:tr>
      <w:tr>
        <w:tc>
          <w:tcPr>
            <w:tcW w:type="dxa" w:w="5040"/>
            <w:vAlign w:val="center"/>
          </w:tcPr>
          <w:p>
            <w:r>
              <w:rPr>
                <w:sz w:val="16"/>
              </w:rPr>
              <w:t>Founder Decision Status</w:t>
            </w:r>
          </w:p>
        </w:tc>
        <w:tc>
          <w:tcPr>
            <w:tcW w:type="dxa" w:w="5040"/>
            <w:vAlign w:val="center"/>
          </w:tcPr>
          <w:p>
            <w:r>
              <w:rPr>
                <w:sz w:val="16"/>
              </w:rPr>
              <w:t>FD01-FD50 APPROVED AS RECOMMENDED</w:t>
            </w:r>
          </w:p>
        </w:tc>
      </w:tr>
      <w:tr>
        <w:tc>
          <w:tcPr>
            <w:tcW w:type="dxa" w:w="5040"/>
            <w:vAlign w:val="center"/>
          </w:tcPr>
          <w:p>
            <w:r>
              <w:rPr>
                <w:sz w:val="16"/>
              </w:rPr>
              <w:t>Drafting Status</w:t>
            </w:r>
          </w:p>
        </w:tc>
        <w:tc>
          <w:tcPr>
            <w:tcW w:type="dxa" w:w="5040"/>
            <w:vAlign w:val="center"/>
          </w:tcPr>
          <w:p>
            <w:r>
              <w:rPr>
                <w:sz w:val="16"/>
              </w:rPr>
              <w:t>Controlled Canon Draft</w:t>
            </w:r>
          </w:p>
        </w:tc>
      </w:tr>
      <w:tr>
        <w:tc>
          <w:tcPr>
            <w:tcW w:type="dxa" w:w="5040"/>
            <w:vAlign w:val="center"/>
          </w:tcPr>
          <w:p>
            <w:r>
              <w:rPr>
                <w:sz w:val="16"/>
              </w:rPr>
              <w:t>Canon Adoption</w:t>
            </w:r>
          </w:p>
        </w:tc>
        <w:tc>
          <w:tcPr>
            <w:tcW w:type="dxa" w:w="5040"/>
            <w:vAlign w:val="center"/>
          </w:tcPr>
          <w:p>
            <w:r>
              <w:rPr>
                <w:sz w:val="16"/>
              </w:rPr>
              <w:t>NOT AUTHORIZED BY THIS DOCUMENT</w:t>
            </w:r>
          </w:p>
        </w:tc>
      </w:tr>
      <w:tr>
        <w:tc>
          <w:tcPr>
            <w:tcW w:type="dxa" w:w="5040"/>
            <w:vAlign w:val="center"/>
          </w:tcPr>
          <w:p>
            <w:r>
              <w:rPr>
                <w:sz w:val="16"/>
              </w:rPr>
              <w:t>Canon Lock</w:t>
            </w:r>
          </w:p>
        </w:tc>
        <w:tc>
          <w:tcPr>
            <w:tcW w:type="dxa" w:w="5040"/>
            <w:vAlign w:val="center"/>
          </w:tcPr>
          <w:p>
            <w:r>
              <w:rPr>
                <w:sz w:val="16"/>
              </w:rPr>
              <w:t>NOT AUTHORIZED BY THIS DOCUMENT</w:t>
            </w:r>
          </w:p>
        </w:tc>
      </w:tr>
      <w:tr>
        <w:tc>
          <w:tcPr>
            <w:tcW w:type="dxa" w:w="5040"/>
            <w:vAlign w:val="center"/>
          </w:tcPr>
          <w:p>
            <w:r>
              <w:rPr>
                <w:sz w:val="16"/>
              </w:rPr>
              <w:t>Implementation Authority</w:t>
            </w:r>
          </w:p>
        </w:tc>
        <w:tc>
          <w:tcPr>
            <w:tcW w:type="dxa" w:w="5040"/>
            <w:vAlign w:val="center"/>
          </w:tcPr>
          <w:p>
            <w:r>
              <w:rPr>
                <w:sz w:val="16"/>
              </w:rPr>
              <w:t>FALSE</w:t>
            </w:r>
          </w:p>
        </w:tc>
      </w:tr>
      <w:tr>
        <w:tc>
          <w:tcPr>
            <w:tcW w:type="dxa" w:w="5040"/>
            <w:vAlign w:val="center"/>
          </w:tcPr>
          <w:p>
            <w:r>
              <w:rPr>
                <w:sz w:val="16"/>
              </w:rPr>
              <w:t>Runtime / Production Authority</w:t>
            </w:r>
          </w:p>
        </w:tc>
        <w:tc>
          <w:tcPr>
            <w:tcW w:type="dxa" w:w="5040"/>
            <w:vAlign w:val="center"/>
          </w:tcPr>
          <w:p>
            <w:r>
              <w:rPr>
                <w:sz w:val="16"/>
              </w:rPr>
              <w:t>FALSE</w:t>
            </w:r>
          </w:p>
        </w:tc>
      </w:tr>
      <w:tr>
        <w:tc>
          <w:tcPr>
            <w:tcW w:type="dxa" w:w="5040"/>
            <w:vAlign w:val="center"/>
          </w:tcPr>
          <w:p>
            <w:r>
              <w:rPr>
                <w:sz w:val="16"/>
              </w:rPr>
              <w:t>Public Launch Authority</w:t>
            </w:r>
          </w:p>
        </w:tc>
        <w:tc>
          <w:tcPr>
            <w:tcW w:type="dxa" w:w="5040"/>
            <w:vAlign w:val="center"/>
          </w:tcPr>
          <w:p>
            <w:r>
              <w:rPr>
                <w:sz w:val="16"/>
              </w:rPr>
              <w:t>FALSE</w:t>
            </w:r>
          </w:p>
        </w:tc>
      </w:tr>
      <w:tr>
        <w:tc>
          <w:tcPr>
            <w:tcW w:type="dxa" w:w="5040"/>
            <w:vAlign w:val="center"/>
          </w:tcPr>
          <w:p>
            <w:r>
              <w:rPr>
                <w:sz w:val="16"/>
              </w:rPr>
              <w:t>Prepared For</w:t>
            </w:r>
          </w:p>
        </w:tc>
        <w:tc>
          <w:tcPr>
            <w:tcW w:type="dxa" w:w="5040"/>
            <w:vAlign w:val="center"/>
          </w:tcPr>
          <w:p>
            <w:r>
              <w:rPr>
                <w:sz w:val="16"/>
              </w:rPr>
              <w:t>EquineSync</w:t>
            </w:r>
          </w:p>
        </w:tc>
      </w:tr>
      <w:tr>
        <w:tc>
          <w:tcPr>
            <w:tcW w:type="dxa" w:w="5040"/>
            <w:vAlign w:val="center"/>
          </w:tcPr>
          <w:p>
            <w:r>
              <w:rPr>
                <w:sz w:val="16"/>
              </w:rPr>
              <w:t>Effective Date</w:t>
            </w:r>
          </w:p>
        </w:tc>
        <w:tc>
          <w:tcPr>
            <w:tcW w:type="dxa" w:w="5040"/>
            <w:vAlign w:val="center"/>
          </w:tcPr>
          <w:p>
            <w:r>
              <w:rPr>
                <w:sz w:val="16"/>
              </w:rPr>
              <w:t>Upon separate founder adoption</w:t>
            </w:r>
          </w:p>
        </w:tc>
      </w:tr>
    </w:tbl>
    <w:p>
      <w:r>
        <w:t>Controlling Principle</w:t>
      </w:r>
    </w:p>
    <w:p>
      <w:r>
        <w:t>Configuration may change how EquineSync behaves operationally only within expressly delegated boundaries. It may never change, weaken, bypass, suspend, or redefine what EquineSync is constitutionally obligated to protect.</w:t>
      </w:r>
    </w:p>
    <w:p>
      <w:pPr>
        <w:pStyle w:val="Heading1"/>
      </w:pPr>
      <w:r>
        <w:t>Document Control and Navigation</w:t>
      </w:r>
    </w:p>
    <w:p>
      <w:r>
        <w:t>This document follows EquineSync's approved constitutional canon structure. Section numbering, control status, authority boundaries, cross-canon dependencies, founder decisions, implementation limits, and adoption status are stated expressly.</w:t>
      </w:r>
    </w:p>
    <w:p>
      <w:pPr>
        <w:pStyle w:val="Heading2"/>
      </w:pPr>
      <w:r>
        <w:t>Table of Contents</w:t>
      </w:r>
    </w:p>
    <w:p>
      <w:pPr>
        <w:pStyle w:val="ListNumber"/>
      </w:pPr>
      <w:r>
        <w:t>Purpose and Constitutional Function</w:t>
      </w:r>
    </w:p>
    <w:p>
      <w:pPr>
        <w:pStyle w:val="ListNumber"/>
      </w:pPr>
      <w:r>
        <w:t>Scope and Applicability</w:t>
      </w:r>
    </w:p>
    <w:p>
      <w:pPr>
        <w:pStyle w:val="ListNumber"/>
      </w:pPr>
      <w:r>
        <w:t>Definitions</w:t>
      </w:r>
    </w:p>
    <w:p>
      <w:pPr>
        <w:pStyle w:val="ListNumber"/>
      </w:pPr>
      <w:r>
        <w:t>Foundational Principles</w:t>
      </w:r>
    </w:p>
    <w:p>
      <w:pPr>
        <w:pStyle w:val="ListNumber"/>
      </w:pPr>
      <w:r>
        <w:t>Governance Authority and Decision Rights</w:t>
      </w:r>
    </w:p>
    <w:p>
      <w:pPr>
        <w:pStyle w:val="ListNumber"/>
      </w:pPr>
      <w:r>
        <w:t>Configuration Classification and Risk Tiers</w:t>
      </w:r>
    </w:p>
    <w:p>
      <w:pPr>
        <w:pStyle w:val="ListNumber"/>
      </w:pPr>
      <w:r>
        <w:t>Configuration Scope, Precedence, and Inheritance</w:t>
      </w:r>
    </w:p>
    <w:p>
      <w:pPr>
        <w:pStyle w:val="ListNumber"/>
      </w:pPr>
      <w:r>
        <w:t>Immutable and Nonconfigurable Controls</w:t>
      </w:r>
    </w:p>
    <w:p>
      <w:pPr>
        <w:pStyle w:val="ListNumber"/>
      </w:pPr>
      <w:r>
        <w:t>Feature Flag Categories and Lifecycle</w:t>
      </w:r>
    </w:p>
    <w:p>
      <w:pPr>
        <w:pStyle w:val="ListNumber"/>
      </w:pPr>
      <w:r>
        <w:t>Approval, Dual Control, and Change Evidence</w:t>
      </w:r>
    </w:p>
    <w:p>
      <w:pPr>
        <w:pStyle w:val="ListNumber"/>
      </w:pPr>
      <w:r>
        <w:t>Rollout, Experimentation, and Validation</w:t>
      </w:r>
    </w:p>
    <w:p>
      <w:pPr>
        <w:pStyle w:val="ListNumber"/>
      </w:pPr>
      <w:r>
        <w:t>Emergency Controls and Safe Degradation</w:t>
      </w:r>
    </w:p>
    <w:p>
      <w:pPr>
        <w:pStyle w:val="ListNumber"/>
      </w:pPr>
      <w:r>
        <w:t>Horse Welfare and Safeguarding Boundaries</w:t>
      </w:r>
    </w:p>
    <w:p>
      <w:pPr>
        <w:pStyle w:val="ListNumber"/>
      </w:pPr>
      <w:r>
        <w:t>AI Configuration Governance</w:t>
      </w:r>
    </w:p>
    <w:p>
      <w:pPr>
        <w:pStyle w:val="ListNumber"/>
      </w:pPr>
      <w:r>
        <w:t>Financial Configuration Governance</w:t>
      </w:r>
    </w:p>
    <w:p>
      <w:pPr>
        <w:pStyle w:val="ListNumber"/>
      </w:pPr>
      <w:r>
        <w:t>Jurisdictional and Regulatory Configuration</w:t>
      </w:r>
    </w:p>
    <w:p>
      <w:pPr>
        <w:pStyle w:val="ListNumber"/>
      </w:pPr>
      <w:r>
        <w:t>Offline, Synchronization, and Device Configuration</w:t>
      </w:r>
    </w:p>
    <w:p>
      <w:pPr>
        <w:pStyle w:val="ListNumber"/>
      </w:pPr>
      <w:r>
        <w:t>External Provider and Integration Configuration</w:t>
      </w:r>
    </w:p>
    <w:p>
      <w:pPr>
        <w:pStyle w:val="ListNumber"/>
      </w:pPr>
      <w:r>
        <w:t>Metadata, Registry, Versioning, and Retirement</w:t>
      </w:r>
    </w:p>
    <w:p>
      <w:pPr>
        <w:pStyle w:val="ListNumber"/>
      </w:pPr>
      <w:r>
        <w:t>Audit, Monitoring, Enforcement, and Exceptions</w:t>
      </w:r>
    </w:p>
    <w:p>
      <w:pPr>
        <w:pStyle w:val="ListNumber"/>
      </w:pPr>
      <w:r>
        <w:t>Cross-Canon Dependencies and Conflict Resolution</w:t>
      </w:r>
    </w:p>
    <w:p>
      <w:pPr>
        <w:pStyle w:val="ListNumber"/>
      </w:pPr>
      <w:r>
        <w:t>Founder Decision Ledger FD01-FD50</w:t>
      </w:r>
    </w:p>
    <w:p>
      <w:pPr>
        <w:pStyle w:val="ListNumber"/>
      </w:pPr>
      <w:r>
        <w:t>Implementation Boundary</w:t>
      </w:r>
    </w:p>
    <w:p>
      <w:pPr>
        <w:pStyle w:val="ListNumber"/>
      </w:pPr>
      <w:r>
        <w:t>Adoption, Lock, and Amendment Status</w:t>
      </w:r>
    </w:p>
    <w:p>
      <w:pPr>
        <w:pStyle w:val="Heading1"/>
      </w:pPr>
      <w:r>
        <w:t>1. Purpose and Constitutional Function</w:t>
      </w:r>
    </w:p>
    <w:p>
      <w:r>
        <w:t>This Master Configuration and Feature Flag Governance Model establishes the controlling constitutional governance for runtime configuration, operational settings, entitlement controls, feature flags, release controls, emergency disablement mechanisms, and related platform behavior across EquineSync.</w:t>
      </w:r>
    </w:p>
    <w:p>
      <w:r>
        <w:t>Its purpose is to ensure that configuration remains a bounded operational mechanism rather than a means of rewriting constitutional truth, expanding authority, weakening safeguards, or bypassing adoption, implementation, release, or production gates.</w:t>
      </w:r>
    </w:p>
    <w:p>
      <w:pPr>
        <w:pStyle w:val="Heading1"/>
      </w:pPr>
      <w:r>
        <w:t>2. Scope and Applicability</w:t>
      </w:r>
    </w:p>
    <w:p>
      <w:r>
        <w:t>This canon applies to every EquineSync product, environment, tenant, organization, facility, barn, user role, horse record, mobile or web client, offline mode, integration, provider, AI capability, workflow, and future deployment model.</w:t>
      </w:r>
    </w:p>
    <w:p>
      <w:r>
        <w:t>It governs platform, jurisdictional, organization, facility, barn, role, user, horse-specific, session, device, provider, and emergency configuration, together with the full lifecycle of feature flags.</w:t>
      </w:r>
    </w:p>
    <w:p>
      <w:pPr>
        <w:pStyle w:val="Heading1"/>
      </w:pPr>
      <w:r>
        <w:t>3. Definitions</w:t>
      </w:r>
    </w:p>
    <w:p>
      <w:r>
        <w:t>Configuration means an approved, bounded value or setting that changes permitted operational behavior without altering constitutional obligations or creating new authority.</w:t>
      </w:r>
    </w:p>
    <w:p>
      <w:r>
        <w:t>Feature flag means a governed runtime control used for staged release, pilot access, experimentation, migration, compatibility, provider transition, operational containment, or emergency disablement.</w:t>
      </w:r>
    </w:p>
    <w:p>
      <w:r>
        <w:t>Immutable control means a constitutional or mandatory safeguard that may not be weakened, disabled, or redefined through ordinary configuration or feature flags.</w:t>
      </w:r>
    </w:p>
    <w:p>
      <w:r>
        <w:t>Safe default means the documented behavior that applies when configuration is absent, invalid, expired, conflicting, unavailable, or not yet approved.</w:t>
      </w:r>
    </w:p>
    <w:p>
      <w:pPr>
        <w:pStyle w:val="Heading1"/>
      </w:pPr>
      <w:r>
        <w:t>4. Foundational Principles</w:t>
      </w:r>
    </w:p>
    <w:p>
      <w:r>
        <w:t>Constitutional canon controls over configuration. Configuration may refine permitted operations but may not amend governing truth.</w:t>
      </w:r>
    </w:p>
    <w:p>
      <w:r>
        <w:t>Missing or invalid configuration never creates expanded authority. EquineSync must fail closed, preserve existing truth, or degrade safely according to the governing domain.</w:t>
      </w:r>
    </w:p>
    <w:p>
      <w:r>
        <w:t>Configuration flexibility is subordinate to identity integrity, authorization, privacy, audit evidence, financial truth, safeguarding, horse welfare, legal obligations, and AI authority boundaries.</w:t>
      </w:r>
    </w:p>
    <w:p>
      <w:r>
        <w:t>Configuration, feature flags, and emergency controls must be attributable, reviewable, reversible where safe, and supported by durable evidence.</w:t>
      </w:r>
    </w:p>
    <w:p>
      <w:pPr>
        <w:pStyle w:val="Heading1"/>
      </w:pPr>
      <w:r>
        <w:t>5. Governance Authority and Decision Rights</w:t>
      </w:r>
    </w:p>
    <w:p>
      <w:r>
        <w:t>New configuration may be proposed by Engineering, Product, Operations, Security, Privacy, Compliance, Finance, Customer Success, Implementation, Trust and Safety, designated equine-domain authorities, or another founder-approved body.</w:t>
      </w:r>
    </w:p>
    <w:p>
      <w:r>
        <w:t>Proposal authority does not create approval, implementation, deployment, runtime, or production authority.</w:t>
      </w:r>
    </w:p>
    <w:p>
      <w:r>
        <w:t>Material configuration requires product ownership, technical architecture, security, affected-domain governance, and release approval. Founder approval is required for new constitutional-impacting configuration classes, expanded override authority, or any conversion of an immutable rule into configurable behavior.</w:t>
      </w:r>
    </w:p>
    <w:p>
      <w:pPr>
        <w:pStyle w:val="Heading1"/>
      </w:pPr>
      <w:r>
        <w:t>6. Configuration Classification and Risk Tiers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40364D"/>
          </w:tcPr>
          <w:p>
            <w:r>
              <w:rPr>
                <w:b/>
                <w:color w:val="FFFFFF"/>
                <w:sz w:val="16"/>
              </w:rPr>
              <w:t>Class</w:t>
            </w:r>
          </w:p>
        </w:tc>
        <w:tc>
          <w:tcPr>
            <w:tcW w:type="dxa" w:w="2520"/>
            <w:vAlign w:val="center"/>
            <w:shd w:fill="40364D"/>
          </w:tcPr>
          <w:p>
            <w:r>
              <w:rPr>
                <w:b/>
                <w:color w:val="FFFFFF"/>
                <w:sz w:val="16"/>
              </w:rPr>
              <w:t>Name</w:t>
            </w:r>
          </w:p>
        </w:tc>
        <w:tc>
          <w:tcPr>
            <w:tcW w:type="dxa" w:w="2520"/>
            <w:vAlign w:val="center"/>
            <w:shd w:fill="40364D"/>
          </w:tcPr>
          <w:p>
            <w:r>
              <w:rPr>
                <w:b/>
                <w:color w:val="FFFFFF"/>
                <w:sz w:val="16"/>
              </w:rPr>
              <w:t>Examples</w:t>
            </w:r>
          </w:p>
        </w:tc>
        <w:tc>
          <w:tcPr>
            <w:tcW w:type="dxa" w:w="2520"/>
            <w:vAlign w:val="center"/>
            <w:shd w:fill="40364D"/>
          </w:tcPr>
          <w:p>
            <w:r>
              <w:rPr>
                <w:b/>
                <w:color w:val="FFFFFF"/>
                <w:sz w:val="16"/>
              </w:rPr>
              <w:t>Minimum Governance</w:t>
            </w:r>
          </w:p>
        </w:tc>
      </w:tr>
      <w:tr>
        <w:tc>
          <w:tcPr>
            <w:tcW w:type="dxa" w:w="2520"/>
            <w:vAlign w:val="center"/>
          </w:tcPr>
          <w:p>
            <w:r>
              <w:rPr>
                <w:sz w:val="16"/>
              </w:rPr>
              <w:t>C0</w:t>
            </w:r>
          </w:p>
        </w:tc>
        <w:tc>
          <w:tcPr>
            <w:tcW w:type="dxa" w:w="2520"/>
            <w:vAlign w:val="center"/>
          </w:tcPr>
          <w:p>
            <w:r>
              <w:rPr>
                <w:sz w:val="16"/>
              </w:rPr>
              <w:t>Personal Preference</w:t>
            </w:r>
          </w:p>
        </w:tc>
        <w:tc>
          <w:tcPr>
            <w:tcW w:type="dxa" w:w="2520"/>
            <w:vAlign w:val="center"/>
          </w:tcPr>
          <w:p>
            <w:r>
              <w:rPr>
                <w:sz w:val="16"/>
              </w:rPr>
              <w:t>Display, accessibility, personal notification, and nonconsequential user preferences</w:t>
            </w:r>
          </w:p>
        </w:tc>
        <w:tc>
          <w:tcPr>
            <w:tcW w:type="dxa" w:w="2520"/>
            <w:vAlign w:val="center"/>
          </w:tcPr>
          <w:p>
            <w:r>
              <w:rPr>
                <w:sz w:val="16"/>
              </w:rPr>
              <w:t>Single authorized user; standard audit where appropriate</w:t>
            </w:r>
          </w:p>
        </w:tc>
      </w:tr>
      <w:tr>
        <w:tc>
          <w:tcPr>
            <w:tcW w:type="dxa" w:w="2520"/>
            <w:vAlign w:val="center"/>
          </w:tcPr>
          <w:p>
            <w:r>
              <w:rPr>
                <w:sz w:val="16"/>
              </w:rPr>
              <w:t>C1</w:t>
            </w:r>
          </w:p>
        </w:tc>
        <w:tc>
          <w:tcPr>
            <w:tcW w:type="dxa" w:w="2520"/>
            <w:vAlign w:val="center"/>
          </w:tcPr>
          <w:p>
            <w:r>
              <w:rPr>
                <w:sz w:val="16"/>
              </w:rPr>
              <w:t>Routine Operational</w:t>
            </w:r>
          </w:p>
        </w:tc>
        <w:tc>
          <w:tcPr>
            <w:tcW w:type="dxa" w:w="2520"/>
            <w:vAlign w:val="center"/>
          </w:tcPr>
          <w:p>
            <w:r>
              <w:rPr>
                <w:sz w:val="16"/>
              </w:rPr>
              <w:t>Bounded workflow, template, and routine tenant settings</w:t>
            </w:r>
          </w:p>
        </w:tc>
        <w:tc>
          <w:tcPr>
            <w:tcW w:type="dxa" w:w="2520"/>
            <w:vAlign w:val="center"/>
          </w:tcPr>
          <w:p>
            <w:r>
              <w:rPr>
                <w:sz w:val="16"/>
              </w:rPr>
              <w:t>Authorized role; ordinary validation and audit</w:t>
            </w:r>
          </w:p>
        </w:tc>
      </w:tr>
      <w:tr>
        <w:tc>
          <w:tcPr>
            <w:tcW w:type="dxa" w:w="2520"/>
            <w:vAlign w:val="center"/>
          </w:tcPr>
          <w:p>
            <w:r>
              <w:rPr>
                <w:sz w:val="16"/>
              </w:rPr>
              <w:t>C2</w:t>
            </w:r>
          </w:p>
        </w:tc>
        <w:tc>
          <w:tcPr>
            <w:tcW w:type="dxa" w:w="2520"/>
            <w:vAlign w:val="center"/>
          </w:tcPr>
          <w:p>
            <w:r>
              <w:rPr>
                <w:sz w:val="16"/>
              </w:rPr>
              <w:t>Material Operational</w:t>
            </w:r>
          </w:p>
        </w:tc>
        <w:tc>
          <w:tcPr>
            <w:tcW w:type="dxa" w:w="2520"/>
            <w:vAlign w:val="center"/>
          </w:tcPr>
          <w:p>
            <w:r>
              <w:rPr>
                <w:sz w:val="16"/>
              </w:rPr>
              <w:t>Cross-user, cross-workflow, integration, or authoritative-record settings</w:t>
            </w:r>
          </w:p>
        </w:tc>
        <w:tc>
          <w:tcPr>
            <w:tcW w:type="dxa" w:w="2520"/>
            <w:vAlign w:val="center"/>
          </w:tcPr>
          <w:p>
            <w:r>
              <w:rPr>
                <w:sz w:val="16"/>
              </w:rPr>
              <w:t>Documented justification, testing, rollback, and elevated approval</w:t>
            </w:r>
          </w:p>
        </w:tc>
      </w:tr>
      <w:tr>
        <w:tc>
          <w:tcPr>
            <w:tcW w:type="dxa" w:w="2520"/>
            <w:vAlign w:val="center"/>
          </w:tcPr>
          <w:p>
            <w:r>
              <w:rPr>
                <w:sz w:val="16"/>
              </w:rPr>
              <w:t>C3</w:t>
            </w:r>
          </w:p>
        </w:tc>
        <w:tc>
          <w:tcPr>
            <w:tcW w:type="dxa" w:w="2520"/>
            <w:vAlign w:val="center"/>
          </w:tcPr>
          <w:p>
            <w:r>
              <w:rPr>
                <w:sz w:val="16"/>
              </w:rPr>
              <w:t>High Risk</w:t>
            </w:r>
          </w:p>
        </w:tc>
        <w:tc>
          <w:tcPr>
            <w:tcW w:type="dxa" w:w="2520"/>
            <w:vAlign w:val="center"/>
          </w:tcPr>
          <w:p>
            <w:r>
              <w:rPr>
                <w:sz w:val="16"/>
              </w:rPr>
              <w:t>Security, privacy, AI, finance, safeguarding, welfare, exports, retention, provider, or jurisdiction settings</w:t>
            </w:r>
          </w:p>
        </w:tc>
        <w:tc>
          <w:tcPr>
            <w:tcW w:type="dxa" w:w="2520"/>
            <w:vAlign w:val="center"/>
          </w:tcPr>
          <w:p>
            <w:r>
              <w:rPr>
                <w:sz w:val="16"/>
              </w:rPr>
              <w:t>Dual approval, enhanced evidence, monitoring, rollback, and periodic review</w:t>
            </w:r>
          </w:p>
        </w:tc>
      </w:tr>
      <w:tr>
        <w:tc>
          <w:tcPr>
            <w:tcW w:type="dxa" w:w="2520"/>
            <w:vAlign w:val="center"/>
          </w:tcPr>
          <w:p>
            <w:r>
              <w:rPr>
                <w:sz w:val="16"/>
              </w:rPr>
              <w:t>C4</w:t>
            </w:r>
          </w:p>
        </w:tc>
        <w:tc>
          <w:tcPr>
            <w:tcW w:type="dxa" w:w="2520"/>
            <w:vAlign w:val="center"/>
          </w:tcPr>
          <w:p>
            <w:r>
              <w:rPr>
                <w:sz w:val="16"/>
              </w:rPr>
              <w:t>Constitutional or Prohibited</w:t>
            </w:r>
          </w:p>
        </w:tc>
        <w:tc>
          <w:tcPr>
            <w:tcW w:type="dxa" w:w="2520"/>
            <w:vAlign w:val="center"/>
          </w:tcPr>
          <w:p>
            <w:r>
              <w:rPr>
                <w:sz w:val="16"/>
              </w:rPr>
              <w:t>Controls that may not be changed through ordinary configuration</w:t>
            </w:r>
          </w:p>
        </w:tc>
        <w:tc>
          <w:tcPr>
            <w:tcW w:type="dxa" w:w="2520"/>
            <w:vAlign w:val="center"/>
          </w:tcPr>
          <w:p>
            <w:r>
              <w:rPr>
                <w:sz w:val="16"/>
              </w:rPr>
              <w:t>Constitutional amendment or separate founder governance required</w:t>
            </w:r>
          </w:p>
        </w:tc>
      </w:tr>
    </w:tbl>
    <w:p>
      <w:pPr>
        <w:pStyle w:val="Heading1"/>
      </w:pPr>
      <w:r>
        <w:t>7. Configuration Scope, Precedence, and Inheritance</w:t>
      </w:r>
    </w:p>
    <w:p>
      <w:r>
        <w:t>The default precedence order is: constitutional canon; jurisdictional and regulatory requirements; platform-wide approved configuration; organization; facility; barn or operational unit; role or user; horse-specific; and session, device, or temporary local preference.</w:t>
      </w:r>
    </w:p>
    <w:p>
      <w:r>
        <w:t>Lower levels may override higher levels only where the higher-level setting expressly permits override, the actor has authority, the value remains within the permitted range, dependencies remain valid, and the result does not weaken a constitutional safeguard.</w:t>
      </w:r>
    </w:p>
    <w:p>
      <w:r>
        <w:t>The most restrictive valid requirement controls unless a controlling canon expressly establishes a different rule.</w:t>
      </w:r>
    </w:p>
    <w:p>
      <w:pPr>
        <w:pStyle w:val="Heading1"/>
      </w:pPr>
      <w:r>
        <w:t>8. Immutable and Nonconfigurable Controls</w:t>
      </w:r>
    </w:p>
    <w:p>
      <w:r>
        <w:t>Ordinary configuration and feature flags may not weaken identity, authentication, authorization floors, audit generation, evidence preservation, privacy rights, encryption, key management, ownership truth, transfer continuity, financial integrity, safeguarding, minor protections, legal retention minimums, AI authority limitations, horse welfare minimums, legal holds, or mandatory regulatory controls.</w:t>
      </w:r>
    </w:p>
    <w:p>
      <w:r>
        <w:t>A user-facing capability may be hidden or degraded only where the underlying constitutional protection remains active and an approved continuity path remains available.</w:t>
      </w:r>
    </w:p>
    <w:p>
      <w:pPr>
        <w:pStyle w:val="Heading1"/>
      </w:pPr>
      <w:r>
        <w:t>9. Feature Flag Categories and Lifecycle</w:t>
      </w:r>
    </w:p>
    <w:p>
      <w:r>
        <w:t>Approved categories are Release, Operational, Emergency, Migration, Provider Transition, Experiment, Internal Test, Customer Pilot, Jurisdictional Availability, Compatibility, and Degraded-Mode flags.</w:t>
      </w:r>
    </w:p>
    <w:p>
      <w:r>
        <w:t>Every flag must have an owner, purpose, scope, risk class, creation date, intended removal date, maximum duration, review checkpoint, validation criteria, rollback plan, monitoring plan, and retirement criteria.</w:t>
      </w:r>
    </w:p>
    <w:p>
      <w:r>
        <w:t>Permanent feature flags are prohibited. Long-lived variation must be converted into governed configuration, entitlement, capability registration, or jurisdictional policy. The default maximum life of a temporary flag is 180 days unless a shorter period is required by risk.</w:t>
      </w:r>
    </w:p>
    <w:p>
      <w:pPr>
        <w:pStyle w:val="Heading1"/>
      </w:pPr>
      <w:r>
        <w:t>10. Approval, Dual Control, and Change Evidence</w:t>
      </w:r>
    </w:p>
    <w:p>
      <w:r>
        <w:t>Dual approval is required for material changes affecting security, identity, authorization, privacy, safeguarding, finance, payments, exports, retention, legal holds, AI, integrations, encryption, emergency controls, jurisdictional compliance, platform defaults, or high-risk horse-welfare functionality.</w:t>
      </w:r>
    </w:p>
    <w:p>
      <w:r>
        <w:t>Every material change must record business purpose, requesting actor, approving actors, scope, prior value, new value, effective time, justification, dependencies, validation, monitoring, rollback, and governing authority.</w:t>
      </w:r>
    </w:p>
    <w:p>
      <w:r>
        <w:t>Backdating is prohibited. Prospective scheduling is permitted only with explicit timezone, approval state, conditions, cancellation authority, and conflict detection.</w:t>
      </w:r>
    </w:p>
    <w:p>
      <w:pPr>
        <w:pStyle w:val="Heading1"/>
      </w:pPr>
      <w:r>
        <w:t>11. Rollout, Experimentation, and Validation</w:t>
      </w:r>
    </w:p>
    <w:p>
      <w:r>
        <w:t>The default rollout path is development or synthetic testing; internal validation; controlled nonproduction testing; designated pilot; limited customer rollout; expanded cohort rollout; regional or jurisdictional rollout where applicable; general availability; and flag retirement with code cleanup.</w:t>
      </w:r>
    </w:p>
    <w:p>
      <w:r>
        <w:t>A/B testing is limited to low-risk, nonconsequential matters such as layout, wording, navigation, discoverability, onboarding sequence, and optional productivity tools.</w:t>
      </w:r>
    </w:p>
    <w:p>
      <w:r>
        <w:t>Experimentation is prohibited where variation could affect horse welfare, medical or treatment truth, medication administration, emergency response, identity, authorization, ownership, custody, transfer, safeguarding, minors, privacy rights, consent, audit evidence, claims, retention, payments, accounting, tax, reconciliation, deletion, exports, legal notices, or consequential AI decisions.</w:t>
      </w:r>
    </w:p>
    <w:p>
      <w:pPr>
        <w:pStyle w:val="Heading1"/>
      </w:pPr>
      <w:r>
        <w:t>12. Emergency Controls and Safe Degradation</w:t>
      </w:r>
    </w:p>
    <w:p>
      <w:r>
        <w:t>Emergency controls must exist where appropriate for integrations, AI providers, outbound notifications, synchronization, imports, exports, payment initiation, provider APIs, newly released features, background jobs, webhooks, automated communications, migrations, and destructive processes.</w:t>
      </w:r>
    </w:p>
    <w:p>
      <w:r>
        <w:t>Emergency activation is limited to designated incident-response personnel and must capture actor, authority, timestamp, environment, scope, reason, incident reference, prior state, resulting state, expected impact, communications, validation, restoration criteria, restoration evidence, and post-incident review.</w:t>
      </w:r>
    </w:p>
    <w:p>
      <w:r>
        <w:t>Emergency operation must favor safe degradation over uncontrolled continuation.</w:t>
      </w:r>
    </w:p>
    <w:p>
      <w:pPr>
        <w:pStyle w:val="Heading1"/>
      </w:pPr>
      <w:r>
        <w:t>13. Horse Welfare and Safeguarding Boundaries</w:t>
      </w:r>
    </w:p>
    <w:p>
      <w:r>
        <w:t>Mandatory horse-welfare protections may never be fully disabled. Configuration may alter presentation, local terminology, workflow order, or noncritical reminder cadence only where minimum safety and continuity remain intact.</w:t>
      </w:r>
    </w:p>
    <w:p>
      <w:r>
        <w:t>Emergency contacts, authorized medication and treatment visibility, critical allergies and contraindications, feeding and water-care instructions, critical care schedules, horse identity, responsible-party information, emergency movement or custody information, incident documentation, and care-history preservation must remain available through an approved continuity path.</w:t>
      </w:r>
    </w:p>
    <w:p>
      <w:r>
        <w:t>Customer customization may not reduce safeguarding, minor protections, or constitutional welfare minimums.</w:t>
      </w:r>
    </w:p>
    <w:p>
      <w:pPr>
        <w:pStyle w:val="Heading1"/>
      </w:pPr>
      <w:r>
        <w:t>14. AI Configuration Governance</w:t>
      </w:r>
    </w:p>
    <w:p>
      <w:r>
        <w:t>Customers may configure approved optional AI capabilities, drafting assistance, summarization preferences, tone, language, notification timing, module availability, and confidence thresholds within governed ranges.</w:t>
      </w:r>
    </w:p>
    <w:p>
      <w:r>
        <w:t>Human review, permission inheritance, provenance, uncertainty disclosure, fact-versus-inference distinction, refusal when evidence is insufficient, privacy protection, minor safeguards, prohibition on unauthorized cross-tenant learning, provider training restrictions, non-determinative authority, and the prohibition on silent authoritative mutation are immutable.</w:t>
      </w:r>
    </w:p>
    <w:p>
      <w:r>
        <w:t>Customers may disable optional AI globally or by organization, facility, module, approved role, or workflow. Disabling AI may not disable security, privacy, audit, governance, or non-AI continuity paths.</w:t>
      </w:r>
    </w:p>
    <w:p>
      <w:pPr>
        <w:pStyle w:val="Heading1"/>
      </w:pPr>
      <w:r>
        <w:t>15. Financial Configuration Governance</w:t>
      </w:r>
    </w:p>
    <w:p>
      <w:r>
        <w:t>Permitted financial settings may include currencies, tax mappings, approved fee schedules, invoice presentation, due-date rules, lawful late-fee settings, payment-method availability, approved processor selection, deposit settings, refund workflows, accounting mappings, approval thresholds, and notifications.</w:t>
      </w:r>
    </w:p>
    <w:p>
      <w:r>
        <w:t>Configuration may not alter historical truth, ledger integrity, provenance, reconciliation, original transaction values, payment-state truth, refund evidence, dispute evidence, duplicate-payment protection, or required retention. Configurable financial values must be versioned by effective date.</w:t>
      </w:r>
    </w:p>
    <w:p>
      <w:pPr>
        <w:pStyle w:val="Heading1"/>
      </w:pPr>
      <w:r>
        <w:t>16. Jurisdictional and Regulatory Configuration</w:t>
      </w:r>
    </w:p>
    <w:p>
      <w:r>
        <w:t>Jurisdictional variation must be implemented through approved policy packages identifying jurisdiction, authority, effective date, covered features, required defaults, prohibited behavior, retention rules, notice requirements, data-location requirements, tax or payment requirements, minor protections, review date, and supersession history.</w:t>
      </w:r>
    </w:p>
    <w:p>
      <w:r>
        <w:t>Capabilities requiring legal, contractual, processor, or regulatory approval remain disabled until required evidence exists. Absence of a blocking value is not permission to enable.</w:t>
      </w:r>
    </w:p>
    <w:p>
      <w:r>
        <w:t>Mandatory legal, privacy, safeguarding, security, financial, audit, retention, welfare, and regulatory requirements cannot be opted out of by customers.</w:t>
      </w:r>
    </w:p>
    <w:p>
      <w:pPr>
        <w:pStyle w:val="Heading1"/>
      </w:pPr>
      <w:r>
        <w:t>17. Offline, Synchronization, and Device Configuration</w:t>
      </w:r>
    </w:p>
    <w:p>
      <w:r>
        <w:t>Offline-capable clients must identify the configuration version in use, detect stale or conflicting configuration, prevent local authority expansion, preserve integrity, reconcile upon reconnection, and generate audit evidence for material offline behavior.</w:t>
      </w:r>
    </w:p>
    <w:p>
      <w:r>
        <w:t>When a device cannot confirm current high-risk configuration, it must fail closed or enter an approved degraded mode. Offline operation may not silently weaken constitutional protections.</w:t>
      </w:r>
    </w:p>
    <w:p>
      <w:pPr>
        <w:pStyle w:val="Heading1"/>
      </w:pPr>
      <w:r>
        <w:t>18. External Provider and Integration Configuration</w:t>
      </w:r>
    </w:p>
    <w:p>
      <w:r>
        <w:t>Provider configuration must remain provider-neutral where required, separate provider selection from provider activation, preserve minimum-necessary disclosure, identify shared data categories, enforce retention and region constraints, support revocation, rollback, vendor exit, and prevent fallback to an unapproved provider.</w:t>
      </w:r>
    </w:p>
    <w:p>
      <w:r>
        <w:t>Configuration may reference a secret or credential identifier but may not expose secret values. Configuration authority and secret-management authority must remain separate.</w:t>
      </w:r>
    </w:p>
    <w:p>
      <w:pPr>
        <w:pStyle w:val="Heading1"/>
      </w:pPr>
      <w:r>
        <w:t>19. Metadata, Registry, Versioning, and Retirement</w:t>
      </w:r>
    </w:p>
    <w:p>
      <w:r>
        <w:t>Every material configuration item and feature flag must have a unique identifier, human-readable name, description, purpose, category, owners, allowed values, data type, default and safe default, scope, precedence, inheritance and override rules, authority, approvals, risk class, dependencies, incompatibilities, affected modules and data, jurisdictions, canon references, lifecycle dates, rollback method, validation, monitoring, audit class, secret-handling class, and retirement criteria.</w:t>
      </w:r>
    </w:p>
    <w:p>
      <w:r>
        <w:t>Material configuration must maintain immutable version history and effective intervals. Rollback may not erase evidence or restore a value that is no longer lawful, safe, compatible, or constitutionally permitted.</w:t>
      </w:r>
    </w:p>
    <w:p>
      <w:r>
        <w:t>Flags must be reviewed at least quarterly and retired when rollout, pilot, migration, provider transition, emergency, or experiment concludes.</w:t>
      </w:r>
    </w:p>
    <w:p>
      <w:pPr>
        <w:pStyle w:val="Heading1"/>
      </w:pPr>
      <w:r>
        <w:t>20. Audit, Monitoring, Enforcement, and Exceptions</w:t>
      </w:r>
    </w:p>
    <w:p>
      <w:r>
        <w:t>All material configuration and feature-flag activity must be auditable. Sensitive values must be redacted or represented by secure references or fingerprints rather than written in plaintext logs.</w:t>
      </w:r>
    </w:p>
    <w:p>
      <w:r>
        <w:t>Configuration that violates constitutional governance must be rejected. Invalid, expired, absent, corrupted, conflicting, or unsynchronized high-risk configuration must trigger safe default behavior.</w:t>
      </w:r>
    </w:p>
    <w:p>
      <w:r>
        <w:t>Exceptions require explicit governing authority, narrow scope, defined duration, evidence, monitoring, and review. No exception may silently amend constitutional canon.</w:t>
      </w:r>
    </w:p>
    <w:p>
      <w:pPr>
        <w:pStyle w:val="Heading1"/>
      </w:pPr>
      <w:r>
        <w:t>21. Cross-Canon Dependencies and Conflict Resolution</w:t>
      </w:r>
    </w:p>
    <w:p>
      <w:r>
        <w:t>This canon must be interpreted consistently with EquineSync's Identity, Agreement and Authorization, Privacy, AI, Audit, Claims, Record Stewardship, Communication and Notice, Financial Truth, External Architecture, Platform Operations and Release, Encryption and Key Management, Resilience and Recovery, Relationship, Horse Transfer and Continuity, Offline and Synchronization, Safeguarding, Minor Protection, and Horse-Welfare governance.</w:t>
      </w:r>
    </w:p>
    <w:p>
      <w:r>
        <w:t>Where conflict is identified, the higher-order controlling canon must be preserved, the conflict recorded, silent resolution avoided, and founder review requested where necessary. The affected configuration remains nonoperative until the conflict is resolved.</w:t>
      </w:r>
    </w:p>
    <w:p>
      <w:pPr>
        <w:pStyle w:val="Heading1"/>
      </w:pPr>
      <w:r>
        <w:t>22. Founder Decision Ledger FD01-FD50</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40364D"/>
          </w:tcPr>
          <w:p>
            <w:r>
              <w:rPr>
                <w:b/>
                <w:color w:val="FFFFFF"/>
                <w:sz w:val="16"/>
              </w:rPr>
              <w:t>Decision</w:t>
            </w:r>
          </w:p>
        </w:tc>
        <w:tc>
          <w:tcPr>
            <w:tcW w:type="dxa" w:w="5040"/>
            <w:vAlign w:val="center"/>
            <w:shd w:fill="40364D"/>
          </w:tcPr>
          <w:p>
            <w:r>
              <w:rPr>
                <w:b/>
                <w:color w:val="FFFFFF"/>
                <w:sz w:val="16"/>
              </w:rPr>
              <w:t>Founder-Approved Rule</w:t>
            </w:r>
          </w:p>
        </w:tc>
      </w:tr>
      <w:tr>
        <w:tc>
          <w:tcPr>
            <w:tcW w:type="dxa" w:w="5040"/>
            <w:vAlign w:val="center"/>
          </w:tcPr>
          <w:p>
            <w:r>
              <w:rPr>
                <w:sz w:val="16"/>
              </w:rPr>
              <w:t>FD01</w:t>
            </w:r>
          </w:p>
        </w:tc>
        <w:tc>
          <w:tcPr>
            <w:tcW w:type="dxa" w:w="5040"/>
            <w:vAlign w:val="center"/>
          </w:tcPr>
          <w:p>
            <w:r>
              <w:rPr>
                <w:sz w:val="16"/>
              </w:rPr>
              <w:t>Configuration includes approved runtime settings, workflow options, UI behavior, notification preferences, integration parameters, operational defaults, and business parameters, but excludes constitutional truth and legal obligations.</w:t>
            </w:r>
          </w:p>
        </w:tc>
      </w:tr>
      <w:tr>
        <w:tc>
          <w:tcPr>
            <w:tcW w:type="dxa" w:w="5040"/>
            <w:vAlign w:val="center"/>
          </w:tcPr>
          <w:p>
            <w:r>
              <w:rPr>
                <w:sz w:val="16"/>
              </w:rPr>
              <w:t>FD02</w:t>
            </w:r>
          </w:p>
        </w:tc>
        <w:tc>
          <w:tcPr>
            <w:tcW w:type="dxa" w:w="5040"/>
            <w:vAlign w:val="center"/>
          </w:tcPr>
          <w:p>
            <w:r>
              <w:rPr>
                <w:sz w:val="16"/>
              </w:rPr>
              <w:t>Ownership, identity, authorization, audit, privacy, safeguarding, financial truth, legal retention, AI boundaries, and horse-welfare protections are not ordinary configuration.</w:t>
            </w:r>
          </w:p>
        </w:tc>
      </w:tr>
      <w:tr>
        <w:tc>
          <w:tcPr>
            <w:tcW w:type="dxa" w:w="5040"/>
            <w:vAlign w:val="center"/>
          </w:tcPr>
          <w:p>
            <w:r>
              <w:rPr>
                <w:sz w:val="16"/>
              </w:rPr>
              <w:t>FD03</w:t>
            </w:r>
          </w:p>
        </w:tc>
        <w:tc>
          <w:tcPr>
            <w:tcW w:type="dxa" w:w="5040"/>
            <w:vAlign w:val="center"/>
          </w:tcPr>
          <w:p>
            <w:r>
              <w:rPr>
                <w:sz w:val="16"/>
              </w:rPr>
              <w:t>Engineering, Product, Operations, Security, Privacy, Compliance, Finance, Customer Success, Implementation, Trust and Safety, and approved equine-domain authorities may propose configuration; implementation remains separately authorized.</w:t>
            </w:r>
          </w:p>
        </w:tc>
      </w:tr>
      <w:tr>
        <w:tc>
          <w:tcPr>
            <w:tcW w:type="dxa" w:w="5040"/>
            <w:vAlign w:val="center"/>
          </w:tcPr>
          <w:p>
            <w:r>
              <w:rPr>
                <w:sz w:val="16"/>
              </w:rPr>
              <w:t>FD04</w:t>
            </w:r>
          </w:p>
        </w:tc>
        <w:tc>
          <w:tcPr>
            <w:tcW w:type="dxa" w:w="5040"/>
            <w:vAlign w:val="center"/>
          </w:tcPr>
          <w:p>
            <w:r>
              <w:rPr>
                <w:sz w:val="16"/>
              </w:rPr>
              <w:t>New configurable behavior requires risk-proportionate Product, Architecture, Security, Domain Governance, and Release approval, with founder approval for constitutional impact.</w:t>
            </w:r>
          </w:p>
        </w:tc>
      </w:tr>
      <w:tr>
        <w:tc>
          <w:tcPr>
            <w:tcW w:type="dxa" w:w="5040"/>
            <w:vAlign w:val="center"/>
          </w:tcPr>
          <w:p>
            <w:r>
              <w:rPr>
                <w:sz w:val="16"/>
              </w:rPr>
              <w:t>FD05</w:t>
            </w:r>
          </w:p>
        </w:tc>
        <w:tc>
          <w:tcPr>
            <w:tcW w:type="dxa" w:w="5040"/>
            <w:vAlign w:val="center"/>
          </w:tcPr>
          <w:p>
            <w:r>
              <w:rPr>
                <w:sz w:val="16"/>
              </w:rPr>
              <w:t>Precedence is Constitutional Canon, Jurisdiction, Platform, Organization, Facility, Barn, User or Role, Horse, then Session or Device preference.</w:t>
            </w:r>
          </w:p>
        </w:tc>
      </w:tr>
      <w:tr>
        <w:tc>
          <w:tcPr>
            <w:tcW w:type="dxa" w:w="5040"/>
            <w:vAlign w:val="center"/>
          </w:tcPr>
          <w:p>
            <w:r>
              <w:rPr>
                <w:sz w:val="16"/>
              </w:rPr>
              <w:t>FD06</w:t>
            </w:r>
          </w:p>
        </w:tc>
        <w:tc>
          <w:tcPr>
            <w:tcW w:type="dxa" w:w="5040"/>
            <w:vAlign w:val="center"/>
          </w:tcPr>
          <w:p>
            <w:r>
              <w:rPr>
                <w:sz w:val="16"/>
              </w:rPr>
              <w:t>Lower-level override is allowed only when expressly permitted and may not weaken a higher-order safeguard.</w:t>
            </w:r>
          </w:p>
        </w:tc>
      </w:tr>
      <w:tr>
        <w:tc>
          <w:tcPr>
            <w:tcW w:type="dxa" w:w="5040"/>
            <w:vAlign w:val="center"/>
          </w:tcPr>
          <w:p>
            <w:r>
              <w:rPr>
                <w:sz w:val="16"/>
              </w:rPr>
              <w:t>FD07</w:t>
            </w:r>
          </w:p>
        </w:tc>
        <w:tc>
          <w:tcPr>
            <w:tcW w:type="dxa" w:w="5040"/>
            <w:vAlign w:val="center"/>
          </w:tcPr>
          <w:p>
            <w:r>
              <w:rPr>
                <w:sz w:val="16"/>
              </w:rPr>
              <w:t>Security, privacy, audit, legal, identity, AI safety, finance, safeguarding, and welfare rules inherit automatically.</w:t>
            </w:r>
          </w:p>
        </w:tc>
      </w:tr>
      <w:tr>
        <w:tc>
          <w:tcPr>
            <w:tcW w:type="dxa" w:w="5040"/>
            <w:vAlign w:val="center"/>
          </w:tcPr>
          <w:p>
            <w:r>
              <w:rPr>
                <w:sz w:val="16"/>
              </w:rPr>
              <w:t>FD08</w:t>
            </w:r>
          </w:p>
        </w:tc>
        <w:tc>
          <w:tcPr>
            <w:tcW w:type="dxa" w:w="5040"/>
            <w:vAlign w:val="center"/>
          </w:tcPr>
          <w:p>
            <w:r>
              <w:rPr>
                <w:sz w:val="16"/>
              </w:rPr>
              <w:t>Identity, authentication, authorization floors, audit, finance, ownership, safeguarding, retention, encryption, AI authority, welfare, privacy, and mandatory compliance remain locked.</w:t>
            </w:r>
          </w:p>
        </w:tc>
      </w:tr>
      <w:tr>
        <w:tc>
          <w:tcPr>
            <w:tcW w:type="dxa" w:w="5040"/>
            <w:vAlign w:val="center"/>
          </w:tcPr>
          <w:p>
            <w:r>
              <w:rPr>
                <w:sz w:val="16"/>
              </w:rPr>
              <w:t>FD09</w:t>
            </w:r>
          </w:p>
        </w:tc>
        <w:tc>
          <w:tcPr>
            <w:tcW w:type="dxa" w:w="5040"/>
            <w:vAlign w:val="center"/>
          </w:tcPr>
          <w:p>
            <w:r>
              <w:rPr>
                <w:sz w:val="16"/>
              </w:rPr>
              <w:t>Feature flags are governed runtime controls for release, pilot, testing, migration, provider transition, compatibility, containment, and emergency disablement.</w:t>
            </w:r>
          </w:p>
        </w:tc>
      </w:tr>
      <w:tr>
        <w:tc>
          <w:tcPr>
            <w:tcW w:type="dxa" w:w="5040"/>
            <w:vAlign w:val="center"/>
          </w:tcPr>
          <w:p>
            <w:r>
              <w:rPr>
                <w:sz w:val="16"/>
              </w:rPr>
              <w:t>FD10</w:t>
            </w:r>
          </w:p>
        </w:tc>
        <w:tc>
          <w:tcPr>
            <w:tcW w:type="dxa" w:w="5040"/>
            <w:vAlign w:val="center"/>
          </w:tcPr>
          <w:p>
            <w:r>
              <w:rPr>
                <w:sz w:val="16"/>
              </w:rPr>
              <w:t>Minimum identity, audit, financial, ownership, welfare, safeguarding, privacy, legal-hold, and retention protections may not be disabled.</w:t>
            </w:r>
          </w:p>
        </w:tc>
      </w:tr>
      <w:tr>
        <w:tc>
          <w:tcPr>
            <w:tcW w:type="dxa" w:w="5040"/>
            <w:vAlign w:val="center"/>
          </w:tcPr>
          <w:p>
            <w:r>
              <w:rPr>
                <w:sz w:val="16"/>
              </w:rPr>
              <w:t>FD11</w:t>
            </w:r>
          </w:p>
        </w:tc>
        <w:tc>
          <w:tcPr>
            <w:tcW w:type="dxa" w:w="5040"/>
            <w:vAlign w:val="center"/>
          </w:tcPr>
          <w:p>
            <w:r>
              <w:rPr>
                <w:sz w:val="16"/>
              </w:rPr>
              <w:t>Approved flag categories are Release, Operational, Emergency, Migration, Provider Transition, Experiment, Internal Test, Customer Pilot, Jurisdictional Availability, Compatibility, and Degraded Mode.</w:t>
            </w:r>
          </w:p>
        </w:tc>
      </w:tr>
      <w:tr>
        <w:tc>
          <w:tcPr>
            <w:tcW w:type="dxa" w:w="5040"/>
            <w:vAlign w:val="center"/>
          </w:tcPr>
          <w:p>
            <w:r>
              <w:rPr>
                <w:sz w:val="16"/>
              </w:rPr>
              <w:t>FD12</w:t>
            </w:r>
          </w:p>
        </w:tc>
        <w:tc>
          <w:tcPr>
            <w:tcW w:type="dxa" w:w="5040"/>
            <w:vAlign w:val="center"/>
          </w:tcPr>
          <w:p>
            <w:r>
              <w:rPr>
                <w:sz w:val="16"/>
              </w:rPr>
              <w:t>Permanent feature flags are prohibited; long-lived variation must become governed configuration or entitlement.</w:t>
            </w:r>
          </w:p>
        </w:tc>
      </w:tr>
      <w:tr>
        <w:tc>
          <w:tcPr>
            <w:tcW w:type="dxa" w:w="5040"/>
            <w:vAlign w:val="center"/>
          </w:tcPr>
          <w:p>
            <w:r>
              <w:rPr>
                <w:sz w:val="16"/>
              </w:rPr>
              <w:t>FD13</w:t>
            </w:r>
          </w:p>
        </w:tc>
        <w:tc>
          <w:tcPr>
            <w:tcW w:type="dxa" w:w="5040"/>
            <w:vAlign w:val="center"/>
          </w:tcPr>
          <w:p>
            <w:r>
              <w:rPr>
                <w:sz w:val="16"/>
              </w:rPr>
              <w:t>Temporary flags default to a maximum 180-day lifetime with review and documented extension.</w:t>
            </w:r>
          </w:p>
        </w:tc>
      </w:tr>
      <w:tr>
        <w:tc>
          <w:tcPr>
            <w:tcW w:type="dxa" w:w="5040"/>
            <w:vAlign w:val="center"/>
          </w:tcPr>
          <w:p>
            <w:r>
              <w:rPr>
                <w:sz w:val="16"/>
              </w:rPr>
              <w:t>FD14</w:t>
            </w:r>
          </w:p>
        </w:tc>
        <w:tc>
          <w:tcPr>
            <w:tcW w:type="dxa" w:w="5040"/>
            <w:vAlign w:val="center"/>
          </w:tcPr>
          <w:p>
            <w:r>
              <w:rPr>
                <w:sz w:val="16"/>
              </w:rPr>
              <w:t>Mandatory horse-welfare protections may never be fully disabled.</w:t>
            </w:r>
          </w:p>
        </w:tc>
      </w:tr>
      <w:tr>
        <w:tc>
          <w:tcPr>
            <w:tcW w:type="dxa" w:w="5040"/>
            <w:vAlign w:val="center"/>
          </w:tcPr>
          <w:p>
            <w:r>
              <w:rPr>
                <w:sz w:val="16"/>
              </w:rPr>
              <w:t>FD15</w:t>
            </w:r>
          </w:p>
        </w:tc>
        <w:tc>
          <w:tcPr>
            <w:tcW w:type="dxa" w:w="5040"/>
            <w:vAlign w:val="center"/>
          </w:tcPr>
          <w:p>
            <w:r>
              <w:rPr>
                <w:sz w:val="16"/>
              </w:rPr>
              <w:t>Critical welfare and emergency continuity information must remain available during degradation or rollback.</w:t>
            </w:r>
          </w:p>
        </w:tc>
      </w:tr>
      <w:tr>
        <w:tc>
          <w:tcPr>
            <w:tcW w:type="dxa" w:w="5040"/>
            <w:vAlign w:val="center"/>
          </w:tcPr>
          <w:p>
            <w:r>
              <w:rPr>
                <w:sz w:val="16"/>
              </w:rPr>
              <w:t>FD16</w:t>
            </w:r>
          </w:p>
        </w:tc>
        <w:tc>
          <w:tcPr>
            <w:tcW w:type="dxa" w:w="5040"/>
            <w:vAlign w:val="center"/>
          </w:tcPr>
          <w:p>
            <w:r>
              <w:rPr>
                <w:sz w:val="16"/>
              </w:rPr>
              <w:t>Customer safety customization may alter presentation and noncritical workflow only, not constitutional minimums.</w:t>
            </w:r>
          </w:p>
        </w:tc>
      </w:tr>
      <w:tr>
        <w:tc>
          <w:tcPr>
            <w:tcW w:type="dxa" w:w="5040"/>
            <w:vAlign w:val="center"/>
          </w:tcPr>
          <w:p>
            <w:r>
              <w:rPr>
                <w:sz w:val="16"/>
              </w:rPr>
              <w:t>FD17</w:t>
            </w:r>
          </w:p>
        </w:tc>
        <w:tc>
          <w:tcPr>
            <w:tcW w:type="dxa" w:w="5040"/>
            <w:vAlign w:val="center"/>
          </w:tcPr>
          <w:p>
            <w:r>
              <w:rPr>
                <w:sz w:val="16"/>
              </w:rPr>
              <w:t>Optional AI assistance, drafting, summaries, tone, language, timing, module availability, and thresholds within governed ranges may be configured.</w:t>
            </w:r>
          </w:p>
        </w:tc>
      </w:tr>
      <w:tr>
        <w:tc>
          <w:tcPr>
            <w:tcW w:type="dxa" w:w="5040"/>
            <w:vAlign w:val="center"/>
          </w:tcPr>
          <w:p>
            <w:r>
              <w:rPr>
                <w:sz w:val="16"/>
              </w:rPr>
              <w:t>FD18</w:t>
            </w:r>
          </w:p>
        </w:tc>
        <w:tc>
          <w:tcPr>
            <w:tcW w:type="dxa" w:w="5040"/>
            <w:vAlign w:val="center"/>
          </w:tcPr>
          <w:p>
            <w:r>
              <w:rPr>
                <w:sz w:val="16"/>
              </w:rPr>
              <w:t>AI human review, permission inheritance, provenance, uncertainty disclosure, privacy, safeguarding, non-determinism, and non-silent mutation remain immutable.</w:t>
            </w:r>
          </w:p>
        </w:tc>
      </w:tr>
      <w:tr>
        <w:tc>
          <w:tcPr>
            <w:tcW w:type="dxa" w:w="5040"/>
            <w:vAlign w:val="center"/>
          </w:tcPr>
          <w:p>
            <w:r>
              <w:rPr>
                <w:sz w:val="16"/>
              </w:rPr>
              <w:t>FD19</w:t>
            </w:r>
          </w:p>
        </w:tc>
        <w:tc>
          <w:tcPr>
            <w:tcW w:type="dxa" w:w="5040"/>
            <w:vAlign w:val="center"/>
          </w:tcPr>
          <w:p>
            <w:r>
              <w:rPr>
                <w:sz w:val="16"/>
              </w:rPr>
              <w:t>Customers may disable optional AI without disabling governance, security, privacy, audit, or non-AI continuity.</w:t>
            </w:r>
          </w:p>
        </w:tc>
      </w:tr>
      <w:tr>
        <w:tc>
          <w:tcPr>
            <w:tcW w:type="dxa" w:w="5040"/>
            <w:vAlign w:val="center"/>
          </w:tcPr>
          <w:p>
            <w:r>
              <w:rPr>
                <w:sz w:val="16"/>
              </w:rPr>
              <w:t>FD20</w:t>
            </w:r>
          </w:p>
        </w:tc>
        <w:tc>
          <w:tcPr>
            <w:tcW w:type="dxa" w:w="5040"/>
            <w:vAlign w:val="center"/>
          </w:tcPr>
          <w:p>
            <w:r>
              <w:rPr>
                <w:sz w:val="16"/>
              </w:rPr>
              <w:t>Configuration authority is role-scoped across platform, security, organization, facility, barn, professional, owner, guardian, and user levels; titles alone do not grant authority.</w:t>
            </w:r>
          </w:p>
        </w:tc>
      </w:tr>
      <w:tr>
        <w:tc>
          <w:tcPr>
            <w:tcW w:type="dxa" w:w="5040"/>
            <w:vAlign w:val="center"/>
          </w:tcPr>
          <w:p>
            <w:r>
              <w:rPr>
                <w:sz w:val="16"/>
              </w:rPr>
              <w:t>FD21</w:t>
            </w:r>
          </w:p>
        </w:tc>
        <w:tc>
          <w:tcPr>
            <w:tcW w:type="dxa" w:w="5040"/>
            <w:vAlign w:val="center"/>
          </w:tcPr>
          <w:p>
            <w:r>
              <w:rPr>
                <w:sz w:val="16"/>
              </w:rPr>
              <w:t>Dual approval applies to high-risk configuration, with narrow emergency exceptions subject to retrospective review.</w:t>
            </w:r>
          </w:p>
        </w:tc>
      </w:tr>
      <w:tr>
        <w:tc>
          <w:tcPr>
            <w:tcW w:type="dxa" w:w="5040"/>
            <w:vAlign w:val="center"/>
          </w:tcPr>
          <w:p>
            <w:r>
              <w:rPr>
                <w:sz w:val="16"/>
              </w:rPr>
              <w:t>FD22</w:t>
            </w:r>
          </w:p>
        </w:tc>
        <w:tc>
          <w:tcPr>
            <w:tcW w:type="dxa" w:w="5040"/>
            <w:vAlign w:val="center"/>
          </w:tcPr>
          <w:p>
            <w:r>
              <w:rPr>
                <w:sz w:val="16"/>
              </w:rPr>
              <w:t>Material changes require documented purpose, scope, risk, dependencies, validation, rollback, review date, and governing authority.</w:t>
            </w:r>
          </w:p>
        </w:tc>
      </w:tr>
      <w:tr>
        <w:tc>
          <w:tcPr>
            <w:tcW w:type="dxa" w:w="5040"/>
            <w:vAlign w:val="center"/>
          </w:tcPr>
          <w:p>
            <w:r>
              <w:rPr>
                <w:sz w:val="16"/>
              </w:rPr>
              <w:t>FD23</w:t>
            </w:r>
          </w:p>
        </w:tc>
        <w:tc>
          <w:tcPr>
            <w:tcW w:type="dxa" w:w="5040"/>
            <w:vAlign w:val="center"/>
          </w:tcPr>
          <w:p>
            <w:r>
              <w:rPr>
                <w:sz w:val="16"/>
              </w:rPr>
              <w:t>Rollout follows development, internal validation, nonproduction, pilot, limited release, expanded cohorts, jurisdictional rollout, GA, and retirement.</w:t>
            </w:r>
          </w:p>
        </w:tc>
      </w:tr>
      <w:tr>
        <w:tc>
          <w:tcPr>
            <w:tcW w:type="dxa" w:w="5040"/>
            <w:vAlign w:val="center"/>
          </w:tcPr>
          <w:p>
            <w:r>
              <w:rPr>
                <w:sz w:val="16"/>
              </w:rPr>
              <w:t>FD24</w:t>
            </w:r>
          </w:p>
        </w:tc>
        <w:tc>
          <w:tcPr>
            <w:tcW w:type="dxa" w:w="5040"/>
            <w:vAlign w:val="center"/>
          </w:tcPr>
          <w:p>
            <w:r>
              <w:rPr>
                <w:sz w:val="16"/>
              </w:rPr>
              <w:t>Subscription tiers may unlock optional capabilities but may not reduce constitutional protections.</w:t>
            </w:r>
          </w:p>
        </w:tc>
      </w:tr>
      <w:tr>
        <w:tc>
          <w:tcPr>
            <w:tcW w:type="dxa" w:w="5040"/>
            <w:vAlign w:val="center"/>
          </w:tcPr>
          <w:p>
            <w:r>
              <w:rPr>
                <w:sz w:val="16"/>
              </w:rPr>
              <w:t>FD25</w:t>
            </w:r>
          </w:p>
        </w:tc>
        <w:tc>
          <w:tcPr>
            <w:tcW w:type="dxa" w:w="5040"/>
            <w:vAlign w:val="center"/>
          </w:tcPr>
          <w:p>
            <w:r>
              <w:rPr>
                <w:sz w:val="16"/>
              </w:rPr>
              <w:t>Jurisdictional rollout is permitted through approved policy packages.</w:t>
            </w:r>
          </w:p>
        </w:tc>
      </w:tr>
      <w:tr>
        <w:tc>
          <w:tcPr>
            <w:tcW w:type="dxa" w:w="5040"/>
            <w:vAlign w:val="center"/>
          </w:tcPr>
          <w:p>
            <w:r>
              <w:rPr>
                <w:sz w:val="16"/>
              </w:rPr>
              <w:t>FD26</w:t>
            </w:r>
          </w:p>
        </w:tc>
        <w:tc>
          <w:tcPr>
            <w:tcW w:type="dxa" w:w="5040"/>
            <w:vAlign w:val="center"/>
          </w:tcPr>
          <w:p>
            <w:r>
              <w:rPr>
                <w:sz w:val="16"/>
              </w:rPr>
              <w:t>Regulatory-dependent capabilities remain disabled until required approval evidence exists.</w:t>
            </w:r>
          </w:p>
        </w:tc>
      </w:tr>
      <w:tr>
        <w:tc>
          <w:tcPr>
            <w:tcW w:type="dxa" w:w="5040"/>
            <w:vAlign w:val="center"/>
          </w:tcPr>
          <w:p>
            <w:r>
              <w:rPr>
                <w:sz w:val="16"/>
              </w:rPr>
              <w:t>FD27</w:t>
            </w:r>
          </w:p>
        </w:tc>
        <w:tc>
          <w:tcPr>
            <w:tcW w:type="dxa" w:w="5040"/>
            <w:vAlign w:val="center"/>
          </w:tcPr>
          <w:p>
            <w:r>
              <w:rPr>
                <w:sz w:val="16"/>
              </w:rPr>
              <w:t>A/B testing is permitted only for low-risk, nonconsequential UX and productivity matters.</w:t>
            </w:r>
          </w:p>
        </w:tc>
      </w:tr>
      <w:tr>
        <w:tc>
          <w:tcPr>
            <w:tcW w:type="dxa" w:w="5040"/>
            <w:vAlign w:val="center"/>
          </w:tcPr>
          <w:p>
            <w:r>
              <w:rPr>
                <w:sz w:val="16"/>
              </w:rPr>
              <w:t>FD28</w:t>
            </w:r>
          </w:p>
        </w:tc>
        <w:tc>
          <w:tcPr>
            <w:tcW w:type="dxa" w:w="5040"/>
            <w:vAlign w:val="center"/>
          </w:tcPr>
          <w:p>
            <w:r>
              <w:rPr>
                <w:sz w:val="16"/>
              </w:rPr>
              <w:t>Experimentation is prohibited in consequential welfare, medical, emergency, identity, ownership, safeguarding, legal, privacy, audit, payment, retention, deletion, export, and AI domains.</w:t>
            </w:r>
          </w:p>
        </w:tc>
      </w:tr>
      <w:tr>
        <w:tc>
          <w:tcPr>
            <w:tcW w:type="dxa" w:w="5040"/>
            <w:vAlign w:val="center"/>
          </w:tcPr>
          <w:p>
            <w:r>
              <w:rPr>
                <w:sz w:val="16"/>
              </w:rPr>
              <w:t>FD29</w:t>
            </w:r>
          </w:p>
        </w:tc>
        <w:tc>
          <w:tcPr>
            <w:tcW w:type="dxa" w:w="5040"/>
            <w:vAlign w:val="center"/>
          </w:tcPr>
          <w:p>
            <w:r>
              <w:rPr>
                <w:sz w:val="16"/>
              </w:rPr>
              <w:t>Material experiments require notice where law, contract, privacy, ethics, or reasonable expectation requires it.</w:t>
            </w:r>
          </w:p>
        </w:tc>
      </w:tr>
      <w:tr>
        <w:tc>
          <w:tcPr>
            <w:tcW w:type="dxa" w:w="5040"/>
            <w:vAlign w:val="center"/>
          </w:tcPr>
          <w:p>
            <w:r>
              <w:rPr>
                <w:sz w:val="16"/>
              </w:rPr>
              <w:t>FD30</w:t>
            </w:r>
          </w:p>
        </w:tc>
        <w:tc>
          <w:tcPr>
            <w:tcW w:type="dxa" w:w="5040"/>
            <w:vAlign w:val="center"/>
          </w:tcPr>
          <w:p>
            <w:r>
              <w:rPr>
                <w:sz w:val="16"/>
              </w:rPr>
              <w:t>Emergency controls must exist for integrations, AI, notifications, synchronization, imports, exports, payments, providers, migrations, releases, and destructive processes where appropriate.</w:t>
            </w:r>
          </w:p>
        </w:tc>
      </w:tr>
      <w:tr>
        <w:tc>
          <w:tcPr>
            <w:tcW w:type="dxa" w:w="5040"/>
            <w:vAlign w:val="center"/>
          </w:tcPr>
          <w:p>
            <w:r>
              <w:rPr>
                <w:sz w:val="16"/>
              </w:rPr>
              <w:t>FD31</w:t>
            </w:r>
          </w:p>
        </w:tc>
        <w:tc>
          <w:tcPr>
            <w:tcW w:type="dxa" w:w="5040"/>
            <w:vAlign w:val="center"/>
          </w:tcPr>
          <w:p>
            <w:r>
              <w:rPr>
                <w:sz w:val="16"/>
              </w:rPr>
              <w:t>Emergency activation authority belongs only to designated incident responders within defined scope.</w:t>
            </w:r>
          </w:p>
        </w:tc>
      </w:tr>
      <w:tr>
        <w:tc>
          <w:tcPr>
            <w:tcW w:type="dxa" w:w="5040"/>
            <w:vAlign w:val="center"/>
          </w:tcPr>
          <w:p>
            <w:r>
              <w:rPr>
                <w:sz w:val="16"/>
              </w:rPr>
              <w:t>FD32</w:t>
            </w:r>
          </w:p>
        </w:tc>
        <w:tc>
          <w:tcPr>
            <w:tcW w:type="dxa" w:w="5040"/>
            <w:vAlign w:val="center"/>
          </w:tcPr>
          <w:p>
            <w:r>
              <w:rPr>
                <w:sz w:val="16"/>
              </w:rPr>
              <w:t>Emergency actions require immutable evidence of actor, reason, scope, state change, impact, validation, restoration, and review.</w:t>
            </w:r>
          </w:p>
        </w:tc>
      </w:tr>
      <w:tr>
        <w:tc>
          <w:tcPr>
            <w:tcW w:type="dxa" w:w="5040"/>
            <w:vAlign w:val="center"/>
          </w:tcPr>
          <w:p>
            <w:r>
              <w:rPr>
                <w:sz w:val="16"/>
              </w:rPr>
              <w:t>FD33</w:t>
            </w:r>
          </w:p>
        </w:tc>
        <w:tc>
          <w:tcPr>
            <w:tcW w:type="dxa" w:w="5040"/>
            <w:vAlign w:val="center"/>
          </w:tcPr>
          <w:p>
            <w:r>
              <w:rPr>
                <w:sz w:val="16"/>
              </w:rPr>
              <w:t>All material configuration changes must record before and after values, actor, authority, approvals, scope, timing, justification, and validation.</w:t>
            </w:r>
          </w:p>
        </w:tc>
      </w:tr>
      <w:tr>
        <w:tc>
          <w:tcPr>
            <w:tcW w:type="dxa" w:w="5040"/>
            <w:vAlign w:val="center"/>
          </w:tcPr>
          <w:p>
            <w:r>
              <w:rPr>
                <w:sz w:val="16"/>
              </w:rPr>
              <w:t>FD34</w:t>
            </w:r>
          </w:p>
        </w:tc>
        <w:tc>
          <w:tcPr>
            <w:tcW w:type="dxa" w:w="5040"/>
            <w:vAlign w:val="center"/>
          </w:tcPr>
          <w:p>
            <w:r>
              <w:rPr>
                <w:sz w:val="16"/>
              </w:rPr>
              <w:t>Backdating is prohibited; corrections must be prospective and explicitly linked to the error.</w:t>
            </w:r>
          </w:p>
        </w:tc>
      </w:tr>
      <w:tr>
        <w:tc>
          <w:tcPr>
            <w:tcW w:type="dxa" w:w="5040"/>
            <w:vAlign w:val="center"/>
          </w:tcPr>
          <w:p>
            <w:r>
              <w:rPr>
                <w:sz w:val="16"/>
              </w:rPr>
              <w:t>FD35</w:t>
            </w:r>
          </w:p>
        </w:tc>
        <w:tc>
          <w:tcPr>
            <w:tcW w:type="dxa" w:w="5040"/>
            <w:vAlign w:val="center"/>
          </w:tcPr>
          <w:p>
            <w:r>
              <w:rPr>
                <w:sz w:val="16"/>
              </w:rPr>
              <w:t>Prospective scheduling is permitted with timezone, approval, cancellation, rollback, and conflict controls.</w:t>
            </w:r>
          </w:p>
        </w:tc>
      </w:tr>
      <w:tr>
        <w:tc>
          <w:tcPr>
            <w:tcW w:type="dxa" w:w="5040"/>
            <w:vAlign w:val="center"/>
          </w:tcPr>
          <w:p>
            <w:r>
              <w:rPr>
                <w:sz w:val="16"/>
              </w:rPr>
              <w:t>FD36</w:t>
            </w:r>
          </w:p>
        </w:tc>
        <w:tc>
          <w:tcPr>
            <w:tcW w:type="dxa" w:w="5040"/>
            <w:vAlign w:val="center"/>
          </w:tcPr>
          <w:p>
            <w:r>
              <w:rPr>
                <w:sz w:val="16"/>
              </w:rPr>
              <w:t>Material configuration requires version history, effective intervals, rollback eligibility, and restoration evidence.</w:t>
            </w:r>
          </w:p>
        </w:tc>
      </w:tr>
      <w:tr>
        <w:tc>
          <w:tcPr>
            <w:tcW w:type="dxa" w:w="5040"/>
            <w:vAlign w:val="center"/>
          </w:tcPr>
          <w:p>
            <w:r>
              <w:rPr>
                <w:sz w:val="16"/>
              </w:rPr>
              <w:t>FD37</w:t>
            </w:r>
          </w:p>
        </w:tc>
        <w:tc>
          <w:tcPr>
            <w:tcW w:type="dxa" w:w="5040"/>
            <w:vAlign w:val="center"/>
          </w:tcPr>
          <w:p>
            <w:r>
              <w:rPr>
                <w:sz w:val="16"/>
              </w:rPr>
              <w:t>Tenants may create bounded configuration within approved schemas, but not arbitrary executable behavior or hidden authorization paths.</w:t>
            </w:r>
          </w:p>
        </w:tc>
      </w:tr>
      <w:tr>
        <w:tc>
          <w:tcPr>
            <w:tcW w:type="dxa" w:w="5040"/>
            <w:vAlign w:val="center"/>
          </w:tcPr>
          <w:p>
            <w:r>
              <w:rPr>
                <w:sz w:val="16"/>
              </w:rPr>
              <w:t>FD38</w:t>
            </w:r>
          </w:p>
        </w:tc>
        <w:tc>
          <w:tcPr>
            <w:tcW w:type="dxa" w:w="5040"/>
            <w:vAlign w:val="center"/>
          </w:tcPr>
          <w:p>
            <w:r>
              <w:rPr>
                <w:sz w:val="16"/>
              </w:rPr>
              <w:t>Constitutional controls remain globally governed; tenants may add protection but not reduce the global minimum.</w:t>
            </w:r>
          </w:p>
        </w:tc>
      </w:tr>
      <w:tr>
        <w:tc>
          <w:tcPr>
            <w:tcW w:type="dxa" w:w="5040"/>
            <w:vAlign w:val="center"/>
          </w:tcPr>
          <w:p>
            <w:r>
              <w:rPr>
                <w:sz w:val="16"/>
              </w:rPr>
              <w:t>FD39</w:t>
            </w:r>
          </w:p>
        </w:tc>
        <w:tc>
          <w:tcPr>
            <w:tcW w:type="dxa" w:w="5040"/>
            <w:vAlign w:val="center"/>
          </w:tcPr>
          <w:p>
            <w:r>
              <w:rPr>
                <w:sz w:val="16"/>
              </w:rPr>
              <w:t>Branding, terminology, workflows, notifications, calendars, lessons, boarding, layouts, task templates, care templates, approved services, integrations, and invoice presentation may vary within defined bounds.</w:t>
            </w:r>
          </w:p>
        </w:tc>
      </w:tr>
      <w:tr>
        <w:tc>
          <w:tcPr>
            <w:tcW w:type="dxa" w:w="5040"/>
            <w:vAlign w:val="center"/>
          </w:tcPr>
          <w:p>
            <w:r>
              <w:rPr>
                <w:sz w:val="16"/>
              </w:rPr>
              <w:t>FD40</w:t>
            </w:r>
          </w:p>
        </w:tc>
        <w:tc>
          <w:tcPr>
            <w:tcW w:type="dxa" w:w="5040"/>
            <w:vAlign w:val="center"/>
          </w:tcPr>
          <w:p>
            <w:r>
              <w:rPr>
                <w:sz w:val="16"/>
              </w:rPr>
              <w:t>Financial settings may include currencies, taxes, fees, invoice presentation, payment methods, approved processors, deposits, refunds, mappings, thresholds, and notices.</w:t>
            </w:r>
          </w:p>
        </w:tc>
      </w:tr>
      <w:tr>
        <w:tc>
          <w:tcPr>
            <w:tcW w:type="dxa" w:w="5040"/>
            <w:vAlign w:val="center"/>
          </w:tcPr>
          <w:p>
            <w:r>
              <w:rPr>
                <w:sz w:val="16"/>
              </w:rPr>
              <w:t>FD41</w:t>
            </w:r>
          </w:p>
        </w:tc>
        <w:tc>
          <w:tcPr>
            <w:tcW w:type="dxa" w:w="5040"/>
            <w:vAlign w:val="center"/>
          </w:tcPr>
          <w:p>
            <w:r>
              <w:rPr>
                <w:sz w:val="16"/>
              </w:rPr>
              <w:t>Ledger integrity, reconciliation, provenance, transaction history, payment-state truth, dispute evidence, duplicate protection, and financial retention remain immutable.</w:t>
            </w:r>
          </w:p>
        </w:tc>
      </w:tr>
      <w:tr>
        <w:tc>
          <w:tcPr>
            <w:tcW w:type="dxa" w:w="5040"/>
            <w:vAlign w:val="center"/>
          </w:tcPr>
          <w:p>
            <w:r>
              <w:rPr>
                <w:sz w:val="16"/>
              </w:rPr>
              <w:t>FD42</w:t>
            </w:r>
          </w:p>
        </w:tc>
        <w:tc>
          <w:tcPr>
            <w:tcW w:type="dxa" w:w="5040"/>
            <w:vAlign w:val="center"/>
          </w:tcPr>
          <w:p>
            <w:r>
              <w:rPr>
                <w:sz w:val="16"/>
              </w:rPr>
              <w:t>Regulatory variation must use approved jurisdictional policy packages.</w:t>
            </w:r>
          </w:p>
        </w:tc>
      </w:tr>
      <w:tr>
        <w:tc>
          <w:tcPr>
            <w:tcW w:type="dxa" w:w="5040"/>
            <w:vAlign w:val="center"/>
          </w:tcPr>
          <w:p>
            <w:r>
              <w:rPr>
                <w:sz w:val="16"/>
              </w:rPr>
              <w:t>FD43</w:t>
            </w:r>
          </w:p>
        </w:tc>
        <w:tc>
          <w:tcPr>
            <w:tcW w:type="dxa" w:w="5040"/>
            <w:vAlign w:val="center"/>
          </w:tcPr>
          <w:p>
            <w:r>
              <w:rPr>
                <w:sz w:val="16"/>
              </w:rPr>
              <w:t>Legal defaults may be updated only through qualified review, documented authority, impact analysis, notice planning, release approval, and evidence preservation.</w:t>
            </w:r>
          </w:p>
        </w:tc>
      </w:tr>
      <w:tr>
        <w:tc>
          <w:tcPr>
            <w:tcW w:type="dxa" w:w="5040"/>
            <w:vAlign w:val="center"/>
          </w:tcPr>
          <w:p>
            <w:r>
              <w:rPr>
                <w:sz w:val="16"/>
              </w:rPr>
              <w:t>FD44</w:t>
            </w:r>
          </w:p>
        </w:tc>
        <w:tc>
          <w:tcPr>
            <w:tcW w:type="dxa" w:w="5040"/>
            <w:vAlign w:val="center"/>
          </w:tcPr>
          <w:p>
            <w:r>
              <w:rPr>
                <w:sz w:val="16"/>
              </w:rPr>
              <w:t>Customers may not opt out of mandatory law, privacy, safeguarding, security, finance, audit, retention, welfare, or notice obligations.</w:t>
            </w:r>
          </w:p>
        </w:tc>
      </w:tr>
      <w:tr>
        <w:tc>
          <w:tcPr>
            <w:tcW w:type="dxa" w:w="5040"/>
            <w:vAlign w:val="center"/>
          </w:tcPr>
          <w:p>
            <w:r>
              <w:rPr>
                <w:sz w:val="16"/>
              </w:rPr>
              <w:t>FD45</w:t>
            </w:r>
          </w:p>
        </w:tc>
        <w:tc>
          <w:tcPr>
            <w:tcW w:type="dxa" w:w="5040"/>
            <w:vAlign w:val="center"/>
          </w:tcPr>
          <w:p>
            <w:r>
              <w:rPr>
                <w:sz w:val="16"/>
              </w:rPr>
              <w:t>Deprecation requires notice, replacement path, migration guidance, compatibility period, final removal date, preservation plan, and verification.</w:t>
            </w:r>
          </w:p>
        </w:tc>
      </w:tr>
      <w:tr>
        <w:tc>
          <w:tcPr>
            <w:tcW w:type="dxa" w:w="5040"/>
            <w:vAlign w:val="center"/>
          </w:tcPr>
          <w:p>
            <w:r>
              <w:rPr>
                <w:sz w:val="16"/>
              </w:rPr>
              <w:t>FD46</w:t>
            </w:r>
          </w:p>
        </w:tc>
        <w:tc>
          <w:tcPr>
            <w:tcW w:type="dxa" w:w="5040"/>
            <w:vAlign w:val="center"/>
          </w:tcPr>
          <w:p>
            <w:r>
              <w:rPr>
                <w:sz w:val="16"/>
              </w:rPr>
              <w:t>Every configuration domain requires accountable business, technical, governance, operational, and escalation ownership.</w:t>
            </w:r>
          </w:p>
        </w:tc>
      </w:tr>
      <w:tr>
        <w:tc>
          <w:tcPr>
            <w:tcW w:type="dxa" w:w="5040"/>
            <w:vAlign w:val="center"/>
          </w:tcPr>
          <w:p>
            <w:r>
              <w:rPr>
                <w:sz w:val="16"/>
              </w:rPr>
              <w:t>FD47</w:t>
            </w:r>
          </w:p>
        </w:tc>
        <w:tc>
          <w:tcPr>
            <w:tcW w:type="dxa" w:w="5040"/>
            <w:vAlign w:val="center"/>
          </w:tcPr>
          <w:p>
            <w:r>
              <w:rPr>
                <w:sz w:val="16"/>
              </w:rPr>
              <w:t>Every material configuration item requires complete governance metadata.</w:t>
            </w:r>
          </w:p>
        </w:tc>
      </w:tr>
      <w:tr>
        <w:tc>
          <w:tcPr>
            <w:tcW w:type="dxa" w:w="5040"/>
            <w:vAlign w:val="center"/>
          </w:tcPr>
          <w:p>
            <w:r>
              <w:rPr>
                <w:sz w:val="16"/>
              </w:rPr>
              <w:t>FD48</w:t>
            </w:r>
          </w:p>
        </w:tc>
        <w:tc>
          <w:tcPr>
            <w:tcW w:type="dxa" w:w="5040"/>
            <w:vAlign w:val="center"/>
          </w:tcPr>
          <w:p>
            <w:r>
              <w:rPr>
                <w:sz w:val="16"/>
              </w:rPr>
              <w:t>Flags must be reviewed quarterly and retired with code, test, documentation, dependency, audit, and tenant-cleanup confirmation.</w:t>
            </w:r>
          </w:p>
        </w:tc>
      </w:tr>
      <w:tr>
        <w:tc>
          <w:tcPr>
            <w:tcW w:type="dxa" w:w="5040"/>
            <w:vAlign w:val="center"/>
          </w:tcPr>
          <w:p>
            <w:r>
              <w:rPr>
                <w:sz w:val="16"/>
              </w:rPr>
              <w:t>FD49</w:t>
            </w:r>
          </w:p>
        </w:tc>
        <w:tc>
          <w:tcPr>
            <w:tcW w:type="dxa" w:w="5040"/>
            <w:vAlign w:val="center"/>
          </w:tcPr>
          <w:p>
            <w:r>
              <w:rPr>
                <w:sz w:val="16"/>
              </w:rPr>
              <w:t>Rollout success must consider technical health, integrity, authorization, audit, security, privacy, finance, support, adoption, accessibility, safeguarding, and horse-welfare impact.</w:t>
            </w:r>
          </w:p>
        </w:tc>
      </w:tr>
      <w:tr>
        <w:tc>
          <w:tcPr>
            <w:tcW w:type="dxa" w:w="5040"/>
            <w:vAlign w:val="center"/>
          </w:tcPr>
          <w:p>
            <w:r>
              <w:rPr>
                <w:sz w:val="16"/>
              </w:rPr>
              <w:t>FD50</w:t>
            </w:r>
          </w:p>
        </w:tc>
        <w:tc>
          <w:tcPr>
            <w:tcW w:type="dxa" w:w="5040"/>
            <w:vAlign w:val="center"/>
          </w:tcPr>
          <w:p>
            <w:r>
              <w:rPr>
                <w:sz w:val="16"/>
              </w:rPr>
              <w:t>Founder approval is required for new constitutional-impacting domains or flag categories, expanded override or activation authority, immutable-to-configurable conversion, customer-authored executable configuration, cross-tenant inheritance, automated AI configuration authority, or materially changed emergency authority.</w:t>
            </w:r>
          </w:p>
        </w:tc>
      </w:tr>
    </w:tbl>
    <w:p>
      <w:pPr>
        <w:pStyle w:val="Heading1"/>
      </w:pPr>
      <w:r>
        <w:t>23. Implementation Boundary</w:t>
      </w:r>
    </w:p>
    <w:p>
      <w:r>
        <w:t>Founder approval of FD01-FD50 and preparation of this controlled canon draft do not authorize configuration mutation, feature-flag creation or activation, tenant-setting changes, schema mutation, migration, secrets modification, provider activation, AI activation, financial-rule changes, live experimentation, production access, deployment, runtime implementation, public trust claims, or public launch.</w:t>
      </w:r>
    </w:p>
    <w:p>
      <w:r>
        <w:t>Any implementation, migration, activation, production, or public-release authority requires a separate founder directive and the applicable readiness, security, implementation, release, and production gates.</w:t>
      </w:r>
    </w:p>
    <w:p>
      <w:pPr>
        <w:pStyle w:val="Heading1"/>
      </w:pPr>
      <w:r>
        <w:t>24. Adoption, Lock, and Amendment Status</w:t>
      </w:r>
    </w:p>
    <w:p>
      <w:r>
        <w:t>Founder Decision Status: APPROVED AS RECOMMENDED.</w:t>
      </w:r>
    </w:p>
    <w:p>
      <w:r>
        <w:t>Document Status: FOUNDER-APPROVED CONTROLLING SUBSTANTIVE CANON READY FOR FOUNDER REVIEW.</w:t>
      </w:r>
    </w:p>
    <w:p>
      <w:r>
        <w:t>Canon Adoption: NOT AUTHORIZED BY THIS DOCUMENT.</w:t>
      </w:r>
    </w:p>
    <w:p>
      <w:r>
        <w:t>Canon Lock: NOT AUTHORIZED BY THIS DOCUMENT.</w:t>
      </w:r>
    </w:p>
    <w:p>
      <w:r>
        <w:t>Implementation Authority: FALSE.</w:t>
      </w:r>
    </w:p>
    <w:p>
      <w:r>
        <w:t>Production Authority: FALSE.</w:t>
      </w:r>
    </w:p>
    <w:p>
      <w:r>
        <w:t>Public Launch Authority: FALSE.</w:t>
      </w:r>
    </w:p>
    <w:p>
      <w:r>
        <w:t>Amendment of constitutional boundaries or founder decisions requires a separate governed founder action.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40364D"/>
          </w:tcPr>
          <w:p>
            <w:r>
              <w:rPr>
                <w:b/>
                <w:color w:val="FFFFFF"/>
                <w:sz w:val="16"/>
              </w:rPr>
              <w:t>Founder Disposition</w:t>
            </w:r>
          </w:p>
        </w:tc>
        <w:tc>
          <w:tcPr>
            <w:tcW w:type="dxa" w:w="5040"/>
            <w:vAlign w:val="center"/>
            <w:shd w:fill="40364D"/>
          </w:tcPr>
          <w:p>
            <w:r>
              <w:rPr>
                <w:b/>
                <w:color w:val="FFFFFF"/>
                <w:sz w:val="16"/>
              </w:rPr>
              <w:t>APPROVED AS RECOMMENDED</w:t>
            </w:r>
          </w:p>
        </w:tc>
      </w:tr>
      <w:tr>
        <w:tc>
          <w:tcPr>
            <w:tcW w:type="dxa" w:w="5040"/>
            <w:vAlign w:val="center"/>
          </w:tcPr>
          <w:p>
            <w:r>
              <w:rPr>
                <w:sz w:val="16"/>
              </w:rPr>
              <w:t>Controlled Drafting Authority</w:t>
            </w:r>
          </w:p>
        </w:tc>
        <w:tc>
          <w:tcPr>
            <w:tcW w:type="dxa" w:w="5040"/>
            <w:vAlign w:val="center"/>
          </w:tcPr>
          <w:p>
            <w:r>
              <w:rPr>
                <w:sz w:val="16"/>
              </w:rPr>
              <w:t>AUTHORIZED</w:t>
            </w:r>
          </w:p>
        </w:tc>
      </w:tr>
      <w:tr>
        <w:tc>
          <w:tcPr>
            <w:tcW w:type="dxa" w:w="5040"/>
            <w:vAlign w:val="center"/>
          </w:tcPr>
          <w:p>
            <w:r>
              <w:rPr>
                <w:sz w:val="16"/>
              </w:rPr>
              <w:t>Implementation Authority</w:t>
            </w:r>
          </w:p>
        </w:tc>
        <w:tc>
          <w:tcPr>
            <w:tcW w:type="dxa" w:w="5040"/>
            <w:vAlign w:val="center"/>
          </w:tcPr>
          <w:p>
            <w:r>
              <w:rPr>
                <w:sz w:val="16"/>
              </w:rPr>
              <w:t>NOT AUTHORIZED</w:t>
            </w:r>
          </w:p>
        </w:tc>
      </w:tr>
      <w:tr>
        <w:tc>
          <w:tcPr>
            <w:tcW w:type="dxa" w:w="5040"/>
            <w:vAlign w:val="center"/>
          </w:tcPr>
          <w:p>
            <w:r>
              <w:rPr>
                <w:sz w:val="16"/>
              </w:rPr>
              <w:t>Production Authority</w:t>
            </w:r>
          </w:p>
        </w:tc>
        <w:tc>
          <w:tcPr>
            <w:tcW w:type="dxa" w:w="5040"/>
            <w:vAlign w:val="center"/>
          </w:tcPr>
          <w:p>
            <w:r>
              <w:rPr>
                <w:sz w:val="16"/>
              </w:rPr>
              <w:t>NOT AUTHORIZED</w:t>
            </w:r>
          </w:p>
        </w:tc>
      </w:tr>
    </w:tbl>
    <w:sectPr w:rsidR="00FC693F" w:rsidRPr="0006063C" w:rsidSect="00034616">
      <w:headerReference w:type="default" r:id="rId9"/>
      <w:footerReference w:type="default" r:id="rId10"/>
      <w:pgSz w:w="12240" w:h="15840"/>
      <w:pgMar w:top="1008" w:right="1080" w:bottom="1008" w:left="1080"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F6080"/>
        <w:sz w:val="16"/>
      </w:rPr>
      <w:t>EQUINESYNC  |  FOUNDER-APPROVED CONSTITUTIONAL SOURCE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372F49"/>
      <w:sz w:val="4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372F49"/>
      <w:sz w:val="3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372F49"/>
      <w:sz w:val="32"/>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Aptos Display" w:hAnsi="Aptos Display"/>
      <w:b/>
      <w:bCs/>
      <w:i/>
      <w:iCs/>
      <w:color w:val="372F49"/>
      <w:sz w:val="28"/>
    </w:rPr>
  </w:style>
  <w:style w:type="paragraph" w:styleId="Heading5">
    <w:name w:val="heading 5"/>
    <w:basedOn w:val="Normal"/>
    <w:next w:val="Normal"/>
    <w:link w:val="Heading5Char"/>
    <w:uiPriority w:val="9"/>
    <w:semiHidden/>
    <w:unhideWhenUsed/>
    <w:qFormat/>
    <w:rsid w:val="00FC693F"/>
    <w:pPr>
      <w:keepNext/>
      <w:keepLines/>
      <w:spacing w:before="160" w:after="80"/>
      <w:outlineLvl w:val="4"/>
    </w:pPr>
    <w:rPr>
      <w:rFonts w:asciiTheme="majorHAnsi" w:eastAsiaTheme="majorEastAsia" w:hAnsiTheme="majorHAnsi" w:cstheme="majorBidi" w:ascii="Aptos Display" w:hAnsi="Aptos Display"/>
      <w:color w:val="372F49"/>
      <w:sz w:val="24"/>
    </w:rPr>
  </w:style>
  <w:style w:type="paragraph" w:styleId="Heading6">
    <w:name w:val="heading 6"/>
    <w:basedOn w:val="Normal"/>
    <w:next w:val="Normal"/>
    <w:link w:val="Heading6Char"/>
    <w:uiPriority w:val="9"/>
    <w:semiHidden/>
    <w:unhideWhenUsed/>
    <w:qFormat/>
    <w:rsid w:val="00FC693F"/>
    <w:pPr>
      <w:keepNext/>
      <w:keepLines/>
      <w:spacing w:before="160" w:after="80"/>
      <w:outlineLvl w:val="5"/>
    </w:pPr>
    <w:rPr>
      <w:rFonts w:asciiTheme="majorHAnsi" w:eastAsiaTheme="majorEastAsia" w:hAnsiTheme="majorHAnsi" w:cstheme="majorBidi" w:ascii="Aptos Display" w:hAnsi="Aptos Display"/>
      <w:i/>
      <w:iCs/>
      <w:color w:val="372F49"/>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Configuration and Feature Flag Governance Model</dc:title>
  <dc:subject>Founder-approved constitutional source; adoption and lock remain separately gated</dc:subject>
  <dc:creator>EquineSync</dc:creator>
  <cp:keywords/>
  <dc:description>generated by python-docx</dc:description>
  <cp:lastModifiedBy/>
  <cp:revision>1</cp:revision>
  <dcterms:created xsi:type="dcterms:W3CDTF">2013-12-23T23:15:00Z</dcterms:created>
  <dcterms:modified xsi:type="dcterms:W3CDTF">2013-12-23T23:15:00Z</dcterms:modified>
  <cp:category/>
</cp:coreProperties>
</file>