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2232"/>
        <w:gridCol w:w="7704"/>
      </w:tblGrid>
      <w:tr>
        <w:trPr>
          <w:trHeight w:val="13320" w:hRule="exact"/>
        </w:trPr>
        <w:tc>
          <w:tcPr>
            <w:tcW w:type="dxa" w:w="5616"/>
            <w:vAlign w:val="center"/>
            <w:shd w:fill="232734"/>
            <w:tcMar>
              <w:top w:w="180" w:type="dxa"/>
              <w:start w:w="130" w:type="dxa"/>
              <w:bottom w:w="180" w:type="dxa"/>
              <w:end w:w="130" w:type="dxa"/>
            </w:tcMar>
            <w:tcBorders>
              <w:top w:val="nil"/>
              <w:left w:val="nil"/>
              <w:bottom w:val="nil"/>
              <w:right w:val="nil"/>
            </w:tcBorders>
          </w:tcPr>
          <w:p>
            <w:pPr>
              <w:jc w:val="center"/>
            </w:pPr>
            <w:r>
              <w:rPr>
                <w:rFonts w:ascii="Liberation Serif" w:hAnsi="Liberation Serif"/>
                <w:b/>
                <w:color w:val="FFFFFF"/>
                <w:sz w:val="32"/>
              </w:rPr>
              <w:t>EQUINESYNC</w:t>
            </w:r>
          </w:p>
          <w:p>
            <w:pPr>
              <w:jc w:val="center"/>
            </w:pPr>
            <w:r>
              <w:rPr>
                <w:rFonts w:ascii="Liberation Sans" w:hAnsi="Liberation Sans"/>
                <w:b/>
                <w:color w:val="B8AECF"/>
                <w:sz w:val="20"/>
              </w:rPr>
              <w:t>FOUNDATIONAL</w:t>
              <w:br/>
              <w:t>CANON</w:t>
            </w:r>
          </w:p>
          <w:p>
            <w:pPr>
              <w:jc w:val="center"/>
            </w:pPr>
            <w:r>
              <w:rPr>
                <w:rFonts w:ascii="Liberation Sans" w:hAnsi="Liberation Sans"/>
                <w:b/>
                <w:color w:val="FFFFFF"/>
                <w:sz w:val="19"/>
              </w:rPr>
              <w:t>VENDOR SECURITY</w:t>
            </w:r>
          </w:p>
          <w:p>
            <w:pPr>
              <w:jc w:val="center"/>
            </w:pPr>
            <w:r>
              <w:rPr>
                <w:rFonts w:ascii="Liberation Serif" w:hAnsi="Liberation Serif"/>
                <w:i/>
                <w:color w:val="FFFFFF"/>
                <w:sz w:val="25"/>
              </w:rPr>
              <w:t>Every Horse.</w:t>
              <w:br/>
              <w:t>Every Task.</w:t>
              <w:br/>
              <w:t>In Sync.</w:t>
            </w:r>
          </w:p>
        </w:tc>
        <w:tc>
          <w:tcPr>
            <w:tcW w:type="dxa" w:w="5616"/>
            <w:vAlign w:val="center"/>
            <w:shd w:fill="F8F9FB"/>
            <w:tcMar>
              <w:top w:w="280" w:type="dxa"/>
              <w:start w:w="260" w:type="dxa"/>
              <w:bottom w:w="260" w:type="dxa"/>
              <w:end w:w="260" w:type="dxa"/>
            </w:tcMar>
            <w:tcBorders>
              <w:top w:val="nil"/>
              <w:left w:val="nil"/>
              <w:bottom w:val="nil"/>
              <w:right w:val="nil"/>
            </w:tcBorders>
          </w:tcPr>
          <w:p>
            <w:r>
              <w:rPr>
                <w:rFonts w:ascii="Liberation Sans" w:hAnsi="Liberation Sans"/>
                <w:b/>
                <w:color w:val="2E3550"/>
                <w:sz w:val="19"/>
              </w:rPr>
              <w:t>TIER 3 FOUNDATIONAL DOMAIN CANON</w:t>
            </w:r>
          </w:p>
          <w:p>
            <w:r>
              <w:rPr>
                <w:rFonts w:ascii="Liberation Sans" w:hAnsi="Liberation Sans"/>
                <w:b/>
                <w:color w:val="5D6475"/>
                <w:sz w:val="19"/>
              </w:rPr>
              <w:t>CONSTITUTIONAL GOVERNANCE</w:t>
            </w:r>
          </w:p>
          <w:p>
            <w:pPr>
              <w:spacing w:before="1100"/>
            </w:pPr>
            <w:r>
              <w:rPr>
                <w:rFonts w:ascii="Liberation Serif" w:hAnsi="Liberation Serif"/>
                <w:b/>
                <w:color w:val="232734"/>
                <w:sz w:val="62"/>
              </w:rPr>
              <w:t>Master Vendor Security</w:t>
              <w:br/>
              <w:t>and Supply Chain Model</w:t>
            </w:r>
          </w:p>
          <w:p>
            <w:pPr>
              <w:spacing w:before="400"/>
            </w:pPr>
            <w:r>
              <w:rPr>
                <w:rFonts w:ascii="Liberation Sans" w:hAnsi="Liberation Sans"/>
                <w:b/>
                <w:color w:val="2E3550"/>
                <w:sz w:val="26"/>
              </w:rPr>
              <w:t>VERSION 2.0</w:t>
            </w:r>
          </w:p>
          <w:tbl>
            <w:tblPr>
              <w:tblW w:type="auto" w:w="0"/>
              <w:tblLayout w:type="fixed"/>
              <w:tblLook w:firstColumn="1" w:firstRow="1" w:lastColumn="0" w:lastRow="0" w:noHBand="0" w:noVBand="1" w:val="04A0"/>
            </w:tblPr>
            <w:tblGrid>
              <w:gridCol w:w="2088"/>
              <w:gridCol w:w="1152"/>
              <w:gridCol w:w="792"/>
            </w:tblGrid>
            <w:tr>
              <w:tc>
                <w:tcPr>
                  <w:tcW w:type="dxa" w:w="1872"/>
                  <w:shd w:fill="2E3550"/>
                  <w:tcMar>
                    <w:top w:w="25" w:type="dxa"/>
                    <w:start w:w="0" w:type="dxa"/>
                    <w:bottom w:w="25" w:type="dxa"/>
                    <w:end w:w="0" w:type="dxa"/>
                  </w:tcMar>
                  <w:tcBorders>
                    <w:top w:val="nil"/>
                    <w:left w:val="nil"/>
                    <w:bottom w:val="nil"/>
                    <w:right w:val="nil"/>
                  </w:tcBorders>
                </w:tcPr>
                <w:p/>
              </w:tc>
              <w:tc>
                <w:tcPr>
                  <w:tcW w:type="dxa" w:w="1872"/>
                  <w:shd w:fill="B8AECF"/>
                  <w:tcMar>
                    <w:top w:w="25" w:type="dxa"/>
                    <w:start w:w="0" w:type="dxa"/>
                    <w:bottom w:w="25" w:type="dxa"/>
                    <w:end w:w="0" w:type="dxa"/>
                  </w:tcMar>
                  <w:tcBorders>
                    <w:top w:val="nil"/>
                    <w:left w:val="nil"/>
                    <w:bottom w:val="nil"/>
                    <w:right w:val="nil"/>
                  </w:tcBorders>
                </w:tcPr>
                <w:p/>
              </w:tc>
              <w:tc>
                <w:tcPr>
                  <w:tcW w:type="dxa" w:w="1872"/>
                  <w:shd w:fill="DCEAF4"/>
                  <w:tcMar>
                    <w:top w:w="25" w:type="dxa"/>
                    <w:start w:w="0" w:type="dxa"/>
                    <w:bottom w:w="25" w:type="dxa"/>
                    <w:end w:w="0" w:type="dxa"/>
                  </w:tcMar>
                  <w:tcBorders>
                    <w:top w:val="nil"/>
                    <w:left w:val="nil"/>
                    <w:bottom w:val="nil"/>
                    <w:right w:val="nil"/>
                  </w:tcBorders>
                </w:tcPr>
                <w:p/>
              </w:tc>
            </w:tr>
          </w:tbl>
          <w:p/>
          <w:p>
            <w:pPr>
              <w:spacing w:before="840"/>
            </w:pPr>
            <w:r>
              <w:rPr>
                <w:rFonts w:ascii="Liberation Serif" w:hAnsi="Liberation Serif"/>
                <w:b/>
                <w:color w:val="2E3550"/>
                <w:sz w:val="30"/>
              </w:rPr>
              <w:t>Founder Accepted Constitutional Canon</w:t>
            </w:r>
          </w:p>
          <w:p>
            <w:r>
              <w:rPr>
                <w:rFonts w:ascii="Liberation Serif" w:hAnsi="Liberation Serif"/>
                <w:i/>
                <w:color w:val="5D6475"/>
                <w:sz w:val="21"/>
              </w:rPr>
              <w:t>Controlled adoption and repository lock remain pending. No implementation, vendor activation, contract execution, data disclosure, production mutation, or public-launch authority is created by founder acceptance alone.</w:t>
            </w:r>
          </w:p>
          <w:p>
            <w:pPr>
              <w:spacing w:before="700"/>
            </w:pPr>
            <w:r>
              <w:rPr>
                <w:rFonts w:ascii="Liberation Sans" w:hAnsi="Liberation Sans"/>
                <w:b/>
                <w:color w:val="5D6475"/>
                <w:sz w:val="17"/>
              </w:rPr>
              <w:t>LIFECYCLE</w:t>
            </w:r>
            <w:r>
              <w:rPr>
                <w:rFonts w:ascii="Liberation Serif" w:hAnsi="Liberation Serif"/>
                <w:color w:val="232734"/>
                <w:sz w:val="20"/>
              </w:rPr>
              <w:t xml:space="preserve">   Founder accepted; controlled adoption and lock pending</w:t>
            </w:r>
          </w:p>
          <w:p>
            <w:r>
              <w:rPr>
                <w:rFonts w:ascii="Liberation Sans" w:hAnsi="Liberation Sans"/>
                <w:b/>
                <w:color w:val="5D6475"/>
                <w:sz w:val="17"/>
              </w:rPr>
              <w:t>AUTHORITY</w:t>
            </w:r>
            <w:r>
              <w:rPr>
                <w:rFonts w:ascii="Liberation Serif" w:hAnsi="Liberation Serif"/>
                <w:color w:val="232734"/>
                <w:sz w:val="20"/>
              </w:rPr>
              <w:t xml:space="preserve">   Controlling constitutional text; implementation authority remains false</w:t>
            </w:r>
          </w:p>
          <w:p>
            <w:r>
              <w:rPr>
                <w:rFonts w:ascii="Liberation Sans" w:hAnsi="Liberation Sans"/>
                <w:b/>
                <w:color w:val="5D6475"/>
                <w:sz w:val="17"/>
              </w:rPr>
              <w:t>FOUNDER POSTURE</w:t>
            </w:r>
            <w:r>
              <w:rPr>
                <w:rFonts w:ascii="Liberation Serif" w:hAnsi="Liberation Serif"/>
                <w:color w:val="232734"/>
                <w:sz w:val="20"/>
              </w:rPr>
              <w:t xml:space="preserve">   Accepted July 13, 2026</w:t>
            </w:r>
          </w:p>
        </w:tc>
      </w:tr>
    </w:tbl>
    <w:p>
      <w:r>
        <w:br w:type="page"/>
      </w:r>
    </w:p>
    <w:tbl>
      <w:tblPr>
        <w:tblW w:type="auto" w:w="0"/>
        <w:jc w:val="center"/>
        <w:tblLayout w:type="fixed"/>
        <w:tblLook w:firstColumn="1" w:firstRow="1" w:lastColumn="0" w:lastRow="0" w:noHBand="0" w:noVBand="1" w:val="04A0"/>
      </w:tblPr>
      <w:tblGrid>
        <w:gridCol w:w="115"/>
        <w:gridCol w:w="9144"/>
      </w:tblGrid>
      <w:tr>
        <w:tc>
          <w:tcPr>
            <w:tcW w:type="dxa" w:w="4939"/>
            <w:shd w:fill="B8AECF"/>
            <w:tcBorders>
              <w:top w:val="nil"/>
              <w:left w:val="nil"/>
              <w:bottom w:val="nil"/>
              <w:right w:val="nil"/>
            </w:tcBorders>
          </w:tcPr>
          <w:p/>
        </w:tc>
        <w:tc>
          <w:tcPr>
            <w:tcW w:type="dxa" w:w="4939"/>
            <w:shd w:fill="DCEAF4"/>
            <w:tcMar>
              <w:top w:w="120" w:type="dxa"/>
              <w:start w:w="150" w:type="dxa"/>
              <w:bottom w:w="120" w:type="dxa"/>
              <w:end w:w="150" w:type="dxa"/>
            </w:tcMar>
            <w:tcBorders>
              <w:top w:val="nil"/>
              <w:left w:val="nil"/>
              <w:bottom w:val="nil"/>
              <w:right w:val="nil"/>
            </w:tcBorders>
          </w:tcPr>
          <w:p>
            <w:pPr>
              <w:spacing w:after="0"/>
            </w:pPr>
            <w:r>
              <w:rPr>
                <w:rFonts w:ascii="Liberation Sans" w:hAnsi="Liberation Sans"/>
                <w:b/>
                <w:color w:val="232734"/>
                <w:sz w:val="21"/>
              </w:rPr>
              <w:t xml:space="preserve">FOUNDER ACCEPTANCE NOTICE: </w:t>
            </w:r>
            <w:r>
              <w:rPr>
                <w:rFonts w:ascii="Liberation Serif" w:hAnsi="Liberation Serif"/>
                <w:color w:val="232734"/>
                <w:sz w:val="21"/>
              </w:rPr>
              <w:t>This document has been accepted by the Founder as controlling constitutional text. Controlled adoption and repository lock remain pending. It is not implemented and creates no vendor approval, contract execution, vendor activation, data disclosure, migration, production mutation, public trust claim, or public-launch authority.</w:t>
            </w:r>
          </w:p>
        </w:tc>
      </w:tr>
    </w:tbl>
    <w:p>
      <w:pPr>
        <w:spacing w:after="0"/>
      </w:pPr>
    </w:p>
    <w:p>
      <w:pPr>
        <w:pStyle w:val="Heading1"/>
        <w:keepNext/>
        <w:pBdr>
          <w:bottom w:val="single" w:sz="8" w:space="4" w:color="E3E6EB"/>
          <w:bottom w:val="single" w:sz="6" w:space="4" w:color="E3E6EB"/>
        </w:pBdr>
      </w:pPr>
      <w:r>
        <w:t>Document Control</w:t>
      </w:r>
    </w:p>
    <w:tbl>
      <w:tblPr>
        <w:tblW w:type="auto" w:w="0"/>
        <w:jc w:val="center"/>
        <w:tblLayout w:type="fixed"/>
        <w:tblLook w:firstColumn="1" w:firstRow="1" w:lastColumn="0" w:lastRow="0" w:noHBand="0" w:noVBand="1" w:val="04A0"/>
      </w:tblPr>
      <w:tblGrid>
        <w:gridCol w:w="3528"/>
        <w:gridCol w:w="5760"/>
      </w:tblGrid>
      <w:tr>
        <w:trPr>
          <w:tblHeader w:val="true"/>
        </w:trPr>
        <w:tc>
          <w:tcPr>
            <w:tcW w:type="dxa" w:w="4939"/>
            <w:shd w:fill="2E3550"/>
            <w:tcMar>
              <w:top w:w="90" w:type="dxa"/>
              <w:start w:w="100" w:type="dxa"/>
              <w:bottom w:w="90" w:type="dxa"/>
              <w:end w:w="100" w:type="dxa"/>
            </w:tcMar>
          </w:tcPr>
          <w:p>
            <w:r>
              <w:rPr>
                <w:rFonts w:ascii="Liberation Sans" w:hAnsi="Liberation Sans"/>
                <w:b/>
                <w:color w:val="FFFFFF"/>
                <w:sz w:val="19"/>
              </w:rPr>
              <w:t>Field</w:t>
            </w:r>
          </w:p>
        </w:tc>
        <w:tc>
          <w:tcPr>
            <w:tcW w:type="dxa" w:w="4939"/>
            <w:shd w:fill="2E3550"/>
            <w:tcMar>
              <w:top w:w="90" w:type="dxa"/>
              <w:start w:w="100" w:type="dxa"/>
              <w:bottom w:w="90" w:type="dxa"/>
              <w:end w:w="100" w:type="dxa"/>
            </w:tcMar>
          </w:tcPr>
          <w:p>
            <w:r>
              <w:rPr>
                <w:rFonts w:ascii="Liberation Sans" w:hAnsi="Liberation Sans"/>
                <w:b/>
                <w:color w:val="FFFFFF"/>
                <w:sz w:val="19"/>
              </w:rPr>
              <w:t>Value</w:t>
            </w:r>
          </w:p>
        </w:tc>
      </w:tr>
      <w:tr>
        <w:tc>
          <w:tcPr>
            <w:tcW w:type="dxa" w:w="3528"/>
            <w:shd w:fill="DCEAF4"/>
            <w:tcMar>
              <w:top w:w="70" w:type="dxa"/>
              <w:start w:w="95" w:type="dxa"/>
              <w:bottom w:w="70" w:type="dxa"/>
              <w:end w:w="95" w:type="dxa"/>
            </w:tcMar>
            <w:tcBorders>
              <w:top w:val="single" w:sz="3" w:color="E3E6EB"/>
              <w:left w:val="single" w:sz="3" w:color="E3E6EB"/>
              <w:bottom w:val="single" w:sz="3" w:color="E3E6EB"/>
              <w:right w:val="single" w:sz="3" w:color="E3E6EB"/>
            </w:tcBorders>
          </w:tcPr>
          <w:p>
            <w:r>
              <w:rPr>
                <w:rFonts w:ascii="Liberation Serif" w:hAnsi="Liberation Serif"/>
                <w:b/>
                <w:color w:val="232734"/>
                <w:sz w:val="18"/>
              </w:rPr>
              <w:t>Document Type</w:t>
            </w:r>
          </w:p>
        </w:tc>
        <w:tc>
          <w:tcPr>
            <w:tcW w:type="dxa" w:w="5760"/>
            <w:shd w:fill="DCEAF4"/>
            <w:tcMar>
              <w:top w:w="70" w:type="dxa"/>
              <w:start w:w="95" w:type="dxa"/>
              <w:bottom w:w="70" w:type="dxa"/>
              <w:end w:w="95" w:type="dxa"/>
            </w:tcMar>
            <w:tcBorders>
              <w:top w:val="single" w:sz="3" w:color="E3E6EB"/>
              <w:left w:val="single" w:sz="3" w:color="E3E6EB"/>
              <w:bottom w:val="single" w:sz="3" w:color="E3E6EB"/>
              <w:right w:val="single" w:sz="3" w:color="E3E6EB"/>
            </w:tcBorders>
          </w:tcPr>
          <w:p>
            <w:r>
              <w:rPr>
                <w:rFonts w:ascii="Liberation Serif" w:hAnsi="Liberation Serif"/>
                <w:color w:val="232734"/>
                <w:sz w:val="18"/>
              </w:rPr>
              <w:t>Tier 3 Foundational Domain Canon</w:t>
            </w:r>
          </w:p>
        </w:tc>
      </w:tr>
      <w:tr>
        <w:tc>
          <w:tcPr>
            <w:tcW w:type="dxa" w:w="3528"/>
            <w:shd w:fill="F4F6F9"/>
            <w:tcMar>
              <w:top w:w="70" w:type="dxa"/>
              <w:start w:w="95" w:type="dxa"/>
              <w:bottom w:w="70" w:type="dxa"/>
              <w:end w:w="95" w:type="dxa"/>
            </w:tcMar>
            <w:tcBorders>
              <w:top w:val="single" w:sz="3" w:color="E3E6EB"/>
              <w:left w:val="single" w:sz="3" w:color="E3E6EB"/>
              <w:bottom w:val="single" w:sz="3" w:color="E3E6EB"/>
              <w:right w:val="single" w:sz="3" w:color="E3E6EB"/>
            </w:tcBorders>
          </w:tcPr>
          <w:p>
            <w:r>
              <w:rPr>
                <w:rFonts w:ascii="Liberation Serif" w:hAnsi="Liberation Serif"/>
                <w:b/>
                <w:color w:val="232734"/>
                <w:sz w:val="18"/>
              </w:rPr>
              <w:t>Canonical Name</w:t>
            </w:r>
          </w:p>
        </w:tc>
        <w:tc>
          <w:tcPr>
            <w:tcW w:type="dxa" w:w="5760"/>
            <w:shd w:fill="F4F6F9"/>
            <w:tcMar>
              <w:top w:w="70" w:type="dxa"/>
              <w:start w:w="95" w:type="dxa"/>
              <w:bottom w:w="70" w:type="dxa"/>
              <w:end w:w="95" w:type="dxa"/>
            </w:tcMar>
            <w:tcBorders>
              <w:top w:val="single" w:sz="3" w:color="E3E6EB"/>
              <w:left w:val="single" w:sz="3" w:color="E3E6EB"/>
              <w:bottom w:val="single" w:sz="3" w:color="E3E6EB"/>
              <w:right w:val="single" w:sz="3" w:color="E3E6EB"/>
            </w:tcBorders>
          </w:tcPr>
          <w:p>
            <w:r>
              <w:rPr>
                <w:rFonts w:ascii="Liberation Serif" w:hAnsi="Liberation Serif"/>
                <w:color w:val="232734"/>
                <w:sz w:val="18"/>
              </w:rPr>
              <w:t>Master Vendor Security and Supply Chain Model</w:t>
            </w:r>
          </w:p>
        </w:tc>
      </w:tr>
      <w:tr>
        <w:tc>
          <w:tcPr>
            <w:tcW w:type="dxa" w:w="3528"/>
            <w:shd w:fill="DCEAF4"/>
            <w:tcMar>
              <w:top w:w="70" w:type="dxa"/>
              <w:start w:w="95" w:type="dxa"/>
              <w:bottom w:w="70" w:type="dxa"/>
              <w:end w:w="95" w:type="dxa"/>
            </w:tcMar>
            <w:tcBorders>
              <w:top w:val="single" w:sz="3" w:color="E3E6EB"/>
              <w:left w:val="single" w:sz="3" w:color="E3E6EB"/>
              <w:bottom w:val="single" w:sz="3" w:color="E3E6EB"/>
              <w:right w:val="single" w:sz="3" w:color="E3E6EB"/>
            </w:tcBorders>
          </w:tcPr>
          <w:p>
            <w:r>
              <w:rPr>
                <w:rFonts w:ascii="Liberation Serif" w:hAnsi="Liberation Serif"/>
                <w:b/>
                <w:color w:val="232734"/>
                <w:sz w:val="18"/>
              </w:rPr>
              <w:t>Version</w:t>
            </w:r>
          </w:p>
        </w:tc>
        <w:tc>
          <w:tcPr>
            <w:tcW w:type="dxa" w:w="5760"/>
            <w:shd w:fill="DCEAF4"/>
            <w:tcMar>
              <w:top w:w="70" w:type="dxa"/>
              <w:start w:w="95" w:type="dxa"/>
              <w:bottom w:w="70" w:type="dxa"/>
              <w:end w:w="95" w:type="dxa"/>
            </w:tcMar>
            <w:tcBorders>
              <w:top w:val="single" w:sz="3" w:color="E3E6EB"/>
              <w:left w:val="single" w:sz="3" w:color="E3E6EB"/>
              <w:bottom w:val="single" w:sz="3" w:color="E3E6EB"/>
              <w:right w:val="single" w:sz="3" w:color="E3E6EB"/>
            </w:tcBorders>
          </w:tcPr>
          <w:p>
            <w:r>
              <w:rPr>
                <w:rFonts w:ascii="Liberation Serif" w:hAnsi="Liberation Serif"/>
                <w:color w:val="232734"/>
                <w:sz w:val="18"/>
              </w:rPr>
              <w:t>2.0</w:t>
            </w:r>
          </w:p>
        </w:tc>
      </w:tr>
      <w:tr>
        <w:tc>
          <w:tcPr>
            <w:tcW w:type="dxa" w:w="3528"/>
            <w:shd w:fill="F4F6F9"/>
            <w:tcMar>
              <w:top w:w="70" w:type="dxa"/>
              <w:start w:w="95" w:type="dxa"/>
              <w:bottom w:w="70" w:type="dxa"/>
              <w:end w:w="95" w:type="dxa"/>
            </w:tcMar>
            <w:tcBorders>
              <w:top w:val="single" w:sz="3" w:color="E3E6EB"/>
              <w:left w:val="single" w:sz="3" w:color="E3E6EB"/>
              <w:bottom w:val="single" w:sz="3" w:color="E3E6EB"/>
              <w:right w:val="single" w:sz="3" w:color="E3E6EB"/>
            </w:tcBorders>
          </w:tcPr>
          <w:p>
            <w:r>
              <w:rPr>
                <w:rFonts w:ascii="Liberation Serif" w:hAnsi="Liberation Serif"/>
                <w:b/>
                <w:color w:val="232734"/>
                <w:sz w:val="18"/>
              </w:rPr>
              <w:t>Lifecycle State</w:t>
            </w:r>
          </w:p>
        </w:tc>
        <w:tc>
          <w:tcPr>
            <w:tcW w:type="dxa" w:w="5760"/>
            <w:shd w:fill="F4F6F9"/>
            <w:tcMar>
              <w:top w:w="70" w:type="dxa"/>
              <w:start w:w="95" w:type="dxa"/>
              <w:bottom w:w="70" w:type="dxa"/>
              <w:end w:w="95" w:type="dxa"/>
            </w:tcMar>
            <w:tcBorders>
              <w:top w:val="single" w:sz="3" w:color="E3E6EB"/>
              <w:left w:val="single" w:sz="3" w:color="E3E6EB"/>
              <w:bottom w:val="single" w:sz="3" w:color="E3E6EB"/>
              <w:right w:val="single" w:sz="3" w:color="E3E6EB"/>
            </w:tcBorders>
          </w:tcPr>
          <w:p>
            <w:r>
              <w:rPr>
                <w:rFonts w:ascii="Liberation Serif" w:hAnsi="Liberation Serif"/>
                <w:color w:val="232734"/>
                <w:sz w:val="18"/>
              </w:rPr>
              <w:t>FOUNDER_ACCEPTED_CONTROLLED_ADOPTION_AND_LOCK_PENDING</w:t>
            </w:r>
          </w:p>
        </w:tc>
      </w:tr>
      <w:tr>
        <w:tc>
          <w:tcPr>
            <w:tcW w:type="dxa" w:w="3528"/>
            <w:shd w:fill="DCEAF4"/>
            <w:tcMar>
              <w:top w:w="70" w:type="dxa"/>
              <w:start w:w="95" w:type="dxa"/>
              <w:bottom w:w="70" w:type="dxa"/>
              <w:end w:w="95" w:type="dxa"/>
            </w:tcMar>
            <w:tcBorders>
              <w:top w:val="single" w:sz="3" w:color="E3E6EB"/>
              <w:left w:val="single" w:sz="3" w:color="E3E6EB"/>
              <w:bottom w:val="single" w:sz="3" w:color="E3E6EB"/>
              <w:right w:val="single" w:sz="3" w:color="E3E6EB"/>
            </w:tcBorders>
          </w:tcPr>
          <w:p>
            <w:r>
              <w:rPr>
                <w:rFonts w:ascii="Liberation Serif" w:hAnsi="Liberation Serif"/>
                <w:b/>
                <w:color w:val="232734"/>
                <w:sz w:val="18"/>
              </w:rPr>
              <w:t>Founder Posture</w:t>
            </w:r>
          </w:p>
        </w:tc>
        <w:tc>
          <w:tcPr>
            <w:tcW w:type="dxa" w:w="5760"/>
            <w:shd w:fill="DCEAF4"/>
            <w:tcMar>
              <w:top w:w="70" w:type="dxa"/>
              <w:start w:w="95" w:type="dxa"/>
              <w:bottom w:w="70" w:type="dxa"/>
              <w:end w:w="95" w:type="dxa"/>
            </w:tcMar>
            <w:tcBorders>
              <w:top w:val="single" w:sz="3" w:color="E3E6EB"/>
              <w:left w:val="single" w:sz="3" w:color="E3E6EB"/>
              <w:bottom w:val="single" w:sz="3" w:color="E3E6EB"/>
              <w:right w:val="single" w:sz="3" w:color="E3E6EB"/>
            </w:tcBorders>
          </w:tcPr>
          <w:p>
            <w:r>
              <w:rPr>
                <w:rFonts w:ascii="Liberation Serif" w:hAnsi="Liberation Serif"/>
                <w:color w:val="232734"/>
                <w:sz w:val="18"/>
              </w:rPr>
              <w:t>Founder accepted</w:t>
            </w:r>
          </w:p>
        </w:tc>
      </w:tr>
      <w:tr>
        <w:tc>
          <w:tcPr>
            <w:tcW w:type="dxa" w:w="3528"/>
            <w:shd w:fill="F4F6F9"/>
            <w:tcMar>
              <w:top w:w="70" w:type="dxa"/>
              <w:start w:w="95" w:type="dxa"/>
              <w:bottom w:w="70" w:type="dxa"/>
              <w:end w:w="95" w:type="dxa"/>
            </w:tcMar>
            <w:tcBorders>
              <w:top w:val="single" w:sz="3" w:color="E3E6EB"/>
              <w:left w:val="single" w:sz="3" w:color="E3E6EB"/>
              <w:bottom w:val="single" w:sz="3" w:color="E3E6EB"/>
              <w:right w:val="single" w:sz="3" w:color="E3E6EB"/>
            </w:tcBorders>
          </w:tcPr>
          <w:p>
            <w:r>
              <w:rPr>
                <w:rFonts w:ascii="Liberation Serif" w:hAnsi="Liberation Serif"/>
                <w:b/>
                <w:color w:val="232734"/>
                <w:sz w:val="18"/>
              </w:rPr>
              <w:t>Constitutional Authority</w:t>
            </w:r>
          </w:p>
        </w:tc>
        <w:tc>
          <w:tcPr>
            <w:tcW w:type="dxa" w:w="5760"/>
            <w:shd w:fill="F4F6F9"/>
            <w:tcMar>
              <w:top w:w="70" w:type="dxa"/>
              <w:start w:w="95" w:type="dxa"/>
              <w:bottom w:w="70" w:type="dxa"/>
              <w:end w:w="95" w:type="dxa"/>
            </w:tcMar>
            <w:tcBorders>
              <w:top w:val="single" w:sz="3" w:color="E3E6EB"/>
              <w:left w:val="single" w:sz="3" w:color="E3E6EB"/>
              <w:bottom w:val="single" w:sz="3" w:color="E3E6EB"/>
              <w:right w:val="single" w:sz="3" w:color="E3E6EB"/>
            </w:tcBorders>
          </w:tcPr>
          <w:p>
            <w:r>
              <w:rPr>
                <w:rFonts w:ascii="Liberation Serif" w:hAnsi="Liberation Serif"/>
                <w:color w:val="232734"/>
                <w:sz w:val="18"/>
              </w:rPr>
              <w:t>Controlling founder-approved canon; terminal repository lock not verified in this document</w:t>
            </w:r>
          </w:p>
        </w:tc>
      </w:tr>
      <w:tr>
        <w:tc>
          <w:tcPr>
            <w:tcW w:type="dxa" w:w="3528"/>
            <w:shd w:fill="DCEAF4"/>
            <w:tcMar>
              <w:top w:w="70" w:type="dxa"/>
              <w:start w:w="95" w:type="dxa"/>
              <w:bottom w:w="70" w:type="dxa"/>
              <w:end w:w="95" w:type="dxa"/>
            </w:tcMar>
            <w:tcBorders>
              <w:top w:val="single" w:sz="3" w:color="E3E6EB"/>
              <w:left w:val="single" w:sz="3" w:color="E3E6EB"/>
              <w:bottom w:val="single" w:sz="3" w:color="E3E6EB"/>
              <w:right w:val="single" w:sz="3" w:color="E3E6EB"/>
            </w:tcBorders>
          </w:tcPr>
          <w:p>
            <w:r>
              <w:rPr>
                <w:rFonts w:ascii="Liberation Serif" w:hAnsi="Liberation Serif"/>
                <w:b/>
                <w:color w:val="232734"/>
                <w:sz w:val="18"/>
              </w:rPr>
              <w:t>Adoption Authorized</w:t>
            </w:r>
          </w:p>
        </w:tc>
        <w:tc>
          <w:tcPr>
            <w:tcW w:type="dxa" w:w="5760"/>
            <w:shd w:fill="DCEAF4"/>
            <w:tcMar>
              <w:top w:w="70" w:type="dxa"/>
              <w:start w:w="95" w:type="dxa"/>
              <w:bottom w:w="70" w:type="dxa"/>
              <w:end w:w="95" w:type="dxa"/>
            </w:tcMar>
            <w:tcBorders>
              <w:top w:val="single" w:sz="3" w:color="E3E6EB"/>
              <w:left w:val="single" w:sz="3" w:color="E3E6EB"/>
              <w:bottom w:val="single" w:sz="3" w:color="E3E6EB"/>
              <w:right w:val="single" w:sz="3" w:color="E3E6EB"/>
            </w:tcBorders>
          </w:tcPr>
          <w:p>
            <w:r>
              <w:rPr>
                <w:rFonts w:ascii="Liberation Serif" w:hAnsi="Liberation Serif"/>
                <w:color w:val="232734"/>
                <w:sz w:val="18"/>
              </w:rPr>
              <w:t>Yes, through controlled adoption process</w:t>
            </w:r>
          </w:p>
        </w:tc>
      </w:tr>
      <w:tr>
        <w:tc>
          <w:tcPr>
            <w:tcW w:type="dxa" w:w="3528"/>
            <w:shd w:fill="F4F6F9"/>
            <w:tcMar>
              <w:top w:w="70" w:type="dxa"/>
              <w:start w:w="95" w:type="dxa"/>
              <w:bottom w:w="70" w:type="dxa"/>
              <w:end w:w="95" w:type="dxa"/>
            </w:tcMar>
            <w:tcBorders>
              <w:top w:val="single" w:sz="3" w:color="E3E6EB"/>
              <w:left w:val="single" w:sz="3" w:color="E3E6EB"/>
              <w:bottom w:val="single" w:sz="3" w:color="E3E6EB"/>
              <w:right w:val="single" w:sz="3" w:color="E3E6EB"/>
            </w:tcBorders>
          </w:tcPr>
          <w:p>
            <w:r>
              <w:rPr>
                <w:rFonts w:ascii="Liberation Serif" w:hAnsi="Liberation Serif"/>
                <w:b/>
                <w:color w:val="232734"/>
                <w:sz w:val="18"/>
              </w:rPr>
              <w:t>Lock Achieved</w:t>
            </w:r>
          </w:p>
        </w:tc>
        <w:tc>
          <w:tcPr>
            <w:tcW w:type="dxa" w:w="5760"/>
            <w:shd w:fill="F4F6F9"/>
            <w:tcMar>
              <w:top w:w="70" w:type="dxa"/>
              <w:start w:w="95" w:type="dxa"/>
              <w:bottom w:w="70" w:type="dxa"/>
              <w:end w:w="95" w:type="dxa"/>
            </w:tcMar>
            <w:tcBorders>
              <w:top w:val="single" w:sz="3" w:color="E3E6EB"/>
              <w:left w:val="single" w:sz="3" w:color="E3E6EB"/>
              <w:bottom w:val="single" w:sz="3" w:color="E3E6EB"/>
              <w:right w:val="single" w:sz="3" w:color="E3E6EB"/>
            </w:tcBorders>
          </w:tcPr>
          <w:p>
            <w:r>
              <w:rPr>
                <w:rFonts w:ascii="Liberation Serif" w:hAnsi="Liberation Serif"/>
                <w:color w:val="232734"/>
                <w:sz w:val="18"/>
              </w:rPr>
              <w:t>No</w:t>
            </w:r>
          </w:p>
        </w:tc>
      </w:tr>
      <w:tr>
        <w:tc>
          <w:tcPr>
            <w:tcW w:type="dxa" w:w="3528"/>
            <w:shd w:fill="DCEAF4"/>
            <w:tcMar>
              <w:top w:w="70" w:type="dxa"/>
              <w:start w:w="95" w:type="dxa"/>
              <w:bottom w:w="70" w:type="dxa"/>
              <w:end w:w="95" w:type="dxa"/>
            </w:tcMar>
            <w:tcBorders>
              <w:top w:val="single" w:sz="3" w:color="E3E6EB"/>
              <w:left w:val="single" w:sz="3" w:color="E3E6EB"/>
              <w:bottom w:val="single" w:sz="3" w:color="E3E6EB"/>
              <w:right w:val="single" w:sz="3" w:color="E3E6EB"/>
            </w:tcBorders>
          </w:tcPr>
          <w:p>
            <w:r>
              <w:rPr>
                <w:rFonts w:ascii="Liberation Serif" w:hAnsi="Liberation Serif"/>
                <w:b/>
                <w:color w:val="232734"/>
                <w:sz w:val="18"/>
              </w:rPr>
              <w:t>Implementation Authorized</w:t>
            </w:r>
          </w:p>
        </w:tc>
        <w:tc>
          <w:tcPr>
            <w:tcW w:type="dxa" w:w="5760"/>
            <w:shd w:fill="DCEAF4"/>
            <w:tcMar>
              <w:top w:w="70" w:type="dxa"/>
              <w:start w:w="95" w:type="dxa"/>
              <w:bottom w:w="70" w:type="dxa"/>
              <w:end w:w="95" w:type="dxa"/>
            </w:tcMar>
            <w:tcBorders>
              <w:top w:val="single" w:sz="3" w:color="E3E6EB"/>
              <w:left w:val="single" w:sz="3" w:color="E3E6EB"/>
              <w:bottom w:val="single" w:sz="3" w:color="E3E6EB"/>
              <w:right w:val="single" w:sz="3" w:color="E3E6EB"/>
            </w:tcBorders>
          </w:tcPr>
          <w:p>
            <w:r>
              <w:rPr>
                <w:rFonts w:ascii="Liberation Serif" w:hAnsi="Liberation Serif"/>
                <w:color w:val="232734"/>
                <w:sz w:val="18"/>
              </w:rPr>
              <w:t>No</w:t>
            </w:r>
          </w:p>
        </w:tc>
      </w:tr>
      <w:tr>
        <w:tc>
          <w:tcPr>
            <w:tcW w:type="dxa" w:w="3528"/>
            <w:shd w:fill="F4F6F9"/>
            <w:tcMar>
              <w:top w:w="70" w:type="dxa"/>
              <w:start w:w="95" w:type="dxa"/>
              <w:bottom w:w="70" w:type="dxa"/>
              <w:end w:w="95" w:type="dxa"/>
            </w:tcMar>
            <w:tcBorders>
              <w:top w:val="single" w:sz="3" w:color="E3E6EB"/>
              <w:left w:val="single" w:sz="3" w:color="E3E6EB"/>
              <w:bottom w:val="single" w:sz="3" w:color="E3E6EB"/>
              <w:right w:val="single" w:sz="3" w:color="E3E6EB"/>
            </w:tcBorders>
          </w:tcPr>
          <w:p>
            <w:r>
              <w:rPr>
                <w:rFonts w:ascii="Liberation Serif" w:hAnsi="Liberation Serif"/>
                <w:b/>
                <w:color w:val="232734"/>
                <w:sz w:val="18"/>
              </w:rPr>
              <w:t>Vendor Approval Authorized</w:t>
            </w:r>
          </w:p>
        </w:tc>
        <w:tc>
          <w:tcPr>
            <w:tcW w:type="dxa" w:w="5760"/>
            <w:shd w:fill="F4F6F9"/>
            <w:tcMar>
              <w:top w:w="70" w:type="dxa"/>
              <w:start w:w="95" w:type="dxa"/>
              <w:bottom w:w="70" w:type="dxa"/>
              <w:end w:w="95" w:type="dxa"/>
            </w:tcMar>
            <w:tcBorders>
              <w:top w:val="single" w:sz="3" w:color="E3E6EB"/>
              <w:left w:val="single" w:sz="3" w:color="E3E6EB"/>
              <w:bottom w:val="single" w:sz="3" w:color="E3E6EB"/>
              <w:right w:val="single" w:sz="3" w:color="E3E6EB"/>
            </w:tcBorders>
          </w:tcPr>
          <w:p>
            <w:r>
              <w:rPr>
                <w:rFonts w:ascii="Liberation Serif" w:hAnsi="Liberation Serif"/>
                <w:color w:val="232734"/>
                <w:sz w:val="18"/>
              </w:rPr>
              <w:t>No</w:t>
            </w:r>
          </w:p>
        </w:tc>
      </w:tr>
      <w:tr>
        <w:tc>
          <w:tcPr>
            <w:tcW w:type="dxa" w:w="3528"/>
            <w:shd w:fill="DCEAF4"/>
            <w:tcMar>
              <w:top w:w="70" w:type="dxa"/>
              <w:start w:w="95" w:type="dxa"/>
              <w:bottom w:w="70" w:type="dxa"/>
              <w:end w:w="95" w:type="dxa"/>
            </w:tcMar>
            <w:tcBorders>
              <w:top w:val="single" w:sz="3" w:color="E3E6EB"/>
              <w:left w:val="single" w:sz="3" w:color="E3E6EB"/>
              <w:bottom w:val="single" w:sz="3" w:color="E3E6EB"/>
              <w:right w:val="single" w:sz="3" w:color="E3E6EB"/>
            </w:tcBorders>
          </w:tcPr>
          <w:p>
            <w:r>
              <w:rPr>
                <w:rFonts w:ascii="Liberation Serif" w:hAnsi="Liberation Serif"/>
                <w:b/>
                <w:color w:val="232734"/>
                <w:sz w:val="18"/>
              </w:rPr>
              <w:t>Contract Execution Authorized</w:t>
            </w:r>
          </w:p>
        </w:tc>
        <w:tc>
          <w:tcPr>
            <w:tcW w:type="dxa" w:w="5760"/>
            <w:shd w:fill="DCEAF4"/>
            <w:tcMar>
              <w:top w:w="70" w:type="dxa"/>
              <w:start w:w="95" w:type="dxa"/>
              <w:bottom w:w="70" w:type="dxa"/>
              <w:end w:w="95" w:type="dxa"/>
            </w:tcMar>
            <w:tcBorders>
              <w:top w:val="single" w:sz="3" w:color="E3E6EB"/>
              <w:left w:val="single" w:sz="3" w:color="E3E6EB"/>
              <w:bottom w:val="single" w:sz="3" w:color="E3E6EB"/>
              <w:right w:val="single" w:sz="3" w:color="E3E6EB"/>
            </w:tcBorders>
          </w:tcPr>
          <w:p>
            <w:r>
              <w:rPr>
                <w:rFonts w:ascii="Liberation Serif" w:hAnsi="Liberation Serif"/>
                <w:color w:val="232734"/>
                <w:sz w:val="18"/>
              </w:rPr>
              <w:t>No</w:t>
            </w:r>
          </w:p>
        </w:tc>
      </w:tr>
      <w:tr>
        <w:tc>
          <w:tcPr>
            <w:tcW w:type="dxa" w:w="3528"/>
            <w:shd w:fill="F4F6F9"/>
            <w:tcMar>
              <w:top w:w="70" w:type="dxa"/>
              <w:start w:w="95" w:type="dxa"/>
              <w:bottom w:w="70" w:type="dxa"/>
              <w:end w:w="95" w:type="dxa"/>
            </w:tcMar>
            <w:tcBorders>
              <w:top w:val="single" w:sz="3" w:color="E3E6EB"/>
              <w:left w:val="single" w:sz="3" w:color="E3E6EB"/>
              <w:bottom w:val="single" w:sz="3" w:color="E3E6EB"/>
              <w:right w:val="single" w:sz="3" w:color="E3E6EB"/>
            </w:tcBorders>
          </w:tcPr>
          <w:p>
            <w:r>
              <w:rPr>
                <w:rFonts w:ascii="Liberation Serif" w:hAnsi="Liberation Serif"/>
                <w:b/>
                <w:color w:val="232734"/>
                <w:sz w:val="18"/>
              </w:rPr>
              <w:t>Vendor Activation Authorized</w:t>
            </w:r>
          </w:p>
        </w:tc>
        <w:tc>
          <w:tcPr>
            <w:tcW w:type="dxa" w:w="5760"/>
            <w:shd w:fill="F4F6F9"/>
            <w:tcMar>
              <w:top w:w="70" w:type="dxa"/>
              <w:start w:w="95" w:type="dxa"/>
              <w:bottom w:w="70" w:type="dxa"/>
              <w:end w:w="95" w:type="dxa"/>
            </w:tcMar>
            <w:tcBorders>
              <w:top w:val="single" w:sz="3" w:color="E3E6EB"/>
              <w:left w:val="single" w:sz="3" w:color="E3E6EB"/>
              <w:bottom w:val="single" w:sz="3" w:color="E3E6EB"/>
              <w:right w:val="single" w:sz="3" w:color="E3E6EB"/>
            </w:tcBorders>
          </w:tcPr>
          <w:p>
            <w:r>
              <w:rPr>
                <w:rFonts w:ascii="Liberation Serif" w:hAnsi="Liberation Serif"/>
                <w:color w:val="232734"/>
                <w:sz w:val="18"/>
              </w:rPr>
              <w:t>No</w:t>
            </w:r>
          </w:p>
        </w:tc>
      </w:tr>
      <w:tr>
        <w:tc>
          <w:tcPr>
            <w:tcW w:type="dxa" w:w="3528"/>
            <w:shd w:fill="DCEAF4"/>
            <w:tcMar>
              <w:top w:w="70" w:type="dxa"/>
              <w:start w:w="95" w:type="dxa"/>
              <w:bottom w:w="70" w:type="dxa"/>
              <w:end w:w="95" w:type="dxa"/>
            </w:tcMar>
            <w:tcBorders>
              <w:top w:val="single" w:sz="3" w:color="E3E6EB"/>
              <w:left w:val="single" w:sz="3" w:color="E3E6EB"/>
              <w:bottom w:val="single" w:sz="3" w:color="E3E6EB"/>
              <w:right w:val="single" w:sz="3" w:color="E3E6EB"/>
            </w:tcBorders>
          </w:tcPr>
          <w:p>
            <w:r>
              <w:rPr>
                <w:rFonts w:ascii="Liberation Serif" w:hAnsi="Liberation Serif"/>
                <w:b/>
                <w:color w:val="232734"/>
                <w:sz w:val="18"/>
              </w:rPr>
              <w:t>Integration Activation Authorized</w:t>
            </w:r>
          </w:p>
        </w:tc>
        <w:tc>
          <w:tcPr>
            <w:tcW w:type="dxa" w:w="5760"/>
            <w:shd w:fill="DCEAF4"/>
            <w:tcMar>
              <w:top w:w="70" w:type="dxa"/>
              <w:start w:w="95" w:type="dxa"/>
              <w:bottom w:w="70" w:type="dxa"/>
              <w:end w:w="95" w:type="dxa"/>
            </w:tcMar>
            <w:tcBorders>
              <w:top w:val="single" w:sz="3" w:color="E3E6EB"/>
              <w:left w:val="single" w:sz="3" w:color="E3E6EB"/>
              <w:bottom w:val="single" w:sz="3" w:color="E3E6EB"/>
              <w:right w:val="single" w:sz="3" w:color="E3E6EB"/>
            </w:tcBorders>
          </w:tcPr>
          <w:p>
            <w:r>
              <w:rPr>
                <w:rFonts w:ascii="Liberation Serif" w:hAnsi="Liberation Serif"/>
                <w:color w:val="232734"/>
                <w:sz w:val="18"/>
              </w:rPr>
              <w:t>No</w:t>
            </w:r>
          </w:p>
        </w:tc>
      </w:tr>
      <w:tr>
        <w:tc>
          <w:tcPr>
            <w:tcW w:type="dxa" w:w="3528"/>
            <w:shd w:fill="F4F6F9"/>
            <w:tcMar>
              <w:top w:w="70" w:type="dxa"/>
              <w:start w:w="95" w:type="dxa"/>
              <w:bottom w:w="70" w:type="dxa"/>
              <w:end w:w="95" w:type="dxa"/>
            </w:tcMar>
            <w:tcBorders>
              <w:top w:val="single" w:sz="3" w:color="E3E6EB"/>
              <w:left w:val="single" w:sz="3" w:color="E3E6EB"/>
              <w:bottom w:val="single" w:sz="3" w:color="E3E6EB"/>
              <w:right w:val="single" w:sz="3" w:color="E3E6EB"/>
            </w:tcBorders>
          </w:tcPr>
          <w:p>
            <w:r>
              <w:rPr>
                <w:rFonts w:ascii="Liberation Serif" w:hAnsi="Liberation Serif"/>
                <w:b/>
                <w:color w:val="232734"/>
                <w:sz w:val="18"/>
              </w:rPr>
              <w:t>Data Disclosure Authorized</w:t>
            </w:r>
          </w:p>
        </w:tc>
        <w:tc>
          <w:tcPr>
            <w:tcW w:type="dxa" w:w="5760"/>
            <w:shd w:fill="F4F6F9"/>
            <w:tcMar>
              <w:top w:w="70" w:type="dxa"/>
              <w:start w:w="95" w:type="dxa"/>
              <w:bottom w:w="70" w:type="dxa"/>
              <w:end w:w="95" w:type="dxa"/>
            </w:tcMar>
            <w:tcBorders>
              <w:top w:val="single" w:sz="3" w:color="E3E6EB"/>
              <w:left w:val="single" w:sz="3" w:color="E3E6EB"/>
              <w:bottom w:val="single" w:sz="3" w:color="E3E6EB"/>
              <w:right w:val="single" w:sz="3" w:color="E3E6EB"/>
            </w:tcBorders>
          </w:tcPr>
          <w:p>
            <w:r>
              <w:rPr>
                <w:rFonts w:ascii="Liberation Serif" w:hAnsi="Liberation Serif"/>
                <w:color w:val="232734"/>
                <w:sz w:val="18"/>
              </w:rPr>
              <w:t>No</w:t>
            </w:r>
          </w:p>
        </w:tc>
      </w:tr>
      <w:tr>
        <w:tc>
          <w:tcPr>
            <w:tcW w:type="dxa" w:w="3528"/>
            <w:shd w:fill="DCEAF4"/>
            <w:tcMar>
              <w:top w:w="70" w:type="dxa"/>
              <w:start w:w="95" w:type="dxa"/>
              <w:bottom w:w="70" w:type="dxa"/>
              <w:end w:w="95" w:type="dxa"/>
            </w:tcMar>
            <w:tcBorders>
              <w:top w:val="single" w:sz="3" w:color="E3E6EB"/>
              <w:left w:val="single" w:sz="3" w:color="E3E6EB"/>
              <w:bottom w:val="single" w:sz="3" w:color="E3E6EB"/>
              <w:right w:val="single" w:sz="3" w:color="E3E6EB"/>
            </w:tcBorders>
          </w:tcPr>
          <w:p>
            <w:r>
              <w:rPr>
                <w:rFonts w:ascii="Liberation Serif" w:hAnsi="Liberation Serif"/>
                <w:b/>
                <w:color w:val="232734"/>
                <w:sz w:val="18"/>
              </w:rPr>
              <w:t>Vendor Migration Authorized</w:t>
            </w:r>
          </w:p>
        </w:tc>
        <w:tc>
          <w:tcPr>
            <w:tcW w:type="dxa" w:w="5760"/>
            <w:shd w:fill="DCEAF4"/>
            <w:tcMar>
              <w:top w:w="70" w:type="dxa"/>
              <w:start w:w="95" w:type="dxa"/>
              <w:bottom w:w="70" w:type="dxa"/>
              <w:end w:w="95" w:type="dxa"/>
            </w:tcMar>
            <w:tcBorders>
              <w:top w:val="single" w:sz="3" w:color="E3E6EB"/>
              <w:left w:val="single" w:sz="3" w:color="E3E6EB"/>
              <w:bottom w:val="single" w:sz="3" w:color="E3E6EB"/>
              <w:right w:val="single" w:sz="3" w:color="E3E6EB"/>
            </w:tcBorders>
          </w:tcPr>
          <w:p>
            <w:r>
              <w:rPr>
                <w:rFonts w:ascii="Liberation Serif" w:hAnsi="Liberation Serif"/>
                <w:color w:val="232734"/>
                <w:sz w:val="18"/>
              </w:rPr>
              <w:t>No</w:t>
            </w:r>
          </w:p>
        </w:tc>
      </w:tr>
      <w:tr>
        <w:tc>
          <w:tcPr>
            <w:tcW w:type="dxa" w:w="3528"/>
            <w:shd w:fill="F4F6F9"/>
            <w:tcMar>
              <w:top w:w="70" w:type="dxa"/>
              <w:start w:w="95" w:type="dxa"/>
              <w:bottom w:w="70" w:type="dxa"/>
              <w:end w:w="95" w:type="dxa"/>
            </w:tcMar>
            <w:tcBorders>
              <w:top w:val="single" w:sz="3" w:color="E3E6EB"/>
              <w:left w:val="single" w:sz="3" w:color="E3E6EB"/>
              <w:bottom w:val="single" w:sz="3" w:color="E3E6EB"/>
              <w:right w:val="single" w:sz="3" w:color="E3E6EB"/>
            </w:tcBorders>
          </w:tcPr>
          <w:p>
            <w:r>
              <w:rPr>
                <w:rFonts w:ascii="Liberation Serif" w:hAnsi="Liberation Serif"/>
                <w:b/>
                <w:color w:val="232734"/>
                <w:sz w:val="18"/>
              </w:rPr>
              <w:t>Vendor Termination Authorized</w:t>
            </w:r>
          </w:p>
        </w:tc>
        <w:tc>
          <w:tcPr>
            <w:tcW w:type="dxa" w:w="5760"/>
            <w:shd w:fill="F4F6F9"/>
            <w:tcMar>
              <w:top w:w="70" w:type="dxa"/>
              <w:start w:w="95" w:type="dxa"/>
              <w:bottom w:w="70" w:type="dxa"/>
              <w:end w:w="95" w:type="dxa"/>
            </w:tcMar>
            <w:tcBorders>
              <w:top w:val="single" w:sz="3" w:color="E3E6EB"/>
              <w:left w:val="single" w:sz="3" w:color="E3E6EB"/>
              <w:bottom w:val="single" w:sz="3" w:color="E3E6EB"/>
              <w:right w:val="single" w:sz="3" w:color="E3E6EB"/>
            </w:tcBorders>
          </w:tcPr>
          <w:p>
            <w:r>
              <w:rPr>
                <w:rFonts w:ascii="Liberation Serif" w:hAnsi="Liberation Serif"/>
                <w:color w:val="232734"/>
                <w:sz w:val="18"/>
              </w:rPr>
              <w:t>No</w:t>
            </w:r>
          </w:p>
        </w:tc>
      </w:tr>
      <w:tr>
        <w:tc>
          <w:tcPr>
            <w:tcW w:type="dxa" w:w="3528"/>
            <w:shd w:fill="DCEAF4"/>
            <w:tcMar>
              <w:top w:w="70" w:type="dxa"/>
              <w:start w:w="95" w:type="dxa"/>
              <w:bottom w:w="70" w:type="dxa"/>
              <w:end w:w="95" w:type="dxa"/>
            </w:tcMar>
            <w:tcBorders>
              <w:top w:val="single" w:sz="3" w:color="E3E6EB"/>
              <w:left w:val="single" w:sz="3" w:color="E3E6EB"/>
              <w:bottom w:val="single" w:sz="3" w:color="E3E6EB"/>
              <w:right w:val="single" w:sz="3" w:color="E3E6EB"/>
            </w:tcBorders>
          </w:tcPr>
          <w:p>
            <w:r>
              <w:rPr>
                <w:rFonts w:ascii="Liberation Serif" w:hAnsi="Liberation Serif"/>
                <w:b/>
                <w:color w:val="232734"/>
                <w:sz w:val="18"/>
              </w:rPr>
              <w:t>Production Mutation Authorized</w:t>
            </w:r>
          </w:p>
        </w:tc>
        <w:tc>
          <w:tcPr>
            <w:tcW w:type="dxa" w:w="5760"/>
            <w:shd w:fill="DCEAF4"/>
            <w:tcMar>
              <w:top w:w="70" w:type="dxa"/>
              <w:start w:w="95" w:type="dxa"/>
              <w:bottom w:w="70" w:type="dxa"/>
              <w:end w:w="95" w:type="dxa"/>
            </w:tcMar>
            <w:tcBorders>
              <w:top w:val="single" w:sz="3" w:color="E3E6EB"/>
              <w:left w:val="single" w:sz="3" w:color="E3E6EB"/>
              <w:bottom w:val="single" w:sz="3" w:color="E3E6EB"/>
              <w:right w:val="single" w:sz="3" w:color="E3E6EB"/>
            </w:tcBorders>
          </w:tcPr>
          <w:p>
            <w:r>
              <w:rPr>
                <w:rFonts w:ascii="Liberation Serif" w:hAnsi="Liberation Serif"/>
                <w:color w:val="232734"/>
                <w:sz w:val="18"/>
              </w:rPr>
              <w:t>No</w:t>
            </w:r>
          </w:p>
        </w:tc>
      </w:tr>
      <w:tr>
        <w:tc>
          <w:tcPr>
            <w:tcW w:type="dxa" w:w="3528"/>
            <w:shd w:fill="F4F6F9"/>
            <w:tcMar>
              <w:top w:w="70" w:type="dxa"/>
              <w:start w:w="95" w:type="dxa"/>
              <w:bottom w:w="70" w:type="dxa"/>
              <w:end w:w="95" w:type="dxa"/>
            </w:tcMar>
            <w:tcBorders>
              <w:top w:val="single" w:sz="3" w:color="E3E6EB"/>
              <w:left w:val="single" w:sz="3" w:color="E3E6EB"/>
              <w:bottom w:val="single" w:sz="3" w:color="E3E6EB"/>
              <w:right w:val="single" w:sz="3" w:color="E3E6EB"/>
            </w:tcBorders>
          </w:tcPr>
          <w:p>
            <w:r>
              <w:rPr>
                <w:rFonts w:ascii="Liberation Serif" w:hAnsi="Liberation Serif"/>
                <w:b/>
                <w:color w:val="232734"/>
                <w:sz w:val="18"/>
              </w:rPr>
              <w:t>Public Trust Claim Authorized</w:t>
            </w:r>
          </w:p>
        </w:tc>
        <w:tc>
          <w:tcPr>
            <w:tcW w:type="dxa" w:w="5760"/>
            <w:shd w:fill="F4F6F9"/>
            <w:tcMar>
              <w:top w:w="70" w:type="dxa"/>
              <w:start w:w="95" w:type="dxa"/>
              <w:bottom w:w="70" w:type="dxa"/>
              <w:end w:w="95" w:type="dxa"/>
            </w:tcMar>
            <w:tcBorders>
              <w:top w:val="single" w:sz="3" w:color="E3E6EB"/>
              <w:left w:val="single" w:sz="3" w:color="E3E6EB"/>
              <w:bottom w:val="single" w:sz="3" w:color="E3E6EB"/>
              <w:right w:val="single" w:sz="3" w:color="E3E6EB"/>
            </w:tcBorders>
          </w:tcPr>
          <w:p>
            <w:r>
              <w:rPr>
                <w:rFonts w:ascii="Liberation Serif" w:hAnsi="Liberation Serif"/>
                <w:color w:val="232734"/>
                <w:sz w:val="18"/>
              </w:rPr>
              <w:t>No</w:t>
            </w:r>
          </w:p>
        </w:tc>
      </w:tr>
      <w:tr>
        <w:tc>
          <w:tcPr>
            <w:tcW w:type="dxa" w:w="3528"/>
            <w:shd w:fill="DCEAF4"/>
            <w:tcMar>
              <w:top w:w="70" w:type="dxa"/>
              <w:start w:w="95" w:type="dxa"/>
              <w:bottom w:w="70" w:type="dxa"/>
              <w:end w:w="95" w:type="dxa"/>
            </w:tcMar>
            <w:tcBorders>
              <w:top w:val="single" w:sz="3" w:color="E3E6EB"/>
              <w:left w:val="single" w:sz="3" w:color="E3E6EB"/>
              <w:bottom w:val="single" w:sz="3" w:color="E3E6EB"/>
              <w:right w:val="single" w:sz="3" w:color="E3E6EB"/>
            </w:tcBorders>
          </w:tcPr>
          <w:p>
            <w:r>
              <w:rPr>
                <w:rFonts w:ascii="Liberation Serif" w:hAnsi="Liberation Serif"/>
                <w:b/>
                <w:color w:val="232734"/>
                <w:sz w:val="18"/>
              </w:rPr>
              <w:t>Public Launch Authorized</w:t>
            </w:r>
          </w:p>
        </w:tc>
        <w:tc>
          <w:tcPr>
            <w:tcW w:type="dxa" w:w="5760"/>
            <w:shd w:fill="DCEAF4"/>
            <w:tcMar>
              <w:top w:w="70" w:type="dxa"/>
              <w:start w:w="95" w:type="dxa"/>
              <w:bottom w:w="70" w:type="dxa"/>
              <w:end w:w="95" w:type="dxa"/>
            </w:tcMar>
            <w:tcBorders>
              <w:top w:val="single" w:sz="3" w:color="E3E6EB"/>
              <w:left w:val="single" w:sz="3" w:color="E3E6EB"/>
              <w:bottom w:val="single" w:sz="3" w:color="E3E6EB"/>
              <w:right w:val="single" w:sz="3" w:color="E3E6EB"/>
            </w:tcBorders>
          </w:tcPr>
          <w:p>
            <w:r>
              <w:rPr>
                <w:rFonts w:ascii="Liberation Serif" w:hAnsi="Liberation Serif"/>
                <w:color w:val="232734"/>
                <w:sz w:val="18"/>
              </w:rPr>
              <w:t>No</w:t>
            </w:r>
          </w:p>
        </w:tc>
      </w:tr>
      <w:tr>
        <w:tc>
          <w:tcPr>
            <w:tcW w:type="dxa" w:w="3528"/>
            <w:shd w:fill="F4F6F9"/>
            <w:tcMar>
              <w:top w:w="70" w:type="dxa"/>
              <w:start w:w="95" w:type="dxa"/>
              <w:bottom w:w="70" w:type="dxa"/>
              <w:end w:w="95" w:type="dxa"/>
            </w:tcMar>
            <w:tcBorders>
              <w:top w:val="single" w:sz="3" w:color="E3E6EB"/>
              <w:left w:val="single" w:sz="3" w:color="E3E6EB"/>
              <w:bottom w:val="single" w:sz="3" w:color="E3E6EB"/>
              <w:right w:val="single" w:sz="3" w:color="E3E6EB"/>
            </w:tcBorders>
          </w:tcPr>
          <w:p>
            <w:r>
              <w:rPr>
                <w:rFonts w:ascii="Liberation Serif" w:hAnsi="Liberation Serif"/>
                <w:b/>
                <w:color w:val="232734"/>
                <w:sz w:val="18"/>
              </w:rPr>
              <w:t>Parent Authority</w:t>
            </w:r>
          </w:p>
        </w:tc>
        <w:tc>
          <w:tcPr>
            <w:tcW w:type="dxa" w:w="5760"/>
            <w:shd w:fill="F4F6F9"/>
            <w:tcMar>
              <w:top w:w="70" w:type="dxa"/>
              <w:start w:w="95" w:type="dxa"/>
              <w:bottom w:w="70" w:type="dxa"/>
              <w:end w:w="95" w:type="dxa"/>
            </w:tcMar>
            <w:tcBorders>
              <w:top w:val="single" w:sz="3" w:color="E3E6EB"/>
              <w:left w:val="single" w:sz="3" w:color="E3E6EB"/>
              <w:bottom w:val="single" w:sz="3" w:color="E3E6EB"/>
              <w:right w:val="single" w:sz="3" w:color="E3E6EB"/>
            </w:tcBorders>
          </w:tcPr>
          <w:p>
            <w:r>
              <w:rPr>
                <w:rFonts w:ascii="Liberation Serif" w:hAnsi="Liberation Serif"/>
                <w:color w:val="232734"/>
                <w:sz w:val="18"/>
              </w:rPr>
              <w:t>MASTER_SECURITY_AND_TRUST_MODEL_V2_0.md</w:t>
            </w:r>
          </w:p>
        </w:tc>
      </w:tr>
      <w:tr>
        <w:tc>
          <w:tcPr>
            <w:tcW w:type="dxa" w:w="3528"/>
            <w:shd w:fill="DCEAF4"/>
            <w:tcMar>
              <w:top w:w="70" w:type="dxa"/>
              <w:start w:w="95" w:type="dxa"/>
              <w:bottom w:w="70" w:type="dxa"/>
              <w:end w:w="95" w:type="dxa"/>
            </w:tcMar>
            <w:tcBorders>
              <w:top w:val="single" w:sz="3" w:color="E3E6EB"/>
              <w:left w:val="single" w:sz="3" w:color="E3E6EB"/>
              <w:bottom w:val="single" w:sz="3" w:color="E3E6EB"/>
              <w:right w:val="single" w:sz="3" w:color="E3E6EB"/>
            </w:tcBorders>
          </w:tcPr>
          <w:p>
            <w:r>
              <w:rPr>
                <w:rFonts w:ascii="Liberation Serif" w:hAnsi="Liberation Serif"/>
                <w:b/>
                <w:color w:val="232734"/>
                <w:sz w:val="18"/>
              </w:rPr>
              <w:t>Prior Version</w:t>
            </w:r>
          </w:p>
        </w:tc>
        <w:tc>
          <w:tcPr>
            <w:tcW w:type="dxa" w:w="5760"/>
            <w:shd w:fill="DCEAF4"/>
            <w:tcMar>
              <w:top w:w="70" w:type="dxa"/>
              <w:start w:w="95" w:type="dxa"/>
              <w:bottom w:w="70" w:type="dxa"/>
              <w:end w:w="95" w:type="dxa"/>
            </w:tcMar>
            <w:tcBorders>
              <w:top w:val="single" w:sz="3" w:color="E3E6EB"/>
              <w:left w:val="single" w:sz="3" w:color="E3E6EB"/>
              <w:bottom w:val="single" w:sz="3" w:color="E3E6EB"/>
              <w:right w:val="single" w:sz="3" w:color="E3E6EB"/>
            </w:tcBorders>
          </w:tcPr>
          <w:p>
            <w:r>
              <w:rPr>
                <w:rFonts w:ascii="Liberation Serif" w:hAnsi="Liberation Serif"/>
                <w:color w:val="232734"/>
                <w:sz w:val="18"/>
              </w:rPr>
              <w:t>Initial Version 2.0; no prior adopted version</w:t>
            </w:r>
          </w:p>
        </w:tc>
      </w:tr>
      <w:tr>
        <w:tc>
          <w:tcPr>
            <w:tcW w:type="dxa" w:w="3528"/>
            <w:shd w:fill="F4F6F9"/>
            <w:tcMar>
              <w:top w:w="70" w:type="dxa"/>
              <w:start w:w="95" w:type="dxa"/>
              <w:bottom w:w="70" w:type="dxa"/>
              <w:end w:w="95" w:type="dxa"/>
            </w:tcMar>
            <w:tcBorders>
              <w:top w:val="single" w:sz="3" w:color="E3E6EB"/>
              <w:left w:val="single" w:sz="3" w:color="E3E6EB"/>
              <w:bottom w:val="single" w:sz="3" w:color="E3E6EB"/>
              <w:right w:val="single" w:sz="3" w:color="E3E6EB"/>
            </w:tcBorders>
          </w:tcPr>
          <w:p>
            <w:r>
              <w:rPr>
                <w:rFonts w:ascii="Liberation Serif" w:hAnsi="Liberation Serif"/>
                <w:b/>
                <w:color w:val="232734"/>
                <w:sz w:val="18"/>
              </w:rPr>
              <w:t>Primary Steward</w:t>
            </w:r>
          </w:p>
        </w:tc>
        <w:tc>
          <w:tcPr>
            <w:tcW w:type="dxa" w:w="5760"/>
            <w:shd w:fill="F4F6F9"/>
            <w:tcMar>
              <w:top w:w="70" w:type="dxa"/>
              <w:start w:w="95" w:type="dxa"/>
              <w:bottom w:w="70" w:type="dxa"/>
              <w:end w:w="95" w:type="dxa"/>
            </w:tcMar>
            <w:tcBorders>
              <w:top w:val="single" w:sz="3" w:color="E3E6EB"/>
              <w:left w:val="single" w:sz="3" w:color="E3E6EB"/>
              <w:bottom w:val="single" w:sz="3" w:color="E3E6EB"/>
              <w:right w:val="single" w:sz="3" w:color="E3E6EB"/>
            </w:tcBorders>
          </w:tcPr>
          <w:p>
            <w:r>
              <w:rPr>
                <w:rFonts w:ascii="Liberation Serif" w:hAnsi="Liberation Serif"/>
                <w:color w:val="232734"/>
                <w:sz w:val="18"/>
              </w:rPr>
              <w:t>Founder until formally delegated</w:t>
            </w:r>
          </w:p>
        </w:tc>
      </w:tr>
    </w:tbl>
    <w:p/>
    <w:p>
      <w:pPr>
        <w:pStyle w:val="Heading1"/>
        <w:keepNext/>
        <w:pBdr>
          <w:bottom w:val="single" w:sz="8" w:space="4" w:color="E3E6EB"/>
          <w:bottom w:val="single" w:sz="6" w:space="4" w:color="E3E6EB"/>
        </w:pBdr>
      </w:pPr>
      <w:r>
        <w:t>Required Cross-Canon Dependencies</w:t>
      </w:r>
    </w:p>
    <w:p>
      <w:pPr>
        <w:pStyle w:val="ListBullet"/>
        <w:spacing w:after="40"/>
      </w:pPr>
      <w:r>
        <w:rPr>
          <w:rFonts w:ascii="Liberation Serif" w:hAnsi="Liberation Serif"/>
          <w:color w:val="232734"/>
          <w:sz w:val="20"/>
        </w:rPr>
        <w:t>MASTER_SECURITY_AND_TRUST_MODEL_V2_0.md</w:t>
      </w:r>
    </w:p>
    <w:p>
      <w:pPr>
        <w:pStyle w:val="ListBullet"/>
        <w:spacing w:after="40"/>
      </w:pPr>
      <w:r>
        <w:rPr>
          <w:rFonts w:ascii="Liberation Serif" w:hAnsi="Liberation Serif"/>
          <w:color w:val="232734"/>
          <w:sz w:val="20"/>
        </w:rPr>
        <w:t>MASTER_ACCESS_CONTROL_AND_AUTHORIZATION_MODEL_V2_0.md</w:t>
      </w:r>
    </w:p>
    <w:p>
      <w:pPr>
        <w:pStyle w:val="ListBullet"/>
        <w:spacing w:after="40"/>
      </w:pPr>
      <w:r>
        <w:rPr>
          <w:rFonts w:ascii="Liberation Serif" w:hAnsi="Liberation Serif"/>
          <w:color w:val="232734"/>
          <w:sz w:val="20"/>
        </w:rPr>
        <w:t>MASTER_SECURITY_INCIDENT_RESPONSE_AND_DISCLOSURE_MODEL_V2_1.md</w:t>
      </w:r>
    </w:p>
    <w:p>
      <w:pPr>
        <w:pStyle w:val="ListBullet"/>
        <w:spacing w:after="40"/>
      </w:pPr>
      <w:r>
        <w:rPr>
          <w:rFonts w:ascii="Liberation Serif" w:hAnsi="Liberation Serif"/>
          <w:color w:val="232734"/>
          <w:sz w:val="20"/>
        </w:rPr>
        <w:t>MASTER_DATA_PROTECTION_ENCRYPTION_AND_KEY_MANAGEMENT_MODEL_V2_0.md</w:t>
      </w:r>
    </w:p>
    <w:p>
      <w:pPr>
        <w:pStyle w:val="ListBullet"/>
        <w:spacing w:after="40"/>
      </w:pPr>
      <w:r>
        <w:rPr>
          <w:rFonts w:ascii="Liberation Serif" w:hAnsi="Liberation Serif"/>
          <w:color w:val="232734"/>
          <w:sz w:val="20"/>
        </w:rPr>
        <w:t>MASTER_PLATFORM_RESILIENCE_BACKUP_AND_RECOVERY_MODEL_V2_0.md</w:t>
      </w:r>
    </w:p>
    <w:p>
      <w:pPr>
        <w:pStyle w:val="ListBullet"/>
        <w:spacing w:after="40"/>
      </w:pPr>
      <w:r>
        <w:rPr>
          <w:rFonts w:ascii="Liberation Serif" w:hAnsi="Liberation Serif"/>
          <w:color w:val="232734"/>
          <w:sz w:val="20"/>
        </w:rPr>
        <w:t>Master Privacy and Data Protection Model</w:t>
      </w:r>
    </w:p>
    <w:p>
      <w:pPr>
        <w:pStyle w:val="ListBullet"/>
        <w:spacing w:after="40"/>
      </w:pPr>
      <w:r>
        <w:rPr>
          <w:rFonts w:ascii="Liberation Serif" w:hAnsi="Liberation Serif"/>
          <w:color w:val="232734"/>
          <w:sz w:val="20"/>
        </w:rPr>
        <w:t>Master External Architecture and Adapter Model</w:t>
      </w:r>
    </w:p>
    <w:p>
      <w:pPr>
        <w:pStyle w:val="ListBullet"/>
        <w:spacing w:after="40"/>
      </w:pPr>
      <w:r>
        <w:rPr>
          <w:rFonts w:ascii="Liberation Serif" w:hAnsi="Liberation Serif"/>
          <w:color w:val="232734"/>
          <w:sz w:val="20"/>
        </w:rPr>
        <w:t>Master Audit Event and Evidence Model</w:t>
      </w:r>
    </w:p>
    <w:p>
      <w:pPr>
        <w:pStyle w:val="ListBullet"/>
        <w:spacing w:after="40"/>
      </w:pPr>
      <w:r>
        <w:rPr>
          <w:rFonts w:ascii="Liberation Serif" w:hAnsi="Liberation Serif"/>
          <w:color w:val="232734"/>
          <w:sz w:val="20"/>
        </w:rPr>
        <w:t>Master Claims and Retention Model</w:t>
      </w:r>
    </w:p>
    <w:p>
      <w:pPr>
        <w:pStyle w:val="ListBullet"/>
        <w:spacing w:after="40"/>
      </w:pPr>
      <w:r>
        <w:rPr>
          <w:rFonts w:ascii="Liberation Serif" w:hAnsi="Liberation Serif"/>
          <w:color w:val="232734"/>
          <w:sz w:val="20"/>
        </w:rPr>
        <w:t>Master Record Stewardship and Retention Model</w:t>
      </w:r>
    </w:p>
    <w:p>
      <w:pPr>
        <w:pStyle w:val="ListBullet"/>
        <w:spacing w:after="40"/>
      </w:pPr>
      <w:r>
        <w:rPr>
          <w:rFonts w:ascii="Liberation Serif" w:hAnsi="Liberation Serif"/>
          <w:color w:val="232734"/>
          <w:sz w:val="20"/>
        </w:rPr>
        <w:t>Master Financial Truth and Responsibility Model</w:t>
      </w:r>
    </w:p>
    <w:p>
      <w:pPr>
        <w:pStyle w:val="ListBullet"/>
        <w:spacing w:after="40"/>
      </w:pPr>
      <w:r>
        <w:rPr>
          <w:rFonts w:ascii="Liberation Serif" w:hAnsi="Liberation Serif"/>
          <w:color w:val="232734"/>
          <w:sz w:val="20"/>
        </w:rPr>
        <w:t>Master Identity, Account, and Actor Model</w:t>
      </w:r>
    </w:p>
    <w:p>
      <w:pPr>
        <w:pStyle w:val="ListBullet"/>
        <w:spacing w:after="40"/>
      </w:pPr>
      <w:r>
        <w:rPr>
          <w:rFonts w:ascii="Liberation Serif" w:hAnsi="Liberation Serif"/>
          <w:color w:val="232734"/>
          <w:sz w:val="20"/>
        </w:rPr>
        <w:t>Master Communication, Notification, and Notice Model</w:t>
      </w:r>
    </w:p>
    <w:p>
      <w:pPr>
        <w:pStyle w:val="ListBullet"/>
        <w:spacing w:after="40"/>
      </w:pPr>
      <w:r>
        <w:rPr>
          <w:rFonts w:ascii="Liberation Serif" w:hAnsi="Liberation Serif"/>
          <w:color w:val="232734"/>
          <w:sz w:val="20"/>
        </w:rPr>
        <w:t>Master AI Governance and Decision Boundary Model</w:t>
      </w:r>
    </w:p>
    <w:p>
      <w:pPr>
        <w:pStyle w:val="ListBullet"/>
        <w:spacing w:after="40"/>
      </w:pPr>
      <w:r>
        <w:rPr>
          <w:rFonts w:ascii="Liberation Serif" w:hAnsi="Liberation Serif"/>
          <w:color w:val="232734"/>
          <w:sz w:val="20"/>
        </w:rPr>
        <w:t>Master Platform Operations, Reliability, and Release Model</w:t>
      </w:r>
    </w:p>
    <w:p>
      <w:pPr>
        <w:pStyle w:val="ListBullet"/>
        <w:spacing w:after="40"/>
      </w:pPr>
      <w:r>
        <w:rPr>
          <w:rFonts w:ascii="Liberation Serif" w:hAnsi="Liberation Serif"/>
          <w:color w:val="232734"/>
          <w:sz w:val="20"/>
        </w:rPr>
        <w:t>Governing offline synchronization canon</w:t>
      </w:r>
    </w:p>
    <w:p>
      <w:pPr>
        <w:pStyle w:val="ListBullet"/>
        <w:spacing w:after="40"/>
      </w:pPr>
      <w:r>
        <w:rPr>
          <w:rFonts w:ascii="Liberation Serif" w:hAnsi="Liberation Serif"/>
          <w:color w:val="232734"/>
          <w:sz w:val="20"/>
        </w:rPr>
        <w:t>Controlling minors and safeguarding governance</w:t>
      </w:r>
    </w:p>
    <w:p>
      <w:pPr>
        <w:pStyle w:val="ListBullet"/>
        <w:spacing w:after="40"/>
      </w:pPr>
      <w:r>
        <w:rPr>
          <w:rFonts w:ascii="Liberation Serif" w:hAnsi="Liberation Serif"/>
          <w:color w:val="232734"/>
          <w:sz w:val="20"/>
        </w:rPr>
        <w:t>Governing agreement and consent canon</w:t>
      </w:r>
    </w:p>
    <w:p>
      <w:pPr>
        <w:pStyle w:val="ListBullet"/>
        <w:spacing w:after="40"/>
      </w:pPr>
      <w:r>
        <w:rPr>
          <w:rFonts w:ascii="Liberation Serif" w:hAnsi="Liberation Serif"/>
          <w:color w:val="232734"/>
          <w:sz w:val="20"/>
        </w:rPr>
        <w:t>Master EquineSync Implementation Atlas and all applicable implementation gates</w:t>
      </w:r>
    </w:p>
    <w:p>
      <w:pPr>
        <w:pStyle w:val="Heading1"/>
        <w:keepNext/>
        <w:pBdr>
          <w:bottom w:val="single" w:sz="8" w:space="4" w:color="E3E6EB"/>
          <w:bottom w:val="single" w:sz="6" w:space="4" w:color="E3E6EB"/>
        </w:pBdr>
      </w:pPr>
      <w:r>
        <w:t>Executive Constitutional Rule</w:t>
      </w:r>
    </w:p>
    <w:tbl>
      <w:tblPr>
        <w:tblW w:type="auto" w:w="0"/>
        <w:jc w:val="center"/>
        <w:tblLayout w:type="fixed"/>
        <w:tblLook w:firstColumn="1" w:firstRow="1" w:lastColumn="0" w:lastRow="0" w:noHBand="0" w:noVBand="1" w:val="04A0"/>
      </w:tblPr>
      <w:tblGrid>
        <w:gridCol w:w="115"/>
        <w:gridCol w:w="9144"/>
      </w:tblGrid>
      <w:tr>
        <w:tc>
          <w:tcPr>
            <w:tcW w:type="dxa" w:w="4939"/>
            <w:shd w:fill="B8AECF"/>
            <w:tcBorders>
              <w:top w:val="nil"/>
              <w:left w:val="nil"/>
              <w:bottom w:val="nil"/>
              <w:right w:val="nil"/>
            </w:tcBorders>
          </w:tcPr>
          <w:p/>
        </w:tc>
        <w:tc>
          <w:tcPr>
            <w:tcW w:type="dxa" w:w="4939"/>
            <w:shd w:fill="DCEAF4"/>
            <w:tcMar>
              <w:top w:w="130" w:type="dxa"/>
              <w:start w:w="160" w:type="dxa"/>
              <w:bottom w:w="130" w:type="dxa"/>
              <w:end w:w="160" w:type="dxa"/>
            </w:tcMar>
            <w:tcBorders>
              <w:top w:val="nil"/>
              <w:left w:val="nil"/>
              <w:bottom w:val="nil"/>
              <w:right w:val="nil"/>
            </w:tcBorders>
          </w:tcPr>
          <w:p>
            <w:pPr>
              <w:jc w:val="left"/>
            </w:pPr>
            <w:r>
              <w:rPr>
                <w:rFonts w:ascii="Liberation Serif" w:hAnsi="Liberation Serif"/>
                <w:i/>
                <w:color w:val="232734"/>
                <w:sz w:val="23"/>
              </w:rPr>
              <w:t>EquineSync may use vendors and software dependencies only within a defined, evidence-backed, minimum-necessary, revocable, and exit-capable trust boundary. No vendor, certification, marketplace listing, contract, integration, or technical convenience creates authority to access customer data, alter authoritative records, weaken tenant isolation, train shared models, or enter production without separate governed approval and validation.</w:t>
            </w:r>
          </w:p>
        </w:tc>
      </w:tr>
    </w:tbl>
    <w:p>
      <w:r>
        <w:br w:type="page"/>
      </w:r>
    </w:p>
    <w:p>
      <w:pPr>
        <w:pStyle w:val="Heading1"/>
        <w:keepNext/>
        <w:pBdr>
          <w:bottom w:val="single" w:sz="6" w:space="4" w:color="E3E6EB"/>
        </w:pBdr>
      </w:pPr>
      <w:r>
        <w:t>1. Constitutional Purpose</w:t>
      </w:r>
    </w:p>
    <w:p>
      <w:pPr>
        <w:spacing w:after="120" w:line="252" w:lineRule="auto"/>
      </w:pPr>
      <w:r>
        <w:rPr>
          <w:rFonts w:ascii="Liberation Serif" w:hAnsi="Liberation Serif"/>
          <w:color w:val="232734"/>
          <w:sz w:val="20"/>
        </w:rPr>
        <w:t>This Master Vendor Security and Supply Chain Model establishes the controlling governance framework for evaluating, selecting, contracting with, onboarding, monitoring, restricting, replacing, and terminating vendors and supply-chain dependencies used by EquineSync.</w:t>
      </w:r>
    </w:p>
    <w:p>
      <w:pPr>
        <w:spacing w:after="120" w:line="252" w:lineRule="auto"/>
      </w:pPr>
      <w:r>
        <w:rPr>
          <w:rFonts w:ascii="Liberation Serif" w:hAnsi="Liberation Serif"/>
          <w:color w:val="232734"/>
          <w:sz w:val="20"/>
        </w:rPr>
        <w:t>It governs relationships involving:</w:t>
      </w:r>
    </w:p>
    <w:p>
      <w:pPr>
        <w:pStyle w:val="ListBullet"/>
      </w:pPr>
      <w:r>
        <w:rPr>
          <w:rFonts w:ascii="Liberation Serif" w:hAnsi="Liberation Serif"/>
          <w:color w:val="232734"/>
          <w:sz w:val="20"/>
        </w:rPr>
        <w:t>cloud infrastructure;</w:t>
      </w:r>
    </w:p>
    <w:p>
      <w:pPr>
        <w:pStyle w:val="ListBullet"/>
      </w:pPr>
      <w:r>
        <w:rPr>
          <w:rFonts w:ascii="Liberation Serif" w:hAnsi="Liberation Serif"/>
          <w:color w:val="232734"/>
          <w:sz w:val="20"/>
        </w:rPr>
        <w:t>software-as-a-service providers;</w:t>
      </w:r>
    </w:p>
    <w:p>
      <w:pPr>
        <w:pStyle w:val="ListBullet"/>
      </w:pPr>
      <w:r>
        <w:rPr>
          <w:rFonts w:ascii="Liberation Serif" w:hAnsi="Liberation Serif"/>
          <w:color w:val="232734"/>
          <w:sz w:val="20"/>
        </w:rPr>
        <w:t>payment processors;</w:t>
      </w:r>
    </w:p>
    <w:p>
      <w:pPr>
        <w:pStyle w:val="ListBullet"/>
      </w:pPr>
      <w:r>
        <w:rPr>
          <w:rFonts w:ascii="Liberation Serif" w:hAnsi="Liberation Serif"/>
          <w:color w:val="232734"/>
          <w:sz w:val="20"/>
        </w:rPr>
        <w:t>identity providers;</w:t>
      </w:r>
    </w:p>
    <w:p>
      <w:pPr>
        <w:pStyle w:val="ListBullet"/>
      </w:pPr>
      <w:r>
        <w:rPr>
          <w:rFonts w:ascii="Liberation Serif" w:hAnsi="Liberation Serif"/>
          <w:color w:val="232734"/>
          <w:sz w:val="20"/>
        </w:rPr>
        <w:t>communication providers;</w:t>
      </w:r>
    </w:p>
    <w:p>
      <w:pPr>
        <w:pStyle w:val="ListBullet"/>
      </w:pPr>
      <w:r>
        <w:rPr>
          <w:rFonts w:ascii="Liberation Serif" w:hAnsi="Liberation Serif"/>
          <w:color w:val="232734"/>
          <w:sz w:val="20"/>
        </w:rPr>
        <w:t>analytics services;</w:t>
      </w:r>
    </w:p>
    <w:p>
      <w:pPr>
        <w:pStyle w:val="ListBullet"/>
      </w:pPr>
      <w:r>
        <w:rPr>
          <w:rFonts w:ascii="Liberation Serif" w:hAnsi="Liberation Serif"/>
          <w:color w:val="232734"/>
          <w:sz w:val="20"/>
        </w:rPr>
        <w:t>AI and model providers;</w:t>
      </w:r>
    </w:p>
    <w:p>
      <w:pPr>
        <w:pStyle w:val="ListBullet"/>
      </w:pPr>
      <w:r>
        <w:rPr>
          <w:rFonts w:ascii="Liberation Serif" w:hAnsi="Liberation Serif"/>
          <w:color w:val="232734"/>
          <w:sz w:val="20"/>
        </w:rPr>
        <w:t>source-code hosts;</w:t>
      </w:r>
    </w:p>
    <w:p>
      <w:pPr>
        <w:pStyle w:val="ListBullet"/>
      </w:pPr>
      <w:r>
        <w:rPr>
          <w:rFonts w:ascii="Liberation Serif" w:hAnsi="Liberation Serif"/>
          <w:color w:val="232734"/>
          <w:sz w:val="20"/>
        </w:rPr>
        <w:t>build systems;</w:t>
      </w:r>
    </w:p>
    <w:p>
      <w:pPr>
        <w:pStyle w:val="ListBullet"/>
      </w:pPr>
      <w:r>
        <w:rPr>
          <w:rFonts w:ascii="Liberation Serif" w:hAnsi="Liberation Serif"/>
          <w:color w:val="232734"/>
          <w:sz w:val="20"/>
        </w:rPr>
        <w:t>package registries;</w:t>
      </w:r>
    </w:p>
    <w:p>
      <w:pPr>
        <w:pStyle w:val="ListBullet"/>
      </w:pPr>
      <w:r>
        <w:rPr>
          <w:rFonts w:ascii="Liberation Serif" w:hAnsi="Liberation Serif"/>
          <w:color w:val="232734"/>
          <w:sz w:val="20"/>
        </w:rPr>
        <w:t>open-source libraries;</w:t>
      </w:r>
    </w:p>
    <w:p>
      <w:pPr>
        <w:pStyle w:val="ListBullet"/>
      </w:pPr>
      <w:r>
        <w:rPr>
          <w:rFonts w:ascii="Liberation Serif" w:hAnsi="Liberation Serif"/>
          <w:color w:val="232734"/>
          <w:sz w:val="20"/>
        </w:rPr>
        <w:t>mobile application distribution;</w:t>
      </w:r>
    </w:p>
    <w:p>
      <w:pPr>
        <w:pStyle w:val="ListBullet"/>
      </w:pPr>
      <w:r>
        <w:rPr>
          <w:rFonts w:ascii="Liberation Serif" w:hAnsi="Liberation Serif"/>
          <w:color w:val="232734"/>
          <w:sz w:val="20"/>
        </w:rPr>
        <w:t>monitoring and logging services;</w:t>
      </w:r>
    </w:p>
    <w:p>
      <w:pPr>
        <w:pStyle w:val="ListBullet"/>
      </w:pPr>
      <w:r>
        <w:rPr>
          <w:rFonts w:ascii="Liberation Serif" w:hAnsi="Liberation Serif"/>
          <w:color w:val="232734"/>
          <w:sz w:val="20"/>
        </w:rPr>
        <w:t>customer-support platforms;</w:t>
      </w:r>
    </w:p>
    <w:p>
      <w:pPr>
        <w:pStyle w:val="ListBullet"/>
      </w:pPr>
      <w:r>
        <w:rPr>
          <w:rFonts w:ascii="Liberation Serif" w:hAnsi="Liberation Serif"/>
          <w:color w:val="232734"/>
          <w:sz w:val="20"/>
        </w:rPr>
        <w:t>contractors;</w:t>
      </w:r>
    </w:p>
    <w:p>
      <w:pPr>
        <w:pStyle w:val="ListBullet"/>
      </w:pPr>
      <w:r>
        <w:rPr>
          <w:rFonts w:ascii="Liberation Serif" w:hAnsi="Liberation Serif"/>
          <w:color w:val="232734"/>
          <w:sz w:val="20"/>
        </w:rPr>
        <w:t>consultants;</w:t>
      </w:r>
    </w:p>
    <w:p>
      <w:pPr>
        <w:pStyle w:val="ListBullet"/>
      </w:pPr>
      <w:r>
        <w:rPr>
          <w:rFonts w:ascii="Liberation Serif" w:hAnsi="Liberation Serif"/>
          <w:color w:val="232734"/>
          <w:sz w:val="20"/>
        </w:rPr>
        <w:t>subprocessors;</w:t>
      </w:r>
    </w:p>
    <w:p>
      <w:pPr>
        <w:pStyle w:val="ListBullet"/>
      </w:pPr>
      <w:r>
        <w:rPr>
          <w:rFonts w:ascii="Liberation Serif" w:hAnsi="Liberation Serif"/>
          <w:color w:val="232734"/>
          <w:sz w:val="20"/>
        </w:rPr>
        <w:t>fourth-party providers;</w:t>
      </w:r>
    </w:p>
    <w:p>
      <w:pPr>
        <w:pStyle w:val="ListBullet"/>
      </w:pPr>
      <w:r>
        <w:rPr>
          <w:rFonts w:ascii="Liberation Serif" w:hAnsi="Liberation Serif"/>
          <w:color w:val="232734"/>
          <w:sz w:val="20"/>
        </w:rPr>
        <w:t>data-storage providers;</w:t>
      </w:r>
    </w:p>
    <w:p>
      <w:pPr>
        <w:pStyle w:val="ListBullet"/>
      </w:pPr>
      <w:r>
        <w:rPr>
          <w:rFonts w:ascii="Liberation Serif" w:hAnsi="Liberation Serif"/>
          <w:color w:val="232734"/>
          <w:sz w:val="20"/>
        </w:rPr>
        <w:t>integration partners;</w:t>
      </w:r>
    </w:p>
    <w:p>
      <w:pPr>
        <w:pStyle w:val="ListBullet"/>
      </w:pPr>
      <w:r>
        <w:rPr>
          <w:rFonts w:ascii="Liberation Serif" w:hAnsi="Liberation Serif"/>
          <w:color w:val="232734"/>
          <w:sz w:val="20"/>
        </w:rPr>
        <w:t>professional advisers;</w:t>
      </w:r>
    </w:p>
    <w:p>
      <w:pPr>
        <w:pStyle w:val="ListBullet"/>
      </w:pPr>
      <w:r>
        <w:rPr>
          <w:rFonts w:ascii="Liberation Serif" w:hAnsi="Liberation Serif"/>
          <w:color w:val="232734"/>
          <w:sz w:val="20"/>
        </w:rPr>
        <w:t>security-testing providers;</w:t>
      </w:r>
    </w:p>
    <w:p>
      <w:pPr>
        <w:pStyle w:val="ListBullet"/>
      </w:pPr>
      <w:r>
        <w:rPr>
          <w:rFonts w:ascii="Liberation Serif" w:hAnsi="Liberation Serif"/>
          <w:color w:val="232734"/>
          <w:sz w:val="20"/>
        </w:rPr>
        <w:t>recovery and backup providers.</w:t>
      </w:r>
    </w:p>
    <w:p>
      <w:pPr>
        <w:spacing w:after="120" w:line="252" w:lineRule="auto"/>
      </w:pPr>
      <w:r>
        <w:rPr>
          <w:rFonts w:ascii="Liberation Serif" w:hAnsi="Liberation Serif"/>
          <w:color w:val="232734"/>
          <w:sz w:val="20"/>
        </w:rPr>
        <w:t>A vendor relationship is not merely a commercial purchase.</w:t>
      </w:r>
    </w:p>
    <w:p>
      <w:pPr>
        <w:spacing w:after="120" w:line="252" w:lineRule="auto"/>
      </w:pPr>
      <w:r>
        <w:rPr>
          <w:rFonts w:ascii="Liberation Serif" w:hAnsi="Liberation Serif"/>
          <w:color w:val="232734"/>
          <w:sz w:val="20"/>
        </w:rPr>
        <w:t>A vendor may obtain the ability to:</w:t>
      </w:r>
    </w:p>
    <w:p>
      <w:pPr>
        <w:pStyle w:val="ListBullet"/>
      </w:pPr>
      <w:r>
        <w:rPr>
          <w:rFonts w:ascii="Liberation Serif" w:hAnsi="Liberation Serif"/>
          <w:color w:val="232734"/>
          <w:sz w:val="20"/>
        </w:rPr>
        <w:t>access customer information;</w:t>
      </w:r>
    </w:p>
    <w:p>
      <w:pPr>
        <w:pStyle w:val="ListBullet"/>
      </w:pPr>
      <w:r>
        <w:rPr>
          <w:rFonts w:ascii="Liberation Serif" w:hAnsi="Liberation Serif"/>
          <w:color w:val="232734"/>
          <w:sz w:val="20"/>
        </w:rPr>
        <w:t>affect authoritative records;</w:t>
      </w:r>
    </w:p>
    <w:p>
      <w:pPr>
        <w:pStyle w:val="ListBullet"/>
      </w:pPr>
      <w:r>
        <w:rPr>
          <w:rFonts w:ascii="Liberation Serif" w:hAnsi="Liberation Serif"/>
          <w:color w:val="232734"/>
          <w:sz w:val="20"/>
        </w:rPr>
        <w:t>influence authentication;</w:t>
      </w:r>
    </w:p>
    <w:p>
      <w:pPr>
        <w:pStyle w:val="ListBullet"/>
      </w:pPr>
      <w:r>
        <w:rPr>
          <w:rFonts w:ascii="Liberation Serif" w:hAnsi="Liberation Serif"/>
          <w:color w:val="232734"/>
          <w:sz w:val="20"/>
        </w:rPr>
        <w:t>process payments;</w:t>
      </w:r>
    </w:p>
    <w:p>
      <w:pPr>
        <w:pStyle w:val="ListBullet"/>
      </w:pPr>
      <w:r>
        <w:rPr>
          <w:rFonts w:ascii="Liberation Serif" w:hAnsi="Liberation Serif"/>
          <w:color w:val="232734"/>
          <w:sz w:val="20"/>
        </w:rPr>
        <w:t>deliver communications;</w:t>
      </w:r>
    </w:p>
    <w:p>
      <w:pPr>
        <w:pStyle w:val="ListBullet"/>
      </w:pPr>
      <w:r>
        <w:rPr>
          <w:rFonts w:ascii="Liberation Serif" w:hAnsi="Liberation Serif"/>
          <w:color w:val="232734"/>
          <w:sz w:val="20"/>
        </w:rPr>
        <w:t>alter software;</w:t>
      </w:r>
    </w:p>
    <w:p>
      <w:pPr>
        <w:pStyle w:val="ListBullet"/>
      </w:pPr>
      <w:r>
        <w:rPr>
          <w:rFonts w:ascii="Liberation Serif" w:hAnsi="Liberation Serif"/>
          <w:color w:val="232734"/>
          <w:sz w:val="20"/>
        </w:rPr>
        <w:t>interrupt horse-care operations;</w:t>
      </w:r>
    </w:p>
    <w:p>
      <w:pPr>
        <w:pStyle w:val="ListBullet"/>
      </w:pPr>
      <w:r>
        <w:rPr>
          <w:rFonts w:ascii="Liberation Serif" w:hAnsi="Liberation Serif"/>
          <w:color w:val="232734"/>
          <w:sz w:val="20"/>
        </w:rPr>
        <w:t>compromise tenant isolation;</w:t>
      </w:r>
    </w:p>
    <w:p>
      <w:pPr>
        <w:pStyle w:val="ListBullet"/>
      </w:pPr>
      <w:r>
        <w:rPr>
          <w:rFonts w:ascii="Liberation Serif" w:hAnsi="Liberation Serif"/>
          <w:color w:val="232734"/>
          <w:sz w:val="20"/>
        </w:rPr>
        <w:t>preserve or destroy evidence;</w:t>
      </w:r>
    </w:p>
    <w:p>
      <w:pPr>
        <w:pStyle w:val="ListBullet"/>
      </w:pPr>
      <w:r>
        <w:rPr>
          <w:rFonts w:ascii="Liberation Serif" w:hAnsi="Liberation Serif"/>
          <w:color w:val="232734"/>
          <w:sz w:val="20"/>
        </w:rPr>
        <w:t>affect legal and regulatory obligations;</w:t>
      </w:r>
    </w:p>
    <w:p>
      <w:pPr>
        <w:pStyle w:val="ListBullet"/>
      </w:pPr>
      <w:r>
        <w:rPr>
          <w:rFonts w:ascii="Liberation Serif" w:hAnsi="Liberation Serif"/>
          <w:color w:val="232734"/>
          <w:sz w:val="20"/>
        </w:rPr>
        <w:t>create concentration and continuity risk.</w:t>
      </w:r>
    </w:p>
    <w:p>
      <w:pPr>
        <w:spacing w:after="120" w:line="252" w:lineRule="auto"/>
      </w:pPr>
      <w:r>
        <w:rPr>
          <w:rFonts w:ascii="Liberation Serif" w:hAnsi="Liberation Serif"/>
          <w:color w:val="232734"/>
          <w:sz w:val="20"/>
        </w:rPr>
        <w:t>Vendor and supply-chain governance shall therefore be treated as constitutional trust governance.</w:t>
      </w:r>
    </w:p>
    <w:p>
      <w:pPr>
        <w:pStyle w:val="Heading1"/>
        <w:keepNext/>
        <w:pBdr>
          <w:bottom w:val="single" w:sz="6" w:space="4" w:color="E3E6EB"/>
        </w:pBdr>
      </w:pPr>
      <w:r>
        <w:t>2. Governing Principles</w:t>
      </w:r>
    </w:p>
    <w:p>
      <w:pPr>
        <w:spacing w:after="120" w:line="252" w:lineRule="auto"/>
      </w:pPr>
      <w:r>
        <w:rPr>
          <w:rFonts w:ascii="Liberation Serif" w:hAnsi="Liberation Serif"/>
          <w:color w:val="232734"/>
          <w:sz w:val="20"/>
        </w:rPr>
        <w:t>EquineSync shall govern vendors and supply-chain dependencies according to these principles:</w:t>
      </w:r>
    </w:p>
    <w:p>
      <w:pPr>
        <w:spacing w:after="50"/>
        <w:ind w:left="346" w:hanging="346"/>
      </w:pPr>
      <w:r>
        <w:rPr>
          <w:rFonts w:ascii="Liberation Serif" w:hAnsi="Liberation Serif"/>
          <w:b w:val="0"/>
          <w:color w:val="232734"/>
          <w:sz w:val="20"/>
        </w:rPr>
        <w:t xml:space="preserve">1. </w:t>
      </w:r>
      <w:r>
        <w:rPr>
          <w:rFonts w:ascii="Liberation Serif" w:hAnsi="Liberation Serif"/>
          <w:color w:val="232734"/>
          <w:sz w:val="20"/>
        </w:rPr>
        <w:t>no vendor receives trust merely because it is popular, large, certified, or already in use;</w:t>
      </w:r>
    </w:p>
    <w:p>
      <w:pPr>
        <w:spacing w:after="50"/>
        <w:ind w:left="346" w:hanging="346"/>
      </w:pPr>
      <w:r>
        <w:rPr>
          <w:rFonts w:ascii="Liberation Serif" w:hAnsi="Liberation Serif"/>
          <w:b w:val="0"/>
          <w:color w:val="232734"/>
          <w:sz w:val="20"/>
        </w:rPr>
        <w:t xml:space="preserve">2. </w:t>
      </w:r>
      <w:r>
        <w:rPr>
          <w:rFonts w:ascii="Liberation Serif" w:hAnsi="Liberation Serif"/>
          <w:color w:val="232734"/>
          <w:sz w:val="20"/>
        </w:rPr>
        <w:t>review depth shall increase with data sensitivity, authority, criticality, and exit difficulty;</w:t>
      </w:r>
    </w:p>
    <w:p>
      <w:pPr>
        <w:spacing w:after="50"/>
        <w:ind w:left="346" w:hanging="346"/>
      </w:pPr>
      <w:r>
        <w:rPr>
          <w:rFonts w:ascii="Liberation Serif" w:hAnsi="Liberation Serif"/>
          <w:b w:val="0"/>
          <w:color w:val="232734"/>
          <w:sz w:val="20"/>
        </w:rPr>
        <w:t xml:space="preserve">3. </w:t>
      </w:r>
      <w:r>
        <w:rPr>
          <w:rFonts w:ascii="Liberation Serif" w:hAnsi="Liberation Serif"/>
          <w:color w:val="232734"/>
          <w:sz w:val="20"/>
        </w:rPr>
        <w:t>vendors shall receive only minimum-necessary access and information;</w:t>
      </w:r>
    </w:p>
    <w:p>
      <w:pPr>
        <w:spacing w:after="50"/>
        <w:ind w:left="346" w:hanging="346"/>
      </w:pPr>
      <w:r>
        <w:rPr>
          <w:rFonts w:ascii="Liberation Serif" w:hAnsi="Liberation Serif"/>
          <w:b w:val="0"/>
          <w:color w:val="232734"/>
          <w:sz w:val="20"/>
        </w:rPr>
        <w:t xml:space="preserve">4. </w:t>
      </w:r>
      <w:r>
        <w:rPr>
          <w:rFonts w:ascii="Liberation Serif" w:hAnsi="Liberation Serif"/>
          <w:color w:val="232734"/>
          <w:sz w:val="20"/>
        </w:rPr>
        <w:t>customer operational data shall not be sold, licensed, or used for unrelated monetization;</w:t>
      </w:r>
    </w:p>
    <w:p>
      <w:pPr>
        <w:spacing w:after="50"/>
        <w:ind w:left="346" w:hanging="346"/>
      </w:pPr>
      <w:r>
        <w:rPr>
          <w:rFonts w:ascii="Liberation Serif" w:hAnsi="Liberation Serif"/>
          <w:b w:val="0"/>
          <w:color w:val="232734"/>
          <w:sz w:val="20"/>
        </w:rPr>
        <w:t xml:space="preserve">5. </w:t>
      </w:r>
      <w:r>
        <w:rPr>
          <w:rFonts w:ascii="Liberation Serif" w:hAnsi="Liberation Serif"/>
          <w:color w:val="232734"/>
          <w:sz w:val="20"/>
        </w:rPr>
        <w:t>customer data shall not train shared or general AI models;</w:t>
      </w:r>
    </w:p>
    <w:p>
      <w:pPr>
        <w:spacing w:after="50"/>
        <w:ind w:left="346" w:hanging="346"/>
      </w:pPr>
      <w:r>
        <w:rPr>
          <w:rFonts w:ascii="Liberation Serif" w:hAnsi="Liberation Serif"/>
          <w:b w:val="0"/>
          <w:color w:val="232734"/>
          <w:sz w:val="20"/>
        </w:rPr>
        <w:t xml:space="preserve">6. </w:t>
      </w:r>
      <w:r>
        <w:rPr>
          <w:rFonts w:ascii="Liberation Serif" w:hAnsi="Liberation Serif"/>
          <w:color w:val="232734"/>
          <w:sz w:val="20"/>
        </w:rPr>
        <w:t>tenant isolation must extend through vendor processing;</w:t>
      </w:r>
    </w:p>
    <w:p>
      <w:pPr>
        <w:spacing w:after="50"/>
        <w:ind w:left="346" w:hanging="346"/>
      </w:pPr>
      <w:r>
        <w:rPr>
          <w:rFonts w:ascii="Liberation Serif" w:hAnsi="Liberation Serif"/>
          <w:b w:val="0"/>
          <w:color w:val="232734"/>
          <w:sz w:val="20"/>
        </w:rPr>
        <w:t xml:space="preserve">7. </w:t>
      </w:r>
      <w:r>
        <w:rPr>
          <w:rFonts w:ascii="Liberation Serif" w:hAnsi="Liberation Serif"/>
          <w:color w:val="232734"/>
          <w:sz w:val="20"/>
        </w:rPr>
        <w:t>vendor security claims require evidence;</w:t>
      </w:r>
    </w:p>
    <w:p>
      <w:pPr>
        <w:spacing w:after="50"/>
        <w:ind w:left="346" w:hanging="346"/>
      </w:pPr>
      <w:r>
        <w:rPr>
          <w:rFonts w:ascii="Liberation Serif" w:hAnsi="Liberation Serif"/>
          <w:b w:val="0"/>
          <w:color w:val="232734"/>
          <w:sz w:val="20"/>
        </w:rPr>
        <w:t xml:space="preserve">8. </w:t>
      </w:r>
      <w:r>
        <w:rPr>
          <w:rFonts w:ascii="Liberation Serif" w:hAnsi="Liberation Serif"/>
          <w:color w:val="232734"/>
          <w:sz w:val="20"/>
        </w:rPr>
        <w:t>contracts must reflect actual technical and operational risk;</w:t>
      </w:r>
    </w:p>
    <w:p>
      <w:pPr>
        <w:spacing w:after="50"/>
        <w:ind w:left="346" w:hanging="346"/>
      </w:pPr>
      <w:r>
        <w:rPr>
          <w:rFonts w:ascii="Liberation Serif" w:hAnsi="Liberation Serif"/>
          <w:b w:val="0"/>
          <w:color w:val="232734"/>
          <w:sz w:val="20"/>
        </w:rPr>
        <w:t xml:space="preserve">9. </w:t>
      </w:r>
      <w:r>
        <w:rPr>
          <w:rFonts w:ascii="Liberation Serif" w:hAnsi="Liberation Serif"/>
          <w:color w:val="232734"/>
          <w:sz w:val="20"/>
        </w:rPr>
        <w:t>critical vendors require continuity and exit planning before activation;</w:t>
      </w:r>
    </w:p>
    <w:p>
      <w:pPr>
        <w:spacing w:after="50"/>
        <w:ind w:left="346" w:hanging="346"/>
      </w:pPr>
      <w:r>
        <w:rPr>
          <w:rFonts w:ascii="Liberation Serif" w:hAnsi="Liberation Serif"/>
          <w:b w:val="0"/>
          <w:color w:val="232734"/>
          <w:sz w:val="20"/>
        </w:rPr>
        <w:t xml:space="preserve">10. </w:t>
      </w:r>
      <w:r>
        <w:rPr>
          <w:rFonts w:ascii="Liberation Serif" w:hAnsi="Liberation Serif"/>
          <w:color w:val="232734"/>
          <w:sz w:val="20"/>
        </w:rPr>
        <w:t>subprocessors and fourth parties must not become invisible trust pathways;</w:t>
      </w:r>
    </w:p>
    <w:p>
      <w:pPr>
        <w:spacing w:after="50"/>
        <w:ind w:left="346" w:hanging="346"/>
      </w:pPr>
      <w:r>
        <w:rPr>
          <w:rFonts w:ascii="Liberation Serif" w:hAnsi="Liberation Serif"/>
          <w:b w:val="0"/>
          <w:color w:val="232734"/>
          <w:sz w:val="20"/>
        </w:rPr>
        <w:t xml:space="preserve">11. </w:t>
      </w:r>
      <w:r>
        <w:rPr>
          <w:rFonts w:ascii="Liberation Serif" w:hAnsi="Liberation Serif"/>
          <w:color w:val="232734"/>
          <w:sz w:val="20"/>
        </w:rPr>
        <w:t>source code and build dependencies are part of the security perimeter;</w:t>
      </w:r>
    </w:p>
    <w:p>
      <w:pPr>
        <w:spacing w:after="50"/>
        <w:ind w:left="346" w:hanging="346"/>
      </w:pPr>
      <w:r>
        <w:rPr>
          <w:rFonts w:ascii="Liberation Serif" w:hAnsi="Liberation Serif"/>
          <w:b w:val="0"/>
          <w:color w:val="232734"/>
          <w:sz w:val="20"/>
        </w:rPr>
        <w:t xml:space="preserve">12. </w:t>
      </w:r>
      <w:r>
        <w:rPr>
          <w:rFonts w:ascii="Liberation Serif" w:hAnsi="Liberation Serif"/>
          <w:color w:val="232734"/>
          <w:sz w:val="20"/>
        </w:rPr>
        <w:t>vendor convenience does not override privacy, safeguarding, financial, audit, or evidentiary requirements;</w:t>
      </w:r>
    </w:p>
    <w:p>
      <w:pPr>
        <w:spacing w:after="50"/>
        <w:ind w:left="346" w:hanging="346"/>
      </w:pPr>
      <w:r>
        <w:rPr>
          <w:rFonts w:ascii="Liberation Serif" w:hAnsi="Liberation Serif"/>
          <w:b w:val="0"/>
          <w:color w:val="232734"/>
          <w:sz w:val="20"/>
        </w:rPr>
        <w:t xml:space="preserve">13. </w:t>
      </w:r>
      <w:r>
        <w:rPr>
          <w:rFonts w:ascii="Liberation Serif" w:hAnsi="Liberation Serif"/>
          <w:color w:val="232734"/>
          <w:sz w:val="20"/>
        </w:rPr>
        <w:t>provider neutrality and migration capability shall be preserved where reasonably possible;</w:t>
      </w:r>
    </w:p>
    <w:p>
      <w:pPr>
        <w:spacing w:after="50"/>
        <w:ind w:left="346" w:hanging="346"/>
      </w:pPr>
      <w:r>
        <w:rPr>
          <w:rFonts w:ascii="Liberation Serif" w:hAnsi="Liberation Serif"/>
          <w:b w:val="0"/>
          <w:color w:val="232734"/>
          <w:sz w:val="20"/>
        </w:rPr>
        <w:t xml:space="preserve">14. </w:t>
      </w:r>
      <w:r>
        <w:rPr>
          <w:rFonts w:ascii="Liberation Serif" w:hAnsi="Liberation Serif"/>
          <w:color w:val="232734"/>
          <w:sz w:val="20"/>
        </w:rPr>
        <w:t>vendor access must be revocable;</w:t>
      </w:r>
    </w:p>
    <w:p>
      <w:pPr>
        <w:spacing w:after="50"/>
        <w:ind w:left="346" w:hanging="346"/>
      </w:pPr>
      <w:r>
        <w:rPr>
          <w:rFonts w:ascii="Liberation Serif" w:hAnsi="Liberation Serif"/>
          <w:b w:val="0"/>
          <w:color w:val="232734"/>
          <w:sz w:val="20"/>
        </w:rPr>
        <w:t xml:space="preserve">15. </w:t>
      </w:r>
      <w:r>
        <w:rPr>
          <w:rFonts w:ascii="Liberation Serif" w:hAnsi="Liberation Serif"/>
          <w:color w:val="232734"/>
          <w:sz w:val="20"/>
        </w:rPr>
        <w:t>vendor failure must not silently erase recovery options;</w:t>
      </w:r>
    </w:p>
    <w:p>
      <w:pPr>
        <w:spacing w:after="50"/>
        <w:ind w:left="346" w:hanging="346"/>
      </w:pPr>
      <w:r>
        <w:rPr>
          <w:rFonts w:ascii="Liberation Serif" w:hAnsi="Liberation Serif"/>
          <w:b w:val="0"/>
          <w:color w:val="232734"/>
          <w:sz w:val="20"/>
        </w:rPr>
        <w:t xml:space="preserve">16. </w:t>
      </w:r>
      <w:r>
        <w:rPr>
          <w:rFonts w:ascii="Liberation Serif" w:hAnsi="Liberation Serif"/>
          <w:color w:val="232734"/>
          <w:sz w:val="20"/>
        </w:rPr>
        <w:t>continuing use requires continuing justification;</w:t>
      </w:r>
    </w:p>
    <w:p>
      <w:pPr>
        <w:spacing w:after="50"/>
        <w:ind w:left="346" w:hanging="346"/>
      </w:pPr>
      <w:r>
        <w:rPr>
          <w:rFonts w:ascii="Liberation Serif" w:hAnsi="Liberation Serif"/>
          <w:b w:val="0"/>
          <w:color w:val="232734"/>
          <w:sz w:val="20"/>
        </w:rPr>
        <w:t xml:space="preserve">17. </w:t>
      </w:r>
      <w:r>
        <w:rPr>
          <w:rFonts w:ascii="Liberation Serif" w:hAnsi="Liberation Serif"/>
          <w:color w:val="232734"/>
          <w:sz w:val="20"/>
        </w:rPr>
        <w:t>urgent procurement does not erase retrospective review;</w:t>
      </w:r>
    </w:p>
    <w:p>
      <w:pPr>
        <w:spacing w:after="50"/>
        <w:ind w:left="346" w:hanging="346"/>
      </w:pPr>
      <w:r>
        <w:rPr>
          <w:rFonts w:ascii="Liberation Serif" w:hAnsi="Liberation Serif"/>
          <w:b w:val="0"/>
          <w:color w:val="232734"/>
          <w:sz w:val="20"/>
        </w:rPr>
        <w:t xml:space="preserve">18. </w:t>
      </w:r>
      <w:r>
        <w:rPr>
          <w:rFonts w:ascii="Liberation Serif" w:hAnsi="Liberation Serif"/>
          <w:color w:val="232734"/>
          <w:sz w:val="20"/>
        </w:rPr>
        <w:t>public claims about vendor-backed security must remain accurate and scoped.</w:t>
      </w:r>
    </w:p>
    <w:p>
      <w:pPr>
        <w:pStyle w:val="Heading1"/>
        <w:keepNext/>
        <w:pBdr>
          <w:bottom w:val="single" w:sz="6" w:space="4" w:color="E3E6EB"/>
        </w:pBdr>
      </w:pPr>
      <w:r>
        <w:t>3. Scope</w:t>
      </w:r>
    </w:p>
    <w:p>
      <w:pPr>
        <w:spacing w:after="120" w:line="252" w:lineRule="auto"/>
      </w:pPr>
      <w:r>
        <w:rPr>
          <w:rFonts w:ascii="Liberation Serif" w:hAnsi="Liberation Serif"/>
          <w:color w:val="232734"/>
          <w:sz w:val="20"/>
        </w:rPr>
        <w:t>This Model applies to:</w:t>
      </w:r>
    </w:p>
    <w:p>
      <w:pPr>
        <w:pStyle w:val="ListBullet"/>
      </w:pPr>
      <w:r>
        <w:rPr>
          <w:rFonts w:ascii="Liberation Serif" w:hAnsi="Liberation Serif"/>
          <w:color w:val="232734"/>
          <w:sz w:val="20"/>
        </w:rPr>
        <w:t>prospective vendors;</w:t>
      </w:r>
    </w:p>
    <w:p>
      <w:pPr>
        <w:pStyle w:val="ListBullet"/>
      </w:pPr>
      <w:r>
        <w:rPr>
          <w:rFonts w:ascii="Liberation Serif" w:hAnsi="Liberation Serif"/>
          <w:color w:val="232734"/>
          <w:sz w:val="20"/>
        </w:rPr>
        <w:t>active vendors;</w:t>
      </w:r>
    </w:p>
    <w:p>
      <w:pPr>
        <w:pStyle w:val="ListBullet"/>
      </w:pPr>
      <w:r>
        <w:rPr>
          <w:rFonts w:ascii="Liberation Serif" w:hAnsi="Liberation Serif"/>
          <w:color w:val="232734"/>
          <w:sz w:val="20"/>
        </w:rPr>
        <w:t>subprocessors;</w:t>
      </w:r>
    </w:p>
    <w:p>
      <w:pPr>
        <w:pStyle w:val="ListBullet"/>
      </w:pPr>
      <w:r>
        <w:rPr>
          <w:rFonts w:ascii="Liberation Serif" w:hAnsi="Liberation Serif"/>
          <w:color w:val="232734"/>
          <w:sz w:val="20"/>
        </w:rPr>
        <w:t>affiliates acting as service providers;</w:t>
      </w:r>
    </w:p>
    <w:p>
      <w:pPr>
        <w:pStyle w:val="ListBullet"/>
      </w:pPr>
      <w:r>
        <w:rPr>
          <w:rFonts w:ascii="Liberation Serif" w:hAnsi="Liberation Serif"/>
          <w:color w:val="232734"/>
          <w:sz w:val="20"/>
        </w:rPr>
        <w:t>integration partners;</w:t>
      </w:r>
    </w:p>
    <w:p>
      <w:pPr>
        <w:pStyle w:val="ListBullet"/>
      </w:pPr>
      <w:r>
        <w:rPr>
          <w:rFonts w:ascii="Liberation Serif" w:hAnsi="Liberation Serif"/>
          <w:color w:val="232734"/>
          <w:sz w:val="20"/>
        </w:rPr>
        <w:t>contractors;</w:t>
      </w:r>
    </w:p>
    <w:p>
      <w:pPr>
        <w:pStyle w:val="ListBullet"/>
      </w:pPr>
      <w:r>
        <w:rPr>
          <w:rFonts w:ascii="Liberation Serif" w:hAnsi="Liberation Serif"/>
          <w:color w:val="232734"/>
          <w:sz w:val="20"/>
        </w:rPr>
        <w:t>consultants;</w:t>
      </w:r>
    </w:p>
    <w:p>
      <w:pPr>
        <w:pStyle w:val="ListBullet"/>
      </w:pPr>
      <w:r>
        <w:rPr>
          <w:rFonts w:ascii="Liberation Serif" w:hAnsi="Liberation Serif"/>
          <w:color w:val="232734"/>
          <w:sz w:val="20"/>
        </w:rPr>
        <w:t>temporary service providers;</w:t>
      </w:r>
    </w:p>
    <w:p>
      <w:pPr>
        <w:pStyle w:val="ListBullet"/>
      </w:pPr>
      <w:r>
        <w:rPr>
          <w:rFonts w:ascii="Liberation Serif" w:hAnsi="Liberation Serif"/>
          <w:color w:val="232734"/>
          <w:sz w:val="20"/>
        </w:rPr>
        <w:t>open-source components;</w:t>
      </w:r>
    </w:p>
    <w:p>
      <w:pPr>
        <w:pStyle w:val="ListBullet"/>
      </w:pPr>
      <w:r>
        <w:rPr>
          <w:rFonts w:ascii="Liberation Serif" w:hAnsi="Liberation Serif"/>
          <w:color w:val="232734"/>
          <w:sz w:val="20"/>
        </w:rPr>
        <w:t>commercial software dependencies;</w:t>
      </w:r>
    </w:p>
    <w:p>
      <w:pPr>
        <w:pStyle w:val="ListBullet"/>
      </w:pPr>
      <w:r>
        <w:rPr>
          <w:rFonts w:ascii="Liberation Serif" w:hAnsi="Liberation Serif"/>
          <w:color w:val="232734"/>
          <w:sz w:val="20"/>
        </w:rPr>
        <w:t>package maintainers;</w:t>
      </w:r>
    </w:p>
    <w:p>
      <w:pPr>
        <w:pStyle w:val="ListBullet"/>
      </w:pPr>
      <w:r>
        <w:rPr>
          <w:rFonts w:ascii="Liberation Serif" w:hAnsi="Liberation Serif"/>
          <w:color w:val="232734"/>
          <w:sz w:val="20"/>
        </w:rPr>
        <w:t>source-code repositories;</w:t>
      </w:r>
    </w:p>
    <w:p>
      <w:pPr>
        <w:pStyle w:val="ListBullet"/>
      </w:pPr>
      <w:r>
        <w:rPr>
          <w:rFonts w:ascii="Liberation Serif" w:hAnsi="Liberation Serif"/>
          <w:color w:val="232734"/>
          <w:sz w:val="20"/>
        </w:rPr>
        <w:t>build and deployment pipelines;</w:t>
      </w:r>
    </w:p>
    <w:p>
      <w:pPr>
        <w:pStyle w:val="ListBullet"/>
      </w:pPr>
      <w:r>
        <w:rPr>
          <w:rFonts w:ascii="Liberation Serif" w:hAnsi="Liberation Serif"/>
          <w:color w:val="232734"/>
          <w:sz w:val="20"/>
        </w:rPr>
        <w:t>mobile distribution platforms;</w:t>
      </w:r>
    </w:p>
    <w:p>
      <w:pPr>
        <w:pStyle w:val="ListBullet"/>
      </w:pPr>
      <w:r>
        <w:rPr>
          <w:rFonts w:ascii="Liberation Serif" w:hAnsi="Liberation Serif"/>
          <w:color w:val="232734"/>
          <w:sz w:val="20"/>
        </w:rPr>
        <w:t>browser extensions used for EquineSync work;</w:t>
      </w:r>
    </w:p>
    <w:p>
      <w:pPr>
        <w:pStyle w:val="ListBullet"/>
      </w:pPr>
      <w:r>
        <w:rPr>
          <w:rFonts w:ascii="Liberation Serif" w:hAnsi="Liberation Serif"/>
          <w:color w:val="232734"/>
          <w:sz w:val="20"/>
        </w:rPr>
        <w:t>external AI services;</w:t>
      </w:r>
    </w:p>
    <w:p>
      <w:pPr>
        <w:pStyle w:val="ListBullet"/>
      </w:pPr>
      <w:r>
        <w:rPr>
          <w:rFonts w:ascii="Liberation Serif" w:hAnsi="Liberation Serif"/>
          <w:color w:val="232734"/>
          <w:sz w:val="20"/>
        </w:rPr>
        <w:t>payment and banking providers;</w:t>
      </w:r>
    </w:p>
    <w:p>
      <w:pPr>
        <w:pStyle w:val="ListBullet"/>
      </w:pPr>
      <w:r>
        <w:rPr>
          <w:rFonts w:ascii="Liberation Serif" w:hAnsi="Liberation Serif"/>
          <w:color w:val="232734"/>
          <w:sz w:val="20"/>
        </w:rPr>
        <w:t>security researchers performing authorized work;</w:t>
      </w:r>
    </w:p>
    <w:p>
      <w:pPr>
        <w:pStyle w:val="ListBullet"/>
      </w:pPr>
      <w:r>
        <w:rPr>
          <w:rFonts w:ascii="Liberation Serif" w:hAnsi="Liberation Serif"/>
          <w:color w:val="232734"/>
          <w:sz w:val="20"/>
        </w:rPr>
        <w:t>legal, accounting, and insurance providers receiving protected information;</w:t>
      </w:r>
    </w:p>
    <w:p>
      <w:pPr>
        <w:pStyle w:val="ListBullet"/>
      </w:pPr>
      <w:r>
        <w:rPr>
          <w:rFonts w:ascii="Liberation Serif" w:hAnsi="Liberation Serif"/>
          <w:color w:val="232734"/>
          <w:sz w:val="20"/>
        </w:rPr>
        <w:t>vendors used in development, testing, staging, production, support, recovery, and administration.</w:t>
      </w:r>
    </w:p>
    <w:p>
      <w:pPr>
        <w:spacing w:after="120" w:line="252" w:lineRule="auto"/>
      </w:pPr>
      <w:r>
        <w:rPr>
          <w:rFonts w:ascii="Liberation Serif" w:hAnsi="Liberation Serif"/>
          <w:color w:val="232734"/>
          <w:sz w:val="20"/>
        </w:rPr>
        <w:t>No dependency is outside governance merely because it is:</w:t>
      </w:r>
    </w:p>
    <w:p>
      <w:pPr>
        <w:pStyle w:val="ListBullet"/>
      </w:pPr>
      <w:r>
        <w:rPr>
          <w:rFonts w:ascii="Liberation Serif" w:hAnsi="Liberation Serif"/>
          <w:color w:val="232734"/>
          <w:sz w:val="20"/>
        </w:rPr>
        <w:t>free;</w:t>
      </w:r>
    </w:p>
    <w:p>
      <w:pPr>
        <w:pStyle w:val="ListBullet"/>
      </w:pPr>
      <w:r>
        <w:rPr>
          <w:rFonts w:ascii="Liberation Serif" w:hAnsi="Liberation Serif"/>
          <w:color w:val="232734"/>
          <w:sz w:val="20"/>
        </w:rPr>
        <w:t>open source;</w:t>
      </w:r>
    </w:p>
    <w:p>
      <w:pPr>
        <w:pStyle w:val="ListBullet"/>
      </w:pPr>
      <w:r>
        <w:rPr>
          <w:rFonts w:ascii="Liberation Serif" w:hAnsi="Liberation Serif"/>
          <w:color w:val="232734"/>
          <w:sz w:val="20"/>
        </w:rPr>
        <w:t>temporary;</w:t>
      </w:r>
    </w:p>
    <w:p>
      <w:pPr>
        <w:pStyle w:val="ListBullet"/>
      </w:pPr>
      <w:r>
        <w:rPr>
          <w:rFonts w:ascii="Liberation Serif" w:hAnsi="Liberation Serif"/>
          <w:color w:val="232734"/>
          <w:sz w:val="20"/>
        </w:rPr>
        <w:t>experimental;</w:t>
      </w:r>
    </w:p>
    <w:p>
      <w:pPr>
        <w:pStyle w:val="ListBullet"/>
      </w:pPr>
      <w:r>
        <w:rPr>
          <w:rFonts w:ascii="Liberation Serif" w:hAnsi="Liberation Serif"/>
          <w:color w:val="232734"/>
          <w:sz w:val="20"/>
        </w:rPr>
        <w:t>internally recommended;</w:t>
      </w:r>
    </w:p>
    <w:p>
      <w:pPr>
        <w:pStyle w:val="ListBullet"/>
      </w:pPr>
      <w:r>
        <w:rPr>
          <w:rFonts w:ascii="Liberation Serif" w:hAnsi="Liberation Serif"/>
          <w:color w:val="232734"/>
          <w:sz w:val="20"/>
        </w:rPr>
        <w:t>bundled with another service;</w:t>
      </w:r>
    </w:p>
    <w:p>
      <w:pPr>
        <w:pStyle w:val="ListBullet"/>
      </w:pPr>
      <w:r>
        <w:rPr>
          <w:rFonts w:ascii="Liberation Serif" w:hAnsi="Liberation Serif"/>
          <w:color w:val="232734"/>
          <w:sz w:val="20"/>
        </w:rPr>
        <w:t>activated through a marketplace;</w:t>
      </w:r>
    </w:p>
    <w:p>
      <w:pPr>
        <w:pStyle w:val="ListBullet"/>
      </w:pPr>
      <w:r>
        <w:rPr>
          <w:rFonts w:ascii="Liberation Serif" w:hAnsi="Liberation Serif"/>
          <w:color w:val="232734"/>
          <w:sz w:val="20"/>
        </w:rPr>
        <w:t>used only by developers;</w:t>
      </w:r>
    </w:p>
    <w:p>
      <w:pPr>
        <w:pStyle w:val="ListBullet"/>
      </w:pPr>
      <w:r>
        <w:rPr>
          <w:rFonts w:ascii="Liberation Serif" w:hAnsi="Liberation Serif"/>
          <w:color w:val="232734"/>
          <w:sz w:val="20"/>
        </w:rPr>
        <w:t>used only during an incident;</w:t>
      </w:r>
    </w:p>
    <w:p>
      <w:pPr>
        <w:pStyle w:val="ListBullet"/>
      </w:pPr>
      <w:r>
        <w:rPr>
          <w:rFonts w:ascii="Liberation Serif" w:hAnsi="Liberation Serif"/>
          <w:color w:val="232734"/>
          <w:sz w:val="20"/>
        </w:rPr>
        <w:t>described as a plug-in or connector.</w:t>
      </w:r>
    </w:p>
    <w:p>
      <w:pPr>
        <w:pStyle w:val="Heading1"/>
        <w:keepNext/>
        <w:pBdr>
          <w:bottom w:val="single" w:sz="6" w:space="4" w:color="E3E6EB"/>
        </w:pBdr>
      </w:pPr>
      <w:r>
        <w:t>4. Relationship to Other Canon</w:t>
      </w:r>
    </w:p>
    <w:p>
      <w:pPr>
        <w:spacing w:after="120" w:line="252" w:lineRule="auto"/>
      </w:pPr>
      <w:r>
        <w:rPr>
          <w:rFonts w:ascii="Liberation Serif" w:hAnsi="Liberation Serif"/>
          <w:color w:val="232734"/>
          <w:sz w:val="20"/>
        </w:rPr>
        <w:t>This Model shall be interpreted together with the cross-canon dependencies identified in Document Control and Required Cross-Canon Dependencies.</w:t>
      </w:r>
    </w:p>
    <w:p>
      <w:pPr>
        <w:spacing w:after="120" w:line="252" w:lineRule="auto"/>
      </w:pPr>
      <w:r>
        <w:rPr>
          <w:rFonts w:ascii="Liberation Serif" w:hAnsi="Liberation Serif"/>
          <w:color w:val="232734"/>
          <w:sz w:val="20"/>
        </w:rPr>
        <w:t>Where another constitutional model imposes a more specific or more protective requirement, the more protective requirement shall govern where the provisions can reasonably coexist.</w:t>
      </w:r>
    </w:p>
    <w:p>
      <w:pPr>
        <w:pStyle w:val="Heading1"/>
        <w:keepNext/>
        <w:pBdr>
          <w:bottom w:val="single" w:sz="6" w:space="4" w:color="E3E6EB"/>
        </w:pBdr>
      </w:pPr>
      <w:r>
        <w:t>5. Vendor Governance Objectives</w:t>
      </w:r>
    </w:p>
    <w:p>
      <w:pPr>
        <w:spacing w:after="120" w:line="252" w:lineRule="auto"/>
      </w:pPr>
      <w:r>
        <w:rPr>
          <w:rFonts w:ascii="Liberation Serif" w:hAnsi="Liberation Serif"/>
          <w:color w:val="232734"/>
          <w:sz w:val="20"/>
        </w:rPr>
        <w:t>Vendor governance shall protect:</w:t>
      </w:r>
    </w:p>
    <w:p>
      <w:pPr>
        <w:pStyle w:val="ListBullet"/>
      </w:pPr>
      <w:r>
        <w:rPr>
          <w:rFonts w:ascii="Liberation Serif" w:hAnsi="Liberation Serif"/>
          <w:color w:val="232734"/>
          <w:sz w:val="20"/>
        </w:rPr>
        <w:t>customer confidentiality;</w:t>
      </w:r>
    </w:p>
    <w:p>
      <w:pPr>
        <w:pStyle w:val="ListBullet"/>
      </w:pPr>
      <w:r>
        <w:rPr>
          <w:rFonts w:ascii="Liberation Serif" w:hAnsi="Liberation Serif"/>
          <w:color w:val="232734"/>
          <w:sz w:val="20"/>
        </w:rPr>
        <w:t>tenant isolation;</w:t>
      </w:r>
    </w:p>
    <w:p>
      <w:pPr>
        <w:pStyle w:val="ListBullet"/>
      </w:pPr>
      <w:r>
        <w:rPr>
          <w:rFonts w:ascii="Liberation Serif" w:hAnsi="Liberation Serif"/>
          <w:color w:val="232734"/>
          <w:sz w:val="20"/>
        </w:rPr>
        <w:t>horse-welfare continuity;</w:t>
      </w:r>
    </w:p>
    <w:p>
      <w:pPr>
        <w:pStyle w:val="ListBullet"/>
      </w:pPr>
      <w:r>
        <w:rPr>
          <w:rFonts w:ascii="Liberation Serif" w:hAnsi="Liberation Serif"/>
          <w:color w:val="232734"/>
          <w:sz w:val="20"/>
        </w:rPr>
        <w:t>human safety;</w:t>
      </w:r>
    </w:p>
    <w:p>
      <w:pPr>
        <w:pStyle w:val="ListBullet"/>
      </w:pPr>
      <w:r>
        <w:rPr>
          <w:rFonts w:ascii="Liberation Serif" w:hAnsi="Liberation Serif"/>
          <w:color w:val="232734"/>
          <w:sz w:val="20"/>
        </w:rPr>
        <w:t>minors and safeguarding information;</w:t>
      </w:r>
    </w:p>
    <w:p>
      <w:pPr>
        <w:pStyle w:val="ListBullet"/>
      </w:pPr>
      <w:r>
        <w:rPr>
          <w:rFonts w:ascii="Liberation Serif" w:hAnsi="Liberation Serif"/>
          <w:color w:val="232734"/>
          <w:sz w:val="20"/>
        </w:rPr>
        <w:t>identity and access boundaries;</w:t>
      </w:r>
    </w:p>
    <w:p>
      <w:pPr>
        <w:pStyle w:val="ListBullet"/>
      </w:pPr>
      <w:r>
        <w:rPr>
          <w:rFonts w:ascii="Liberation Serif" w:hAnsi="Liberation Serif"/>
          <w:color w:val="232734"/>
          <w:sz w:val="20"/>
        </w:rPr>
        <w:t>financial integrity;</w:t>
      </w:r>
    </w:p>
    <w:p>
      <w:pPr>
        <w:pStyle w:val="ListBullet"/>
      </w:pPr>
      <w:r>
        <w:rPr>
          <w:rFonts w:ascii="Liberation Serif" w:hAnsi="Liberation Serif"/>
          <w:color w:val="232734"/>
          <w:sz w:val="20"/>
        </w:rPr>
        <w:t>authoritative records;</w:t>
      </w:r>
    </w:p>
    <w:p>
      <w:pPr>
        <w:pStyle w:val="ListBullet"/>
      </w:pPr>
      <w:r>
        <w:rPr>
          <w:rFonts w:ascii="Liberation Serif" w:hAnsi="Liberation Serif"/>
          <w:color w:val="232734"/>
          <w:sz w:val="20"/>
        </w:rPr>
        <w:t>audit and evidence integrity;</w:t>
      </w:r>
    </w:p>
    <w:p>
      <w:pPr>
        <w:pStyle w:val="ListBullet"/>
      </w:pPr>
      <w:r>
        <w:rPr>
          <w:rFonts w:ascii="Liberation Serif" w:hAnsi="Liberation Serif"/>
          <w:color w:val="232734"/>
          <w:sz w:val="20"/>
        </w:rPr>
        <w:t>service availability;</w:t>
      </w:r>
    </w:p>
    <w:p>
      <w:pPr>
        <w:pStyle w:val="ListBullet"/>
      </w:pPr>
      <w:r>
        <w:rPr>
          <w:rFonts w:ascii="Liberation Serif" w:hAnsi="Liberation Serif"/>
          <w:color w:val="232734"/>
          <w:sz w:val="20"/>
        </w:rPr>
        <w:t>data portability;</w:t>
      </w:r>
    </w:p>
    <w:p>
      <w:pPr>
        <w:pStyle w:val="ListBullet"/>
      </w:pPr>
      <w:r>
        <w:rPr>
          <w:rFonts w:ascii="Liberation Serif" w:hAnsi="Liberation Serif"/>
          <w:color w:val="232734"/>
          <w:sz w:val="20"/>
        </w:rPr>
        <w:t>legal and regulatory compliance;</w:t>
      </w:r>
    </w:p>
    <w:p>
      <w:pPr>
        <w:pStyle w:val="ListBullet"/>
      </w:pPr>
      <w:r>
        <w:rPr>
          <w:rFonts w:ascii="Liberation Serif" w:hAnsi="Liberation Serif"/>
          <w:color w:val="232734"/>
          <w:sz w:val="20"/>
        </w:rPr>
        <w:t>public trust;</w:t>
      </w:r>
    </w:p>
    <w:p>
      <w:pPr>
        <w:pStyle w:val="ListBullet"/>
      </w:pPr>
      <w:r>
        <w:rPr>
          <w:rFonts w:ascii="Liberation Serif" w:hAnsi="Liberation Serif"/>
          <w:color w:val="232734"/>
          <w:sz w:val="20"/>
        </w:rPr>
        <w:t>vendor exit capability;</w:t>
      </w:r>
    </w:p>
    <w:p>
      <w:pPr>
        <w:pStyle w:val="ListBullet"/>
      </w:pPr>
      <w:r>
        <w:rPr>
          <w:rFonts w:ascii="Liberation Serif" w:hAnsi="Liberation Serif"/>
          <w:color w:val="232734"/>
          <w:sz w:val="20"/>
        </w:rPr>
        <w:t>supply-chain integrity.</w:t>
      </w:r>
    </w:p>
    <w:p>
      <w:pPr>
        <w:pStyle w:val="Heading1"/>
        <w:keepNext/>
        <w:pBdr>
          <w:bottom w:val="single" w:sz="6" w:space="4" w:color="E3E6EB"/>
        </w:pBdr>
      </w:pPr>
      <w:r>
        <w:t>6. Vendor Lifecycle</w:t>
      </w:r>
    </w:p>
    <w:p>
      <w:pPr>
        <w:spacing w:after="120" w:line="252" w:lineRule="auto"/>
      </w:pPr>
      <w:r>
        <w:rPr>
          <w:rFonts w:ascii="Liberation Serif" w:hAnsi="Liberation Serif"/>
          <w:color w:val="232734"/>
          <w:sz w:val="20"/>
        </w:rPr>
        <w:t>Every material vendor relationship shall be governed through these lifecycle stages:</w:t>
      </w:r>
    </w:p>
    <w:p>
      <w:pPr>
        <w:spacing w:after="50"/>
        <w:ind w:left="346" w:hanging="346"/>
      </w:pPr>
      <w:r>
        <w:rPr>
          <w:rFonts w:ascii="Liberation Serif" w:hAnsi="Liberation Serif"/>
          <w:b w:val="0"/>
          <w:color w:val="232734"/>
          <w:sz w:val="20"/>
        </w:rPr>
        <w:t xml:space="preserve">1. </w:t>
      </w:r>
      <w:r>
        <w:rPr>
          <w:rFonts w:ascii="Liberation Serif" w:hAnsi="Liberation Serif"/>
          <w:color w:val="232734"/>
          <w:sz w:val="20"/>
        </w:rPr>
        <w:t>need identification;</w:t>
      </w:r>
    </w:p>
    <w:p>
      <w:pPr>
        <w:spacing w:after="50"/>
        <w:ind w:left="346" w:hanging="346"/>
      </w:pPr>
      <w:r>
        <w:rPr>
          <w:rFonts w:ascii="Liberation Serif" w:hAnsi="Liberation Serif"/>
          <w:b w:val="0"/>
          <w:color w:val="232734"/>
          <w:sz w:val="20"/>
        </w:rPr>
        <w:t xml:space="preserve">2. </w:t>
      </w:r>
      <w:r>
        <w:rPr>
          <w:rFonts w:ascii="Liberation Serif" w:hAnsi="Liberation Serif"/>
          <w:color w:val="232734"/>
          <w:sz w:val="20"/>
        </w:rPr>
        <w:t>vendor discovery;</w:t>
      </w:r>
    </w:p>
    <w:p>
      <w:pPr>
        <w:spacing w:after="50"/>
        <w:ind w:left="346" w:hanging="346"/>
      </w:pPr>
      <w:r>
        <w:rPr>
          <w:rFonts w:ascii="Liberation Serif" w:hAnsi="Liberation Serif"/>
          <w:b w:val="0"/>
          <w:color w:val="232734"/>
          <w:sz w:val="20"/>
        </w:rPr>
        <w:t xml:space="preserve">3. </w:t>
      </w:r>
      <w:r>
        <w:rPr>
          <w:rFonts w:ascii="Liberation Serif" w:hAnsi="Liberation Serif"/>
          <w:color w:val="232734"/>
          <w:sz w:val="20"/>
        </w:rPr>
        <w:t>preliminary classification;</w:t>
      </w:r>
    </w:p>
    <w:p>
      <w:pPr>
        <w:spacing w:after="50"/>
        <w:ind w:left="346" w:hanging="346"/>
      </w:pPr>
      <w:r>
        <w:rPr>
          <w:rFonts w:ascii="Liberation Serif" w:hAnsi="Liberation Serif"/>
          <w:b w:val="0"/>
          <w:color w:val="232734"/>
          <w:sz w:val="20"/>
        </w:rPr>
        <w:t xml:space="preserve">4. </w:t>
      </w:r>
      <w:r>
        <w:rPr>
          <w:rFonts w:ascii="Liberation Serif" w:hAnsi="Liberation Serif"/>
          <w:color w:val="232734"/>
          <w:sz w:val="20"/>
        </w:rPr>
        <w:t>due diligence;</w:t>
      </w:r>
    </w:p>
    <w:p>
      <w:pPr>
        <w:spacing w:after="50"/>
        <w:ind w:left="346" w:hanging="346"/>
      </w:pPr>
      <w:r>
        <w:rPr>
          <w:rFonts w:ascii="Liberation Serif" w:hAnsi="Liberation Serif"/>
          <w:b w:val="0"/>
          <w:color w:val="232734"/>
          <w:sz w:val="20"/>
        </w:rPr>
        <w:t xml:space="preserve">5. </w:t>
      </w:r>
      <w:r>
        <w:rPr>
          <w:rFonts w:ascii="Liberation Serif" w:hAnsi="Liberation Serif"/>
          <w:color w:val="232734"/>
          <w:sz w:val="20"/>
        </w:rPr>
        <w:t>risk review;</w:t>
      </w:r>
    </w:p>
    <w:p>
      <w:pPr>
        <w:spacing w:after="50"/>
        <w:ind w:left="346" w:hanging="346"/>
      </w:pPr>
      <w:r>
        <w:rPr>
          <w:rFonts w:ascii="Liberation Serif" w:hAnsi="Liberation Serif"/>
          <w:b w:val="0"/>
          <w:color w:val="232734"/>
          <w:sz w:val="20"/>
        </w:rPr>
        <w:t xml:space="preserve">6. </w:t>
      </w:r>
      <w:r>
        <w:rPr>
          <w:rFonts w:ascii="Liberation Serif" w:hAnsi="Liberation Serif"/>
          <w:color w:val="232734"/>
          <w:sz w:val="20"/>
        </w:rPr>
        <w:t>architecture review;</w:t>
      </w:r>
    </w:p>
    <w:p>
      <w:pPr>
        <w:spacing w:after="50"/>
        <w:ind w:left="346" w:hanging="346"/>
      </w:pPr>
      <w:r>
        <w:rPr>
          <w:rFonts w:ascii="Liberation Serif" w:hAnsi="Liberation Serif"/>
          <w:b w:val="0"/>
          <w:color w:val="232734"/>
          <w:sz w:val="20"/>
        </w:rPr>
        <w:t xml:space="preserve">7. </w:t>
      </w:r>
      <w:r>
        <w:rPr>
          <w:rFonts w:ascii="Liberation Serif" w:hAnsi="Liberation Serif"/>
          <w:color w:val="232734"/>
          <w:sz w:val="20"/>
        </w:rPr>
        <w:t>privacy and data review;</w:t>
      </w:r>
    </w:p>
    <w:p>
      <w:pPr>
        <w:spacing w:after="50"/>
        <w:ind w:left="346" w:hanging="346"/>
      </w:pPr>
      <w:r>
        <w:rPr>
          <w:rFonts w:ascii="Liberation Serif" w:hAnsi="Liberation Serif"/>
          <w:b w:val="0"/>
          <w:color w:val="232734"/>
          <w:sz w:val="20"/>
        </w:rPr>
        <w:t xml:space="preserve">8. </w:t>
      </w:r>
      <w:r>
        <w:rPr>
          <w:rFonts w:ascii="Liberation Serif" w:hAnsi="Liberation Serif"/>
          <w:color w:val="232734"/>
          <w:sz w:val="20"/>
        </w:rPr>
        <w:t>legal and contractual review;</w:t>
      </w:r>
    </w:p>
    <w:p>
      <w:pPr>
        <w:spacing w:after="50"/>
        <w:ind w:left="346" w:hanging="346"/>
      </w:pPr>
      <w:r>
        <w:rPr>
          <w:rFonts w:ascii="Liberation Serif" w:hAnsi="Liberation Serif"/>
          <w:b w:val="0"/>
          <w:color w:val="232734"/>
          <w:sz w:val="20"/>
        </w:rPr>
        <w:t xml:space="preserve">9. </w:t>
      </w:r>
      <w:r>
        <w:rPr>
          <w:rFonts w:ascii="Liberation Serif" w:hAnsi="Liberation Serif"/>
          <w:color w:val="232734"/>
          <w:sz w:val="20"/>
        </w:rPr>
        <w:t>approval;</w:t>
      </w:r>
    </w:p>
    <w:p>
      <w:pPr>
        <w:spacing w:after="50"/>
        <w:ind w:left="346" w:hanging="346"/>
      </w:pPr>
      <w:r>
        <w:rPr>
          <w:rFonts w:ascii="Liberation Serif" w:hAnsi="Liberation Serif"/>
          <w:b w:val="0"/>
          <w:color w:val="232734"/>
          <w:sz w:val="20"/>
        </w:rPr>
        <w:t xml:space="preserve">10. </w:t>
      </w:r>
      <w:r>
        <w:rPr>
          <w:rFonts w:ascii="Liberation Serif" w:hAnsi="Liberation Serif"/>
          <w:color w:val="232734"/>
          <w:sz w:val="20"/>
        </w:rPr>
        <w:t>onboarding;</w:t>
      </w:r>
    </w:p>
    <w:p>
      <w:pPr>
        <w:spacing w:after="50"/>
        <w:ind w:left="346" w:hanging="346"/>
      </w:pPr>
      <w:r>
        <w:rPr>
          <w:rFonts w:ascii="Liberation Serif" w:hAnsi="Liberation Serif"/>
          <w:b w:val="0"/>
          <w:color w:val="232734"/>
          <w:sz w:val="20"/>
        </w:rPr>
        <w:t xml:space="preserve">11. </w:t>
      </w:r>
      <w:r>
        <w:rPr>
          <w:rFonts w:ascii="Liberation Serif" w:hAnsi="Liberation Serif"/>
          <w:color w:val="232734"/>
          <w:sz w:val="20"/>
        </w:rPr>
        <w:t>technical integration;</w:t>
      </w:r>
    </w:p>
    <w:p>
      <w:pPr>
        <w:spacing w:after="50"/>
        <w:ind w:left="346" w:hanging="346"/>
      </w:pPr>
      <w:r>
        <w:rPr>
          <w:rFonts w:ascii="Liberation Serif" w:hAnsi="Liberation Serif"/>
          <w:b w:val="0"/>
          <w:color w:val="232734"/>
          <w:sz w:val="20"/>
        </w:rPr>
        <w:t xml:space="preserve">12. </w:t>
      </w:r>
      <w:r>
        <w:rPr>
          <w:rFonts w:ascii="Liberation Serif" w:hAnsi="Liberation Serif"/>
          <w:color w:val="232734"/>
          <w:sz w:val="20"/>
        </w:rPr>
        <w:t>validation;</w:t>
      </w:r>
    </w:p>
    <w:p>
      <w:pPr>
        <w:spacing w:after="50"/>
        <w:ind w:left="346" w:hanging="346"/>
      </w:pPr>
      <w:r>
        <w:rPr>
          <w:rFonts w:ascii="Liberation Serif" w:hAnsi="Liberation Serif"/>
          <w:b w:val="0"/>
          <w:color w:val="232734"/>
          <w:sz w:val="20"/>
        </w:rPr>
        <w:t xml:space="preserve">13. </w:t>
      </w:r>
      <w:r>
        <w:rPr>
          <w:rFonts w:ascii="Liberation Serif" w:hAnsi="Liberation Serif"/>
          <w:color w:val="232734"/>
          <w:sz w:val="20"/>
        </w:rPr>
        <w:t>activation;</w:t>
      </w:r>
    </w:p>
    <w:p>
      <w:pPr>
        <w:spacing w:after="50"/>
        <w:ind w:left="346" w:hanging="346"/>
      </w:pPr>
      <w:r>
        <w:rPr>
          <w:rFonts w:ascii="Liberation Serif" w:hAnsi="Liberation Serif"/>
          <w:b w:val="0"/>
          <w:color w:val="232734"/>
          <w:sz w:val="20"/>
        </w:rPr>
        <w:t xml:space="preserve">14. </w:t>
      </w:r>
      <w:r>
        <w:rPr>
          <w:rFonts w:ascii="Liberation Serif" w:hAnsi="Liberation Serif"/>
          <w:color w:val="232734"/>
          <w:sz w:val="20"/>
        </w:rPr>
        <w:t>continuous monitoring;</w:t>
      </w:r>
    </w:p>
    <w:p>
      <w:pPr>
        <w:spacing w:after="50"/>
        <w:ind w:left="346" w:hanging="346"/>
      </w:pPr>
      <w:r>
        <w:rPr>
          <w:rFonts w:ascii="Liberation Serif" w:hAnsi="Liberation Serif"/>
          <w:b w:val="0"/>
          <w:color w:val="232734"/>
          <w:sz w:val="20"/>
        </w:rPr>
        <w:t xml:space="preserve">15. </w:t>
      </w:r>
      <w:r>
        <w:rPr>
          <w:rFonts w:ascii="Liberation Serif" w:hAnsi="Liberation Serif"/>
          <w:color w:val="232734"/>
          <w:sz w:val="20"/>
        </w:rPr>
        <w:t>periodic reassessment;</w:t>
      </w:r>
    </w:p>
    <w:p>
      <w:pPr>
        <w:spacing w:after="50"/>
        <w:ind w:left="346" w:hanging="346"/>
      </w:pPr>
      <w:r>
        <w:rPr>
          <w:rFonts w:ascii="Liberation Serif" w:hAnsi="Liberation Serif"/>
          <w:b w:val="0"/>
          <w:color w:val="232734"/>
          <w:sz w:val="20"/>
        </w:rPr>
        <w:t xml:space="preserve">16. </w:t>
      </w:r>
      <w:r>
        <w:rPr>
          <w:rFonts w:ascii="Liberation Serif" w:hAnsi="Liberation Serif"/>
          <w:color w:val="232734"/>
          <w:sz w:val="20"/>
        </w:rPr>
        <w:t>issue remediation;</w:t>
      </w:r>
    </w:p>
    <w:p>
      <w:pPr>
        <w:spacing w:after="50"/>
        <w:ind w:left="346" w:hanging="346"/>
      </w:pPr>
      <w:r>
        <w:rPr>
          <w:rFonts w:ascii="Liberation Serif" w:hAnsi="Liberation Serif"/>
          <w:b w:val="0"/>
          <w:color w:val="232734"/>
          <w:sz w:val="20"/>
        </w:rPr>
        <w:t xml:space="preserve">17. </w:t>
      </w:r>
      <w:r>
        <w:rPr>
          <w:rFonts w:ascii="Liberation Serif" w:hAnsi="Liberation Serif"/>
          <w:color w:val="232734"/>
          <w:sz w:val="20"/>
        </w:rPr>
        <w:t>suspension;</w:t>
      </w:r>
    </w:p>
    <w:p>
      <w:pPr>
        <w:spacing w:after="50"/>
        <w:ind w:left="346" w:hanging="346"/>
      </w:pPr>
      <w:r>
        <w:rPr>
          <w:rFonts w:ascii="Liberation Serif" w:hAnsi="Liberation Serif"/>
          <w:b w:val="0"/>
          <w:color w:val="232734"/>
          <w:sz w:val="20"/>
        </w:rPr>
        <w:t xml:space="preserve">18. </w:t>
      </w:r>
      <w:r>
        <w:rPr>
          <w:rFonts w:ascii="Liberation Serif" w:hAnsi="Liberation Serif"/>
          <w:color w:val="232734"/>
          <w:sz w:val="20"/>
        </w:rPr>
        <w:t>migration;</w:t>
      </w:r>
    </w:p>
    <w:p>
      <w:pPr>
        <w:spacing w:after="50"/>
        <w:ind w:left="346" w:hanging="346"/>
      </w:pPr>
      <w:r>
        <w:rPr>
          <w:rFonts w:ascii="Liberation Serif" w:hAnsi="Liberation Serif"/>
          <w:b w:val="0"/>
          <w:color w:val="232734"/>
          <w:sz w:val="20"/>
        </w:rPr>
        <w:t xml:space="preserve">19. </w:t>
      </w:r>
      <w:r>
        <w:rPr>
          <w:rFonts w:ascii="Liberation Serif" w:hAnsi="Liberation Serif"/>
          <w:color w:val="232734"/>
          <w:sz w:val="20"/>
        </w:rPr>
        <w:t>termination;</w:t>
      </w:r>
    </w:p>
    <w:p>
      <w:pPr>
        <w:spacing w:after="50"/>
        <w:ind w:left="346" w:hanging="346"/>
      </w:pPr>
      <w:r>
        <w:rPr>
          <w:rFonts w:ascii="Liberation Serif" w:hAnsi="Liberation Serif"/>
          <w:b w:val="0"/>
          <w:color w:val="232734"/>
          <w:sz w:val="20"/>
        </w:rPr>
        <w:t xml:space="preserve">20. </w:t>
      </w:r>
      <w:r>
        <w:rPr>
          <w:rFonts w:ascii="Liberation Serif" w:hAnsi="Liberation Serif"/>
          <w:color w:val="232734"/>
          <w:sz w:val="20"/>
        </w:rPr>
        <w:t>data return and deletion;</w:t>
      </w:r>
    </w:p>
    <w:p>
      <w:pPr>
        <w:spacing w:after="50"/>
        <w:ind w:left="346" w:hanging="346"/>
      </w:pPr>
      <w:r>
        <w:rPr>
          <w:rFonts w:ascii="Liberation Serif" w:hAnsi="Liberation Serif"/>
          <w:b w:val="0"/>
          <w:color w:val="232734"/>
          <w:sz w:val="20"/>
        </w:rPr>
        <w:t xml:space="preserve">21. </w:t>
      </w:r>
      <w:r>
        <w:rPr>
          <w:rFonts w:ascii="Liberation Serif" w:hAnsi="Liberation Serif"/>
          <w:color w:val="232734"/>
          <w:sz w:val="20"/>
        </w:rPr>
        <w:t>residual-access confirmation;</w:t>
      </w:r>
    </w:p>
    <w:p>
      <w:pPr>
        <w:spacing w:after="50"/>
        <w:ind w:left="346" w:hanging="346"/>
      </w:pPr>
      <w:r>
        <w:rPr>
          <w:rFonts w:ascii="Liberation Serif" w:hAnsi="Liberation Serif"/>
          <w:b w:val="0"/>
          <w:color w:val="232734"/>
          <w:sz w:val="20"/>
        </w:rPr>
        <w:t xml:space="preserve">22. </w:t>
      </w:r>
      <w:r>
        <w:rPr>
          <w:rFonts w:ascii="Liberation Serif" w:hAnsi="Liberation Serif"/>
          <w:color w:val="232734"/>
          <w:sz w:val="20"/>
        </w:rPr>
        <w:t>evidence retention.</w:t>
      </w:r>
    </w:p>
    <w:p>
      <w:pPr>
        <w:spacing w:after="120" w:line="252" w:lineRule="auto"/>
      </w:pPr>
      <w:r>
        <w:rPr>
          <w:rFonts w:ascii="Liberation Serif" w:hAnsi="Liberation Serif"/>
          <w:color w:val="232734"/>
          <w:sz w:val="20"/>
        </w:rPr>
        <w:t>A vendor shall not skip lifecycle stages merely because another department has already purchased or recommended the service.</w:t>
      </w:r>
    </w:p>
    <w:p>
      <w:pPr>
        <w:pStyle w:val="Heading1"/>
        <w:keepNext/>
        <w:pBdr>
          <w:bottom w:val="single" w:sz="6" w:space="4" w:color="E3E6EB"/>
        </w:pBdr>
      </w:pPr>
      <w:r>
        <w:t>7. Vendor Inventory</w:t>
      </w:r>
    </w:p>
    <w:p>
      <w:pPr>
        <w:spacing w:after="120" w:line="252" w:lineRule="auto"/>
      </w:pPr>
      <w:r>
        <w:rPr>
          <w:rFonts w:ascii="Liberation Serif" w:hAnsi="Liberation Serif"/>
          <w:color w:val="232734"/>
          <w:sz w:val="20"/>
        </w:rPr>
        <w:t>EquineSync shall maintain an authoritative vendor and dependency inventory.</w:t>
      </w:r>
    </w:p>
    <w:p>
      <w:pPr>
        <w:spacing w:after="120" w:line="252" w:lineRule="auto"/>
      </w:pPr>
      <w:r>
        <w:rPr>
          <w:rFonts w:ascii="Liberation Serif" w:hAnsi="Liberation Serif"/>
          <w:color w:val="232734"/>
          <w:sz w:val="20"/>
        </w:rPr>
        <w:t>The inventory shall identify, as applicable:</w:t>
      </w:r>
    </w:p>
    <w:p>
      <w:pPr>
        <w:pStyle w:val="ListBullet"/>
      </w:pPr>
      <w:r>
        <w:rPr>
          <w:rFonts w:ascii="Liberation Serif" w:hAnsi="Liberation Serif"/>
          <w:color w:val="232734"/>
          <w:sz w:val="20"/>
        </w:rPr>
        <w:t>legal vendor name;</w:t>
      </w:r>
    </w:p>
    <w:p>
      <w:pPr>
        <w:pStyle w:val="ListBullet"/>
      </w:pPr>
      <w:r>
        <w:rPr>
          <w:rFonts w:ascii="Liberation Serif" w:hAnsi="Liberation Serif"/>
          <w:color w:val="232734"/>
          <w:sz w:val="20"/>
        </w:rPr>
        <w:t>service name;</w:t>
      </w:r>
    </w:p>
    <w:p>
      <w:pPr>
        <w:pStyle w:val="ListBullet"/>
      </w:pPr>
      <w:r>
        <w:rPr>
          <w:rFonts w:ascii="Liberation Serif" w:hAnsi="Liberation Serif"/>
          <w:color w:val="232734"/>
          <w:sz w:val="20"/>
        </w:rPr>
        <w:t>business owner;</w:t>
      </w:r>
    </w:p>
    <w:p>
      <w:pPr>
        <w:pStyle w:val="ListBullet"/>
      </w:pPr>
      <w:r>
        <w:rPr>
          <w:rFonts w:ascii="Liberation Serif" w:hAnsi="Liberation Serif"/>
          <w:color w:val="232734"/>
          <w:sz w:val="20"/>
        </w:rPr>
        <w:t>technical owner;</w:t>
      </w:r>
    </w:p>
    <w:p>
      <w:pPr>
        <w:pStyle w:val="ListBullet"/>
      </w:pPr>
      <w:r>
        <w:rPr>
          <w:rFonts w:ascii="Liberation Serif" w:hAnsi="Liberation Serif"/>
          <w:color w:val="232734"/>
          <w:sz w:val="20"/>
        </w:rPr>
        <w:t>security owner;</w:t>
      </w:r>
    </w:p>
    <w:p>
      <w:pPr>
        <w:pStyle w:val="ListBullet"/>
      </w:pPr>
      <w:r>
        <w:rPr>
          <w:rFonts w:ascii="Liberation Serif" w:hAnsi="Liberation Serif"/>
          <w:color w:val="232734"/>
          <w:sz w:val="20"/>
        </w:rPr>
        <w:t>purpose;</w:t>
      </w:r>
    </w:p>
    <w:p>
      <w:pPr>
        <w:pStyle w:val="ListBullet"/>
      </w:pPr>
      <w:r>
        <w:rPr>
          <w:rFonts w:ascii="Liberation Serif" w:hAnsi="Liberation Serif"/>
          <w:color w:val="232734"/>
          <w:sz w:val="20"/>
        </w:rPr>
        <w:t>criticality tier;</w:t>
      </w:r>
    </w:p>
    <w:p>
      <w:pPr>
        <w:pStyle w:val="ListBullet"/>
      </w:pPr>
      <w:r>
        <w:rPr>
          <w:rFonts w:ascii="Liberation Serif" w:hAnsi="Liberation Serif"/>
          <w:color w:val="232734"/>
          <w:sz w:val="20"/>
        </w:rPr>
        <w:t>data categories;</w:t>
      </w:r>
    </w:p>
    <w:p>
      <w:pPr>
        <w:pStyle w:val="ListBullet"/>
      </w:pPr>
      <w:r>
        <w:rPr>
          <w:rFonts w:ascii="Liberation Serif" w:hAnsi="Liberation Serif"/>
          <w:color w:val="232734"/>
          <w:sz w:val="20"/>
        </w:rPr>
        <w:t>access level;</w:t>
      </w:r>
    </w:p>
    <w:p>
      <w:pPr>
        <w:pStyle w:val="ListBullet"/>
      </w:pPr>
      <w:r>
        <w:rPr>
          <w:rFonts w:ascii="Liberation Serif" w:hAnsi="Liberation Serif"/>
          <w:color w:val="232734"/>
          <w:sz w:val="20"/>
        </w:rPr>
        <w:t>affected tenants;</w:t>
      </w:r>
    </w:p>
    <w:p>
      <w:pPr>
        <w:pStyle w:val="ListBullet"/>
      </w:pPr>
      <w:r>
        <w:rPr>
          <w:rFonts w:ascii="Liberation Serif" w:hAnsi="Liberation Serif"/>
          <w:color w:val="232734"/>
          <w:sz w:val="20"/>
        </w:rPr>
        <w:t>environments;</w:t>
      </w:r>
    </w:p>
    <w:p>
      <w:pPr>
        <w:pStyle w:val="ListBullet"/>
      </w:pPr>
      <w:r>
        <w:rPr>
          <w:rFonts w:ascii="Liberation Serif" w:hAnsi="Liberation Serif"/>
          <w:color w:val="232734"/>
          <w:sz w:val="20"/>
        </w:rPr>
        <w:t>subprocessors;</w:t>
      </w:r>
    </w:p>
    <w:p>
      <w:pPr>
        <w:pStyle w:val="ListBullet"/>
      </w:pPr>
      <w:r>
        <w:rPr>
          <w:rFonts w:ascii="Liberation Serif" w:hAnsi="Liberation Serif"/>
          <w:color w:val="232734"/>
          <w:sz w:val="20"/>
        </w:rPr>
        <w:t>geographic processing;</w:t>
      </w:r>
    </w:p>
    <w:p>
      <w:pPr>
        <w:pStyle w:val="ListBullet"/>
      </w:pPr>
      <w:r>
        <w:rPr>
          <w:rFonts w:ascii="Liberation Serif" w:hAnsi="Liberation Serif"/>
          <w:color w:val="232734"/>
          <w:sz w:val="20"/>
        </w:rPr>
        <w:t>retention;</w:t>
      </w:r>
    </w:p>
    <w:p>
      <w:pPr>
        <w:pStyle w:val="ListBullet"/>
      </w:pPr>
      <w:r>
        <w:rPr>
          <w:rFonts w:ascii="Liberation Serif" w:hAnsi="Liberation Serif"/>
          <w:color w:val="232734"/>
          <w:sz w:val="20"/>
        </w:rPr>
        <w:t>contract dates;</w:t>
      </w:r>
    </w:p>
    <w:p>
      <w:pPr>
        <w:pStyle w:val="ListBullet"/>
      </w:pPr>
      <w:r>
        <w:rPr>
          <w:rFonts w:ascii="Liberation Serif" w:hAnsi="Liberation Serif"/>
          <w:color w:val="232734"/>
          <w:sz w:val="20"/>
        </w:rPr>
        <w:t>renewal dates;</w:t>
      </w:r>
    </w:p>
    <w:p>
      <w:pPr>
        <w:pStyle w:val="ListBullet"/>
      </w:pPr>
      <w:r>
        <w:rPr>
          <w:rFonts w:ascii="Liberation Serif" w:hAnsi="Liberation Serif"/>
          <w:color w:val="232734"/>
          <w:sz w:val="20"/>
        </w:rPr>
        <w:t>incident contact;</w:t>
      </w:r>
    </w:p>
    <w:p>
      <w:pPr>
        <w:pStyle w:val="ListBullet"/>
      </w:pPr>
      <w:r>
        <w:rPr>
          <w:rFonts w:ascii="Liberation Serif" w:hAnsi="Liberation Serif"/>
          <w:color w:val="232734"/>
          <w:sz w:val="20"/>
        </w:rPr>
        <w:t>exit plan;</w:t>
      </w:r>
    </w:p>
    <w:p>
      <w:pPr>
        <w:pStyle w:val="ListBullet"/>
      </w:pPr>
      <w:r>
        <w:rPr>
          <w:rFonts w:ascii="Liberation Serif" w:hAnsi="Liberation Serif"/>
          <w:color w:val="232734"/>
          <w:sz w:val="20"/>
        </w:rPr>
        <w:t>last review;</w:t>
      </w:r>
    </w:p>
    <w:p>
      <w:pPr>
        <w:pStyle w:val="ListBullet"/>
      </w:pPr>
      <w:r>
        <w:rPr>
          <w:rFonts w:ascii="Liberation Serif" w:hAnsi="Liberation Serif"/>
          <w:color w:val="232734"/>
          <w:sz w:val="20"/>
        </w:rPr>
        <w:t>next review;</w:t>
      </w:r>
    </w:p>
    <w:p>
      <w:pPr>
        <w:pStyle w:val="ListBullet"/>
      </w:pPr>
      <w:r>
        <w:rPr>
          <w:rFonts w:ascii="Liberation Serif" w:hAnsi="Liberation Serif"/>
          <w:color w:val="232734"/>
          <w:sz w:val="20"/>
        </w:rPr>
        <w:t>approval status;</w:t>
      </w:r>
    </w:p>
    <w:p>
      <w:pPr>
        <w:pStyle w:val="ListBullet"/>
      </w:pPr>
      <w:r>
        <w:rPr>
          <w:rFonts w:ascii="Liberation Serif" w:hAnsi="Liberation Serif"/>
          <w:color w:val="232734"/>
          <w:sz w:val="20"/>
        </w:rPr>
        <w:t>current exceptions;</w:t>
      </w:r>
    </w:p>
    <w:p>
      <w:pPr>
        <w:pStyle w:val="ListBullet"/>
      </w:pPr>
      <w:r>
        <w:rPr>
          <w:rFonts w:ascii="Liberation Serif" w:hAnsi="Liberation Serif"/>
          <w:color w:val="232734"/>
          <w:sz w:val="20"/>
        </w:rPr>
        <w:t>evidence location.</w:t>
      </w:r>
    </w:p>
    <w:p>
      <w:pPr>
        <w:spacing w:after="120" w:line="252" w:lineRule="auto"/>
      </w:pPr>
      <w:r>
        <w:rPr>
          <w:rFonts w:ascii="Liberation Serif" w:hAnsi="Liberation Serif"/>
          <w:color w:val="232734"/>
          <w:sz w:val="20"/>
        </w:rPr>
        <w:t>Unknown, ownerless, or undocumented production vendors are prohibited.</w:t>
      </w:r>
    </w:p>
    <w:p>
      <w:pPr>
        <w:pStyle w:val="Heading1"/>
        <w:keepNext/>
        <w:pBdr>
          <w:bottom w:val="single" w:sz="6" w:space="4" w:color="E3E6EB"/>
        </w:pBdr>
      </w:pPr>
      <w:r>
        <w:t>8. Vendor Categories</w:t>
      </w:r>
    </w:p>
    <w:p>
      <w:pPr>
        <w:spacing w:after="120" w:line="252" w:lineRule="auto"/>
      </w:pPr>
      <w:r>
        <w:rPr>
          <w:rFonts w:ascii="Liberation Serif" w:hAnsi="Liberation Serif"/>
          <w:color w:val="232734"/>
          <w:sz w:val="20"/>
        </w:rPr>
        <w:t>Vendors may include:</w:t>
      </w:r>
    </w:p>
    <w:p>
      <w:pPr>
        <w:pStyle w:val="ListBullet"/>
      </w:pPr>
      <w:r>
        <w:rPr>
          <w:rFonts w:ascii="Liberation Serif" w:hAnsi="Liberation Serif"/>
          <w:color w:val="232734"/>
          <w:sz w:val="20"/>
        </w:rPr>
        <w:t>infrastructure providers;</w:t>
      </w:r>
    </w:p>
    <w:p>
      <w:pPr>
        <w:pStyle w:val="ListBullet"/>
      </w:pPr>
      <w:r>
        <w:rPr>
          <w:rFonts w:ascii="Liberation Serif" w:hAnsi="Liberation Serif"/>
          <w:color w:val="232734"/>
          <w:sz w:val="20"/>
        </w:rPr>
        <w:t>platform providers;</w:t>
      </w:r>
    </w:p>
    <w:p>
      <w:pPr>
        <w:pStyle w:val="ListBullet"/>
      </w:pPr>
      <w:r>
        <w:rPr>
          <w:rFonts w:ascii="Liberation Serif" w:hAnsi="Liberation Serif"/>
          <w:color w:val="232734"/>
          <w:sz w:val="20"/>
        </w:rPr>
        <w:t>processors;</w:t>
      </w:r>
    </w:p>
    <w:p>
      <w:pPr>
        <w:pStyle w:val="ListBullet"/>
      </w:pPr>
      <w:r>
        <w:rPr>
          <w:rFonts w:ascii="Liberation Serif" w:hAnsi="Liberation Serif"/>
          <w:color w:val="232734"/>
          <w:sz w:val="20"/>
        </w:rPr>
        <w:t>subprocessors;</w:t>
      </w:r>
    </w:p>
    <w:p>
      <w:pPr>
        <w:pStyle w:val="ListBullet"/>
      </w:pPr>
      <w:r>
        <w:rPr>
          <w:rFonts w:ascii="Liberation Serif" w:hAnsi="Liberation Serif"/>
          <w:color w:val="232734"/>
          <w:sz w:val="20"/>
        </w:rPr>
        <w:t>independent service providers;</w:t>
      </w:r>
    </w:p>
    <w:p>
      <w:pPr>
        <w:pStyle w:val="ListBullet"/>
      </w:pPr>
      <w:r>
        <w:rPr>
          <w:rFonts w:ascii="Liberation Serif" w:hAnsi="Liberation Serif"/>
          <w:color w:val="232734"/>
          <w:sz w:val="20"/>
        </w:rPr>
        <w:t>data providers;</w:t>
      </w:r>
    </w:p>
    <w:p>
      <w:pPr>
        <w:pStyle w:val="ListBullet"/>
      </w:pPr>
      <w:r>
        <w:rPr>
          <w:rFonts w:ascii="Liberation Serif" w:hAnsi="Liberation Serif"/>
          <w:color w:val="232734"/>
          <w:sz w:val="20"/>
        </w:rPr>
        <w:t>integration partners;</w:t>
      </w:r>
    </w:p>
    <w:p>
      <w:pPr>
        <w:pStyle w:val="ListBullet"/>
      </w:pPr>
      <w:r>
        <w:rPr>
          <w:rFonts w:ascii="Liberation Serif" w:hAnsi="Liberation Serif"/>
          <w:color w:val="232734"/>
          <w:sz w:val="20"/>
        </w:rPr>
        <w:t>professional advisers;</w:t>
      </w:r>
    </w:p>
    <w:p>
      <w:pPr>
        <w:pStyle w:val="ListBullet"/>
      </w:pPr>
      <w:r>
        <w:rPr>
          <w:rFonts w:ascii="Liberation Serif" w:hAnsi="Liberation Serif"/>
          <w:color w:val="232734"/>
          <w:sz w:val="20"/>
        </w:rPr>
        <w:t>temporary incident-response vendors;</w:t>
      </w:r>
    </w:p>
    <w:p>
      <w:pPr>
        <w:pStyle w:val="ListBullet"/>
      </w:pPr>
      <w:r>
        <w:rPr>
          <w:rFonts w:ascii="Liberation Serif" w:hAnsi="Liberation Serif"/>
          <w:color w:val="232734"/>
          <w:sz w:val="20"/>
        </w:rPr>
        <w:t>software suppliers;</w:t>
      </w:r>
    </w:p>
    <w:p>
      <w:pPr>
        <w:pStyle w:val="ListBullet"/>
      </w:pPr>
      <w:r>
        <w:rPr>
          <w:rFonts w:ascii="Liberation Serif" w:hAnsi="Liberation Serif"/>
          <w:color w:val="232734"/>
          <w:sz w:val="20"/>
        </w:rPr>
        <w:t>open-source maintainers;</w:t>
      </w:r>
    </w:p>
    <w:p>
      <w:pPr>
        <w:pStyle w:val="ListBullet"/>
      </w:pPr>
      <w:r>
        <w:rPr>
          <w:rFonts w:ascii="Liberation Serif" w:hAnsi="Liberation Serif"/>
          <w:color w:val="232734"/>
          <w:sz w:val="20"/>
        </w:rPr>
        <w:t>package registries;</w:t>
      </w:r>
    </w:p>
    <w:p>
      <w:pPr>
        <w:pStyle w:val="ListBullet"/>
      </w:pPr>
      <w:r>
        <w:rPr>
          <w:rFonts w:ascii="Liberation Serif" w:hAnsi="Liberation Serif"/>
          <w:color w:val="232734"/>
          <w:sz w:val="20"/>
        </w:rPr>
        <w:t>deployment providers;</w:t>
      </w:r>
    </w:p>
    <w:p>
      <w:pPr>
        <w:pStyle w:val="ListBullet"/>
      </w:pPr>
      <w:r>
        <w:rPr>
          <w:rFonts w:ascii="Liberation Serif" w:hAnsi="Liberation Serif"/>
          <w:color w:val="232734"/>
          <w:sz w:val="20"/>
        </w:rPr>
        <w:t>financial providers;</w:t>
      </w:r>
    </w:p>
    <w:p>
      <w:pPr>
        <w:pStyle w:val="ListBullet"/>
      </w:pPr>
      <w:r>
        <w:rPr>
          <w:rFonts w:ascii="Liberation Serif" w:hAnsi="Liberation Serif"/>
          <w:color w:val="232734"/>
          <w:sz w:val="20"/>
        </w:rPr>
        <w:t>communication providers;</w:t>
      </w:r>
    </w:p>
    <w:p>
      <w:pPr>
        <w:pStyle w:val="ListBullet"/>
      </w:pPr>
      <w:r>
        <w:rPr>
          <w:rFonts w:ascii="Liberation Serif" w:hAnsi="Liberation Serif"/>
          <w:color w:val="232734"/>
          <w:sz w:val="20"/>
        </w:rPr>
        <w:t>AI providers.</w:t>
      </w:r>
    </w:p>
    <w:p>
      <w:pPr>
        <w:spacing w:after="120" w:line="252" w:lineRule="auto"/>
      </w:pPr>
      <w:r>
        <w:rPr>
          <w:rFonts w:ascii="Liberation Serif" w:hAnsi="Liberation Serif"/>
          <w:color w:val="232734"/>
          <w:sz w:val="20"/>
        </w:rPr>
        <w:t>A vendor’s category shall not determine risk by itself.</w:t>
      </w:r>
    </w:p>
    <w:p>
      <w:pPr>
        <w:spacing w:after="120" w:line="252" w:lineRule="auto"/>
      </w:pPr>
      <w:r>
        <w:rPr>
          <w:rFonts w:ascii="Liberation Serif" w:hAnsi="Liberation Serif"/>
          <w:color w:val="232734"/>
          <w:sz w:val="20"/>
        </w:rPr>
        <w:t>Risk depends on actual access, authority, data, criticality, and dependency.</w:t>
      </w:r>
    </w:p>
    <w:p>
      <w:pPr>
        <w:pStyle w:val="Heading1"/>
        <w:keepNext/>
        <w:pBdr>
          <w:bottom w:val="single" w:sz="6" w:space="4" w:color="E3E6EB"/>
        </w:pBdr>
      </w:pPr>
      <w:r>
        <w:t>9. Vendor Risk Tiers</w:t>
      </w:r>
    </w:p>
    <w:p>
      <w:pPr>
        <w:spacing w:after="120" w:line="252" w:lineRule="auto"/>
      </w:pPr>
      <w:r>
        <w:rPr>
          <w:rFonts w:ascii="Liberation Serif" w:hAnsi="Liberation Serif"/>
          <w:color w:val="232734"/>
          <w:sz w:val="20"/>
        </w:rPr>
        <w:t>EquineSync shall classify vendors by risk.</w:t>
      </w:r>
    </w:p>
    <w:p>
      <w:pPr>
        <w:spacing w:after="120" w:line="252" w:lineRule="auto"/>
      </w:pPr>
      <w:r>
        <w:rPr>
          <w:rFonts w:ascii="Liberation Serif" w:hAnsi="Liberation Serif"/>
          <w:color w:val="232734"/>
          <w:sz w:val="20"/>
        </w:rPr>
        <w:t>At minimum, the following tiers shall apply.</w:t>
      </w:r>
    </w:p>
    <w:p>
      <w:pPr>
        <w:pStyle w:val="Heading2"/>
        <w:keepNext/>
      </w:pPr>
      <w:r>
        <w:t>9.1 Tier 1: Critical</w:t>
      </w:r>
    </w:p>
    <w:p>
      <w:pPr>
        <w:spacing w:after="120" w:line="252" w:lineRule="auto"/>
      </w:pPr>
      <w:r>
        <w:rPr>
          <w:rFonts w:ascii="Liberation Serif" w:hAnsi="Liberation Serif"/>
          <w:color w:val="232734"/>
          <w:sz w:val="20"/>
        </w:rPr>
        <w:t>A vendor is Critical where failure or compromise could materially affect:</w:t>
      </w:r>
    </w:p>
    <w:p>
      <w:pPr>
        <w:pStyle w:val="ListBullet"/>
      </w:pPr>
      <w:r>
        <w:rPr>
          <w:rFonts w:ascii="Liberation Serif" w:hAnsi="Liberation Serif"/>
          <w:color w:val="232734"/>
          <w:sz w:val="20"/>
        </w:rPr>
        <w:t>identity;</w:t>
      </w:r>
    </w:p>
    <w:p>
      <w:pPr>
        <w:pStyle w:val="ListBullet"/>
      </w:pPr>
      <w:r>
        <w:rPr>
          <w:rFonts w:ascii="Liberation Serif" w:hAnsi="Liberation Serif"/>
          <w:color w:val="232734"/>
          <w:sz w:val="20"/>
        </w:rPr>
        <w:t>tenant isolation;</w:t>
      </w:r>
    </w:p>
    <w:p>
      <w:pPr>
        <w:pStyle w:val="ListBullet"/>
      </w:pPr>
      <w:r>
        <w:rPr>
          <w:rFonts w:ascii="Liberation Serif" w:hAnsi="Liberation Serif"/>
          <w:color w:val="232734"/>
          <w:sz w:val="20"/>
        </w:rPr>
        <w:t>encryption keys;</w:t>
      </w:r>
    </w:p>
    <w:p>
      <w:pPr>
        <w:pStyle w:val="ListBullet"/>
      </w:pPr>
      <w:r>
        <w:rPr>
          <w:rFonts w:ascii="Liberation Serif" w:hAnsi="Liberation Serif"/>
          <w:color w:val="232734"/>
          <w:sz w:val="20"/>
        </w:rPr>
        <w:t>production infrastructure;</w:t>
      </w:r>
    </w:p>
    <w:p>
      <w:pPr>
        <w:pStyle w:val="ListBullet"/>
      </w:pPr>
      <w:r>
        <w:rPr>
          <w:rFonts w:ascii="Liberation Serif" w:hAnsi="Liberation Serif"/>
          <w:color w:val="232734"/>
          <w:sz w:val="20"/>
        </w:rPr>
        <w:t>horse-welfare continuity;</w:t>
      </w:r>
    </w:p>
    <w:p>
      <w:pPr>
        <w:pStyle w:val="ListBullet"/>
      </w:pPr>
      <w:r>
        <w:rPr>
          <w:rFonts w:ascii="Liberation Serif" w:hAnsi="Liberation Serif"/>
          <w:color w:val="232734"/>
          <w:sz w:val="20"/>
        </w:rPr>
        <w:t>payment processing;</w:t>
      </w:r>
    </w:p>
    <w:p>
      <w:pPr>
        <w:pStyle w:val="ListBullet"/>
      </w:pPr>
      <w:r>
        <w:rPr>
          <w:rFonts w:ascii="Liberation Serif" w:hAnsi="Liberation Serif"/>
          <w:color w:val="232734"/>
          <w:sz w:val="20"/>
        </w:rPr>
        <w:t>authoritative records;</w:t>
      </w:r>
    </w:p>
    <w:p>
      <w:pPr>
        <w:pStyle w:val="ListBullet"/>
      </w:pPr>
      <w:r>
        <w:rPr>
          <w:rFonts w:ascii="Liberation Serif" w:hAnsi="Liberation Serif"/>
          <w:color w:val="232734"/>
          <w:sz w:val="20"/>
        </w:rPr>
        <w:t>backups or recovery;</w:t>
      </w:r>
    </w:p>
    <w:p>
      <w:pPr>
        <w:pStyle w:val="ListBullet"/>
      </w:pPr>
      <w:r>
        <w:rPr>
          <w:rFonts w:ascii="Liberation Serif" w:hAnsi="Liberation Serif"/>
          <w:color w:val="232734"/>
          <w:sz w:val="20"/>
        </w:rPr>
        <w:t>large-scale customer data;</w:t>
      </w:r>
    </w:p>
    <w:p>
      <w:pPr>
        <w:pStyle w:val="ListBullet"/>
      </w:pPr>
      <w:r>
        <w:rPr>
          <w:rFonts w:ascii="Liberation Serif" w:hAnsi="Liberation Serif"/>
          <w:color w:val="232734"/>
          <w:sz w:val="20"/>
        </w:rPr>
        <w:t>safeguarding information;</w:t>
      </w:r>
    </w:p>
    <w:p>
      <w:pPr>
        <w:pStyle w:val="ListBullet"/>
      </w:pPr>
      <w:r>
        <w:rPr>
          <w:rFonts w:ascii="Liberation Serif" w:hAnsi="Liberation Serif"/>
          <w:color w:val="232734"/>
          <w:sz w:val="20"/>
        </w:rPr>
        <w:t>software build integrity.</w:t>
      </w:r>
    </w:p>
    <w:p>
      <w:pPr>
        <w:pStyle w:val="Heading2"/>
        <w:keepNext/>
      </w:pPr>
      <w:r>
        <w:t>9.2 Tier 2: High</w:t>
      </w:r>
    </w:p>
    <w:p>
      <w:pPr>
        <w:spacing w:after="120" w:line="252" w:lineRule="auto"/>
      </w:pPr>
      <w:r>
        <w:rPr>
          <w:rFonts w:ascii="Liberation Serif" w:hAnsi="Liberation Serif"/>
          <w:color w:val="232734"/>
          <w:sz w:val="20"/>
        </w:rPr>
        <w:t>A vendor is High risk where it:</w:t>
      </w:r>
    </w:p>
    <w:p>
      <w:pPr>
        <w:pStyle w:val="ListBullet"/>
      </w:pPr>
      <w:r>
        <w:rPr>
          <w:rFonts w:ascii="Liberation Serif" w:hAnsi="Liberation Serif"/>
          <w:color w:val="232734"/>
          <w:sz w:val="20"/>
        </w:rPr>
        <w:t>processes Confidential or Restricted data;</w:t>
      </w:r>
    </w:p>
    <w:p>
      <w:pPr>
        <w:pStyle w:val="ListBullet"/>
      </w:pPr>
      <w:r>
        <w:rPr>
          <w:rFonts w:ascii="Liberation Serif" w:hAnsi="Liberation Serif"/>
          <w:color w:val="232734"/>
          <w:sz w:val="20"/>
        </w:rPr>
        <w:t>has material production access;</w:t>
      </w:r>
    </w:p>
    <w:p>
      <w:pPr>
        <w:pStyle w:val="ListBullet"/>
      </w:pPr>
      <w:r>
        <w:rPr>
          <w:rFonts w:ascii="Liberation Serif" w:hAnsi="Liberation Serif"/>
          <w:color w:val="232734"/>
          <w:sz w:val="20"/>
        </w:rPr>
        <w:t>affects customer communications;</w:t>
      </w:r>
    </w:p>
    <w:p>
      <w:pPr>
        <w:pStyle w:val="ListBullet"/>
      </w:pPr>
      <w:r>
        <w:rPr>
          <w:rFonts w:ascii="Liberation Serif" w:hAnsi="Liberation Serif"/>
          <w:color w:val="232734"/>
          <w:sz w:val="20"/>
        </w:rPr>
        <w:t>controls significant integrations;</w:t>
      </w:r>
    </w:p>
    <w:p>
      <w:pPr>
        <w:pStyle w:val="ListBullet"/>
      </w:pPr>
      <w:r>
        <w:rPr>
          <w:rFonts w:ascii="Liberation Serif" w:hAnsi="Liberation Serif"/>
          <w:color w:val="232734"/>
          <w:sz w:val="20"/>
        </w:rPr>
        <w:t>supports material financial or operational workflows;</w:t>
      </w:r>
    </w:p>
    <w:p>
      <w:pPr>
        <w:pStyle w:val="ListBullet"/>
      </w:pPr>
      <w:r>
        <w:rPr>
          <w:rFonts w:ascii="Liberation Serif" w:hAnsi="Liberation Serif"/>
          <w:color w:val="232734"/>
          <w:sz w:val="20"/>
        </w:rPr>
        <w:t>is difficult to replace quickly.</w:t>
      </w:r>
    </w:p>
    <w:p>
      <w:pPr>
        <w:pStyle w:val="Heading2"/>
        <w:keepNext/>
      </w:pPr>
      <w:r>
        <w:t>9.3 Tier 3: Moderate</w:t>
      </w:r>
    </w:p>
    <w:p>
      <w:pPr>
        <w:spacing w:after="120" w:line="252" w:lineRule="auto"/>
      </w:pPr>
      <w:r>
        <w:rPr>
          <w:rFonts w:ascii="Liberation Serif" w:hAnsi="Liberation Serif"/>
          <w:color w:val="232734"/>
          <w:sz w:val="20"/>
        </w:rPr>
        <w:t>A vendor is Moderate risk where it processes limited noncritical information or supports replaceable internal functions with controlled access.</w:t>
      </w:r>
    </w:p>
    <w:p>
      <w:pPr>
        <w:pStyle w:val="Heading2"/>
        <w:keepNext/>
      </w:pPr>
      <w:r>
        <w:t>9.4 Tier 4: Low</w:t>
      </w:r>
    </w:p>
    <w:p>
      <w:pPr>
        <w:spacing w:after="120" w:line="252" w:lineRule="auto"/>
      </w:pPr>
      <w:r>
        <w:rPr>
          <w:rFonts w:ascii="Liberation Serif" w:hAnsi="Liberation Serif"/>
          <w:color w:val="232734"/>
          <w:sz w:val="20"/>
        </w:rPr>
        <w:t>A vendor is Low risk where it:</w:t>
      </w:r>
    </w:p>
    <w:p>
      <w:pPr>
        <w:pStyle w:val="ListBullet"/>
      </w:pPr>
      <w:r>
        <w:rPr>
          <w:rFonts w:ascii="Liberation Serif" w:hAnsi="Liberation Serif"/>
          <w:color w:val="232734"/>
          <w:sz w:val="20"/>
        </w:rPr>
        <w:t>receives no customer data;</w:t>
      </w:r>
    </w:p>
    <w:p>
      <w:pPr>
        <w:pStyle w:val="ListBullet"/>
      </w:pPr>
      <w:r>
        <w:rPr>
          <w:rFonts w:ascii="Liberation Serif" w:hAnsi="Liberation Serif"/>
          <w:color w:val="232734"/>
          <w:sz w:val="20"/>
        </w:rPr>
        <w:t>has no production access;</w:t>
      </w:r>
    </w:p>
    <w:p>
      <w:pPr>
        <w:pStyle w:val="ListBullet"/>
      </w:pPr>
      <w:r>
        <w:rPr>
          <w:rFonts w:ascii="Liberation Serif" w:hAnsi="Liberation Serif"/>
          <w:color w:val="232734"/>
          <w:sz w:val="20"/>
        </w:rPr>
        <w:t>cannot affect authoritative systems;</w:t>
      </w:r>
    </w:p>
    <w:p>
      <w:pPr>
        <w:pStyle w:val="ListBullet"/>
      </w:pPr>
      <w:r>
        <w:rPr>
          <w:rFonts w:ascii="Liberation Serif" w:hAnsi="Liberation Serif"/>
          <w:color w:val="232734"/>
          <w:sz w:val="20"/>
        </w:rPr>
        <w:t>is readily replaceable;</w:t>
      </w:r>
    </w:p>
    <w:p>
      <w:pPr>
        <w:pStyle w:val="ListBullet"/>
      </w:pPr>
      <w:r>
        <w:rPr>
          <w:rFonts w:ascii="Liberation Serif" w:hAnsi="Liberation Serif"/>
          <w:color w:val="232734"/>
          <w:sz w:val="20"/>
        </w:rPr>
        <w:t>creates limited operational impact.</w:t>
      </w:r>
    </w:p>
    <w:p>
      <w:pPr>
        <w:spacing w:after="120" w:line="252" w:lineRule="auto"/>
      </w:pPr>
      <w:r>
        <w:rPr>
          <w:rFonts w:ascii="Liberation Serif" w:hAnsi="Liberation Serif"/>
          <w:color w:val="232734"/>
          <w:sz w:val="20"/>
        </w:rPr>
        <w:t>Risk tier shall determine review depth, contract requirements, monitoring, approval, and reassessment frequency.</w:t>
      </w:r>
    </w:p>
    <w:p>
      <w:pPr>
        <w:pStyle w:val="Heading1"/>
        <w:keepNext/>
        <w:pBdr>
          <w:bottom w:val="single" w:sz="6" w:space="4" w:color="E3E6EB"/>
        </w:pBdr>
      </w:pPr>
      <w:r>
        <w:t>10. Risk Factors</w:t>
      </w:r>
    </w:p>
    <w:p>
      <w:pPr>
        <w:spacing w:after="120" w:line="252" w:lineRule="auto"/>
      </w:pPr>
      <w:r>
        <w:rPr>
          <w:rFonts w:ascii="Liberation Serif" w:hAnsi="Liberation Serif"/>
          <w:color w:val="232734"/>
          <w:sz w:val="20"/>
        </w:rPr>
        <w:t>Vendor classification shall consider:</w:t>
      </w:r>
    </w:p>
    <w:p>
      <w:pPr>
        <w:pStyle w:val="ListBullet"/>
      </w:pPr>
      <w:r>
        <w:rPr>
          <w:rFonts w:ascii="Liberation Serif" w:hAnsi="Liberation Serif"/>
          <w:color w:val="232734"/>
          <w:sz w:val="20"/>
        </w:rPr>
        <w:t>data sensitivity;</w:t>
      </w:r>
    </w:p>
    <w:p>
      <w:pPr>
        <w:pStyle w:val="ListBullet"/>
      </w:pPr>
      <w:r>
        <w:rPr>
          <w:rFonts w:ascii="Liberation Serif" w:hAnsi="Liberation Serif"/>
          <w:color w:val="232734"/>
          <w:sz w:val="20"/>
        </w:rPr>
        <w:t>data volume;</w:t>
      </w:r>
    </w:p>
    <w:p>
      <w:pPr>
        <w:pStyle w:val="ListBullet"/>
      </w:pPr>
      <w:r>
        <w:rPr>
          <w:rFonts w:ascii="Liberation Serif" w:hAnsi="Liberation Serif"/>
          <w:color w:val="232734"/>
          <w:sz w:val="20"/>
        </w:rPr>
        <w:t>tenant reach;</w:t>
      </w:r>
    </w:p>
    <w:p>
      <w:pPr>
        <w:pStyle w:val="ListBullet"/>
      </w:pPr>
      <w:r>
        <w:rPr>
          <w:rFonts w:ascii="Liberation Serif" w:hAnsi="Liberation Serif"/>
          <w:color w:val="232734"/>
          <w:sz w:val="20"/>
        </w:rPr>
        <w:t>access privilege;</w:t>
      </w:r>
    </w:p>
    <w:p>
      <w:pPr>
        <w:pStyle w:val="ListBullet"/>
      </w:pPr>
      <w:r>
        <w:rPr>
          <w:rFonts w:ascii="Liberation Serif" w:hAnsi="Liberation Serif"/>
          <w:color w:val="232734"/>
          <w:sz w:val="20"/>
        </w:rPr>
        <w:t>system authority;</w:t>
      </w:r>
    </w:p>
    <w:p>
      <w:pPr>
        <w:pStyle w:val="ListBullet"/>
      </w:pPr>
      <w:r>
        <w:rPr>
          <w:rFonts w:ascii="Liberation Serif" w:hAnsi="Liberation Serif"/>
          <w:color w:val="232734"/>
          <w:sz w:val="20"/>
        </w:rPr>
        <w:t>operational criticality;</w:t>
      </w:r>
    </w:p>
    <w:p>
      <w:pPr>
        <w:pStyle w:val="ListBullet"/>
      </w:pPr>
      <w:r>
        <w:rPr>
          <w:rFonts w:ascii="Liberation Serif" w:hAnsi="Liberation Serif"/>
          <w:color w:val="232734"/>
          <w:sz w:val="20"/>
        </w:rPr>
        <w:t>horse-welfare dependency;</w:t>
      </w:r>
    </w:p>
    <w:p>
      <w:pPr>
        <w:pStyle w:val="ListBullet"/>
      </w:pPr>
      <w:r>
        <w:rPr>
          <w:rFonts w:ascii="Liberation Serif" w:hAnsi="Liberation Serif"/>
          <w:color w:val="232734"/>
          <w:sz w:val="20"/>
        </w:rPr>
        <w:t>minors or safeguarding impact;</w:t>
      </w:r>
    </w:p>
    <w:p>
      <w:pPr>
        <w:pStyle w:val="ListBullet"/>
      </w:pPr>
      <w:r>
        <w:rPr>
          <w:rFonts w:ascii="Liberation Serif" w:hAnsi="Liberation Serif"/>
          <w:color w:val="232734"/>
          <w:sz w:val="20"/>
        </w:rPr>
        <w:t>financial authority;</w:t>
      </w:r>
    </w:p>
    <w:p>
      <w:pPr>
        <w:pStyle w:val="ListBullet"/>
      </w:pPr>
      <w:r>
        <w:rPr>
          <w:rFonts w:ascii="Liberation Serif" w:hAnsi="Liberation Serif"/>
          <w:color w:val="232734"/>
          <w:sz w:val="20"/>
        </w:rPr>
        <w:t>identity dependency;</w:t>
      </w:r>
    </w:p>
    <w:p>
      <w:pPr>
        <w:pStyle w:val="ListBullet"/>
      </w:pPr>
      <w:r>
        <w:rPr>
          <w:rFonts w:ascii="Liberation Serif" w:hAnsi="Liberation Serif"/>
          <w:color w:val="232734"/>
          <w:sz w:val="20"/>
        </w:rPr>
        <w:t>encryption-key access;</w:t>
      </w:r>
    </w:p>
    <w:p>
      <w:pPr>
        <w:pStyle w:val="ListBullet"/>
      </w:pPr>
      <w:r>
        <w:rPr>
          <w:rFonts w:ascii="Liberation Serif" w:hAnsi="Liberation Serif"/>
          <w:color w:val="232734"/>
          <w:sz w:val="20"/>
        </w:rPr>
        <w:t>backup or recovery role;</w:t>
      </w:r>
    </w:p>
    <w:p>
      <w:pPr>
        <w:pStyle w:val="ListBullet"/>
      </w:pPr>
      <w:r>
        <w:rPr>
          <w:rFonts w:ascii="Liberation Serif" w:hAnsi="Liberation Serif"/>
          <w:color w:val="232734"/>
          <w:sz w:val="20"/>
        </w:rPr>
        <w:t>subprocessor use;</w:t>
      </w:r>
    </w:p>
    <w:p>
      <w:pPr>
        <w:pStyle w:val="ListBullet"/>
      </w:pPr>
      <w:r>
        <w:rPr>
          <w:rFonts w:ascii="Liberation Serif" w:hAnsi="Liberation Serif"/>
          <w:color w:val="232734"/>
          <w:sz w:val="20"/>
        </w:rPr>
        <w:t>geographic processing;</w:t>
      </w:r>
    </w:p>
    <w:p>
      <w:pPr>
        <w:pStyle w:val="ListBullet"/>
      </w:pPr>
      <w:r>
        <w:rPr>
          <w:rFonts w:ascii="Liberation Serif" w:hAnsi="Liberation Serif"/>
          <w:color w:val="232734"/>
          <w:sz w:val="20"/>
        </w:rPr>
        <w:t>incident history;</w:t>
      </w:r>
    </w:p>
    <w:p>
      <w:pPr>
        <w:pStyle w:val="ListBullet"/>
      </w:pPr>
      <w:r>
        <w:rPr>
          <w:rFonts w:ascii="Liberation Serif" w:hAnsi="Liberation Serif"/>
          <w:color w:val="232734"/>
          <w:sz w:val="20"/>
        </w:rPr>
        <w:t>security maturity;</w:t>
      </w:r>
    </w:p>
    <w:p>
      <w:pPr>
        <w:pStyle w:val="ListBullet"/>
      </w:pPr>
      <w:r>
        <w:rPr>
          <w:rFonts w:ascii="Liberation Serif" w:hAnsi="Liberation Serif"/>
          <w:color w:val="232734"/>
          <w:sz w:val="20"/>
        </w:rPr>
        <w:t>contractual protection;</w:t>
      </w:r>
    </w:p>
    <w:p>
      <w:pPr>
        <w:pStyle w:val="ListBullet"/>
      </w:pPr>
      <w:r>
        <w:rPr>
          <w:rFonts w:ascii="Liberation Serif" w:hAnsi="Liberation Serif"/>
          <w:color w:val="232734"/>
          <w:sz w:val="20"/>
        </w:rPr>
        <w:t>concentration risk;</w:t>
      </w:r>
    </w:p>
    <w:p>
      <w:pPr>
        <w:pStyle w:val="ListBullet"/>
      </w:pPr>
      <w:r>
        <w:rPr>
          <w:rFonts w:ascii="Liberation Serif" w:hAnsi="Liberation Serif"/>
          <w:color w:val="232734"/>
          <w:sz w:val="20"/>
        </w:rPr>
        <w:t>replacement difficulty;</w:t>
      </w:r>
    </w:p>
    <w:p>
      <w:pPr>
        <w:pStyle w:val="ListBullet"/>
      </w:pPr>
      <w:r>
        <w:rPr>
          <w:rFonts w:ascii="Liberation Serif" w:hAnsi="Liberation Serif"/>
          <w:color w:val="232734"/>
          <w:sz w:val="20"/>
        </w:rPr>
        <w:t>data portability;</w:t>
      </w:r>
    </w:p>
    <w:p>
      <w:pPr>
        <w:pStyle w:val="ListBullet"/>
      </w:pPr>
      <w:r>
        <w:rPr>
          <w:rFonts w:ascii="Liberation Serif" w:hAnsi="Liberation Serif"/>
          <w:color w:val="232734"/>
          <w:sz w:val="20"/>
        </w:rPr>
        <w:t>lock-in;</w:t>
      </w:r>
    </w:p>
    <w:p>
      <w:pPr>
        <w:pStyle w:val="ListBullet"/>
      </w:pPr>
      <w:r>
        <w:rPr>
          <w:rFonts w:ascii="Liberation Serif" w:hAnsi="Liberation Serif"/>
          <w:color w:val="232734"/>
          <w:sz w:val="20"/>
        </w:rPr>
        <w:t>financial stability;</w:t>
      </w:r>
    </w:p>
    <w:p>
      <w:pPr>
        <w:pStyle w:val="ListBullet"/>
      </w:pPr>
      <w:r>
        <w:rPr>
          <w:rFonts w:ascii="Liberation Serif" w:hAnsi="Liberation Serif"/>
          <w:color w:val="232734"/>
          <w:sz w:val="20"/>
        </w:rPr>
        <w:t>technical transparency;</w:t>
      </w:r>
    </w:p>
    <w:p>
      <w:pPr>
        <w:pStyle w:val="ListBullet"/>
      </w:pPr>
      <w:r>
        <w:rPr>
          <w:rFonts w:ascii="Liberation Serif" w:hAnsi="Liberation Serif"/>
          <w:color w:val="232734"/>
          <w:sz w:val="20"/>
        </w:rPr>
        <w:t>open-source dependency health;</w:t>
      </w:r>
    </w:p>
    <w:p>
      <w:pPr>
        <w:pStyle w:val="ListBullet"/>
      </w:pPr>
      <w:r>
        <w:rPr>
          <w:rFonts w:ascii="Liberation Serif" w:hAnsi="Liberation Serif"/>
          <w:color w:val="232734"/>
          <w:sz w:val="20"/>
        </w:rPr>
        <w:t>customer-facing visibility.</w:t>
      </w:r>
    </w:p>
    <w:p>
      <w:pPr>
        <w:pStyle w:val="Heading1"/>
        <w:keepNext/>
        <w:pBdr>
          <w:bottom w:val="single" w:sz="6" w:space="4" w:color="E3E6EB"/>
        </w:pBdr>
      </w:pPr>
      <w:r>
        <w:t>11. Criticality and Security Risk Are Distinct</w:t>
      </w:r>
    </w:p>
    <w:p>
      <w:pPr>
        <w:spacing w:after="120" w:line="252" w:lineRule="auto"/>
      </w:pPr>
      <w:r>
        <w:rPr>
          <w:rFonts w:ascii="Liberation Serif" w:hAnsi="Liberation Serif"/>
          <w:color w:val="232734"/>
          <w:sz w:val="20"/>
        </w:rPr>
        <w:t>A vendor may be:</w:t>
      </w:r>
    </w:p>
    <w:p>
      <w:pPr>
        <w:pStyle w:val="ListBullet"/>
      </w:pPr>
      <w:r>
        <w:rPr>
          <w:rFonts w:ascii="Liberation Serif" w:hAnsi="Liberation Serif"/>
          <w:color w:val="232734"/>
          <w:sz w:val="20"/>
        </w:rPr>
        <w:t>operationally critical but handle little sensitive data;</w:t>
      </w:r>
    </w:p>
    <w:p>
      <w:pPr>
        <w:pStyle w:val="ListBullet"/>
      </w:pPr>
      <w:r>
        <w:rPr>
          <w:rFonts w:ascii="Liberation Serif" w:hAnsi="Liberation Serif"/>
          <w:color w:val="232734"/>
          <w:sz w:val="20"/>
        </w:rPr>
        <w:t>highly sensitive but not operationally critical;</w:t>
      </w:r>
    </w:p>
    <w:p>
      <w:pPr>
        <w:pStyle w:val="ListBullet"/>
      </w:pPr>
      <w:r>
        <w:rPr>
          <w:rFonts w:ascii="Liberation Serif" w:hAnsi="Liberation Serif"/>
          <w:color w:val="232734"/>
          <w:sz w:val="20"/>
        </w:rPr>
        <w:t>both critical and sensitive;</w:t>
      </w:r>
    </w:p>
    <w:p>
      <w:pPr>
        <w:pStyle w:val="ListBullet"/>
      </w:pPr>
      <w:r>
        <w:rPr>
          <w:rFonts w:ascii="Liberation Serif" w:hAnsi="Liberation Serif"/>
          <w:color w:val="232734"/>
          <w:sz w:val="20"/>
        </w:rPr>
        <w:t>low sensitivity but high supply-chain authority.</w:t>
      </w:r>
    </w:p>
    <w:p>
      <w:pPr>
        <w:spacing w:after="120" w:line="252" w:lineRule="auto"/>
      </w:pPr>
      <w:r>
        <w:rPr>
          <w:rFonts w:ascii="Liberation Serif" w:hAnsi="Liberation Serif"/>
          <w:color w:val="232734"/>
          <w:sz w:val="20"/>
        </w:rPr>
        <w:t>EquineSync shall assess:</w:t>
      </w:r>
    </w:p>
    <w:p>
      <w:pPr>
        <w:spacing w:after="50"/>
        <w:ind w:left="346" w:hanging="346"/>
      </w:pPr>
      <w:r>
        <w:rPr>
          <w:rFonts w:ascii="Liberation Serif" w:hAnsi="Liberation Serif"/>
          <w:b w:val="0"/>
          <w:color w:val="232734"/>
          <w:sz w:val="20"/>
        </w:rPr>
        <w:t xml:space="preserve">1. </w:t>
      </w:r>
      <w:r>
        <w:rPr>
          <w:rFonts w:ascii="Liberation Serif" w:hAnsi="Liberation Serif"/>
          <w:color w:val="232734"/>
          <w:sz w:val="20"/>
        </w:rPr>
        <w:t>security risk;</w:t>
      </w:r>
    </w:p>
    <w:p>
      <w:pPr>
        <w:spacing w:after="50"/>
        <w:ind w:left="346" w:hanging="346"/>
      </w:pPr>
      <w:r>
        <w:rPr>
          <w:rFonts w:ascii="Liberation Serif" w:hAnsi="Liberation Serif"/>
          <w:b w:val="0"/>
          <w:color w:val="232734"/>
          <w:sz w:val="20"/>
        </w:rPr>
        <w:t xml:space="preserve">2. </w:t>
      </w:r>
      <w:r>
        <w:rPr>
          <w:rFonts w:ascii="Liberation Serif" w:hAnsi="Liberation Serif"/>
          <w:color w:val="232734"/>
          <w:sz w:val="20"/>
        </w:rPr>
        <w:t>privacy risk;</w:t>
      </w:r>
    </w:p>
    <w:p>
      <w:pPr>
        <w:spacing w:after="50"/>
        <w:ind w:left="346" w:hanging="346"/>
      </w:pPr>
      <w:r>
        <w:rPr>
          <w:rFonts w:ascii="Liberation Serif" w:hAnsi="Liberation Serif"/>
          <w:b w:val="0"/>
          <w:color w:val="232734"/>
          <w:sz w:val="20"/>
        </w:rPr>
        <w:t xml:space="preserve">3. </w:t>
      </w:r>
      <w:r>
        <w:rPr>
          <w:rFonts w:ascii="Liberation Serif" w:hAnsi="Liberation Serif"/>
          <w:color w:val="232734"/>
          <w:sz w:val="20"/>
        </w:rPr>
        <w:t>operational criticality;</w:t>
      </w:r>
    </w:p>
    <w:p>
      <w:pPr>
        <w:spacing w:after="50"/>
        <w:ind w:left="346" w:hanging="346"/>
      </w:pPr>
      <w:r>
        <w:rPr>
          <w:rFonts w:ascii="Liberation Serif" w:hAnsi="Liberation Serif"/>
          <w:b w:val="0"/>
          <w:color w:val="232734"/>
          <w:sz w:val="20"/>
        </w:rPr>
        <w:t xml:space="preserve">4. </w:t>
      </w:r>
      <w:r>
        <w:rPr>
          <w:rFonts w:ascii="Liberation Serif" w:hAnsi="Liberation Serif"/>
          <w:color w:val="232734"/>
          <w:sz w:val="20"/>
        </w:rPr>
        <w:t>financial risk;</w:t>
      </w:r>
    </w:p>
    <w:p>
      <w:pPr>
        <w:spacing w:after="50"/>
        <w:ind w:left="346" w:hanging="346"/>
      </w:pPr>
      <w:r>
        <w:rPr>
          <w:rFonts w:ascii="Liberation Serif" w:hAnsi="Liberation Serif"/>
          <w:b w:val="0"/>
          <w:color w:val="232734"/>
          <w:sz w:val="20"/>
        </w:rPr>
        <w:t xml:space="preserve">5. </w:t>
      </w:r>
      <w:r>
        <w:rPr>
          <w:rFonts w:ascii="Liberation Serif" w:hAnsi="Liberation Serif"/>
          <w:color w:val="232734"/>
          <w:sz w:val="20"/>
        </w:rPr>
        <w:t>legal risk;</w:t>
      </w:r>
    </w:p>
    <w:p>
      <w:pPr>
        <w:spacing w:after="50"/>
        <w:ind w:left="346" w:hanging="346"/>
      </w:pPr>
      <w:r>
        <w:rPr>
          <w:rFonts w:ascii="Liberation Serif" w:hAnsi="Liberation Serif"/>
          <w:b w:val="0"/>
          <w:color w:val="232734"/>
          <w:sz w:val="20"/>
        </w:rPr>
        <w:t xml:space="preserve">6. </w:t>
      </w:r>
      <w:r>
        <w:rPr>
          <w:rFonts w:ascii="Liberation Serif" w:hAnsi="Liberation Serif"/>
          <w:color w:val="232734"/>
          <w:sz w:val="20"/>
        </w:rPr>
        <w:t>concentration risk;</w:t>
      </w:r>
    </w:p>
    <w:p>
      <w:pPr>
        <w:spacing w:after="50"/>
        <w:ind w:left="346" w:hanging="346"/>
      </w:pPr>
      <w:r>
        <w:rPr>
          <w:rFonts w:ascii="Liberation Serif" w:hAnsi="Liberation Serif"/>
          <w:b w:val="0"/>
          <w:color w:val="232734"/>
          <w:sz w:val="20"/>
        </w:rPr>
        <w:t xml:space="preserve">7. </w:t>
      </w:r>
      <w:r>
        <w:rPr>
          <w:rFonts w:ascii="Liberation Serif" w:hAnsi="Liberation Serif"/>
          <w:color w:val="232734"/>
          <w:sz w:val="20"/>
        </w:rPr>
        <w:t>exit risk.</w:t>
      </w:r>
    </w:p>
    <w:p>
      <w:pPr>
        <w:spacing w:after="120" w:line="252" w:lineRule="auto"/>
      </w:pPr>
      <w:r>
        <w:rPr>
          <w:rFonts w:ascii="Liberation Serif" w:hAnsi="Liberation Serif"/>
          <w:color w:val="232734"/>
          <w:sz w:val="20"/>
        </w:rPr>
        <w:t>One score shall not conceal materially different risk types.</w:t>
      </w:r>
    </w:p>
    <w:p>
      <w:pPr>
        <w:pStyle w:val="Heading1"/>
        <w:keepNext/>
        <w:pBdr>
          <w:bottom w:val="single" w:sz="6" w:space="4" w:color="E3E6EB"/>
        </w:pBdr>
      </w:pPr>
      <w:r>
        <w:t>12. Need and Purpose Validation</w:t>
      </w:r>
    </w:p>
    <w:p>
      <w:pPr>
        <w:spacing w:after="120" w:line="252" w:lineRule="auto"/>
      </w:pPr>
      <w:r>
        <w:rPr>
          <w:rFonts w:ascii="Liberation Serif" w:hAnsi="Liberation Serif"/>
          <w:color w:val="232734"/>
          <w:sz w:val="20"/>
        </w:rPr>
        <w:t>Before vendor review begins, the requesting owner shall identify:</w:t>
      </w:r>
    </w:p>
    <w:p>
      <w:pPr>
        <w:pStyle w:val="ListBullet"/>
      </w:pPr>
      <w:r>
        <w:rPr>
          <w:rFonts w:ascii="Liberation Serif" w:hAnsi="Liberation Serif"/>
          <w:color w:val="232734"/>
          <w:sz w:val="20"/>
        </w:rPr>
        <w:t>business need;</w:t>
      </w:r>
    </w:p>
    <w:p>
      <w:pPr>
        <w:pStyle w:val="ListBullet"/>
      </w:pPr>
      <w:r>
        <w:rPr>
          <w:rFonts w:ascii="Liberation Serif" w:hAnsi="Liberation Serif"/>
          <w:color w:val="232734"/>
          <w:sz w:val="20"/>
        </w:rPr>
        <w:t>intended purpose;</w:t>
      </w:r>
    </w:p>
    <w:p>
      <w:pPr>
        <w:pStyle w:val="ListBullet"/>
      </w:pPr>
      <w:r>
        <w:rPr>
          <w:rFonts w:ascii="Liberation Serif" w:hAnsi="Liberation Serif"/>
          <w:color w:val="232734"/>
          <w:sz w:val="20"/>
        </w:rPr>
        <w:t>expected users;</w:t>
      </w:r>
    </w:p>
    <w:p>
      <w:pPr>
        <w:pStyle w:val="ListBullet"/>
      </w:pPr>
      <w:r>
        <w:rPr>
          <w:rFonts w:ascii="Liberation Serif" w:hAnsi="Liberation Serif"/>
          <w:color w:val="232734"/>
          <w:sz w:val="20"/>
        </w:rPr>
        <w:t>required data;</w:t>
      </w:r>
    </w:p>
    <w:p>
      <w:pPr>
        <w:pStyle w:val="ListBullet"/>
      </w:pPr>
      <w:r>
        <w:rPr>
          <w:rFonts w:ascii="Liberation Serif" w:hAnsi="Liberation Serif"/>
          <w:color w:val="232734"/>
          <w:sz w:val="20"/>
        </w:rPr>
        <w:t>required permissions;</w:t>
      </w:r>
    </w:p>
    <w:p>
      <w:pPr>
        <w:pStyle w:val="ListBullet"/>
      </w:pPr>
      <w:r>
        <w:rPr>
          <w:rFonts w:ascii="Liberation Serif" w:hAnsi="Liberation Serif"/>
          <w:color w:val="232734"/>
          <w:sz w:val="20"/>
        </w:rPr>
        <w:t>alternatives considered;</w:t>
      </w:r>
    </w:p>
    <w:p>
      <w:pPr>
        <w:pStyle w:val="ListBullet"/>
      </w:pPr>
      <w:r>
        <w:rPr>
          <w:rFonts w:ascii="Liberation Serif" w:hAnsi="Liberation Serif"/>
          <w:color w:val="232734"/>
          <w:sz w:val="20"/>
        </w:rPr>
        <w:t>expected duration;</w:t>
      </w:r>
    </w:p>
    <w:p>
      <w:pPr>
        <w:pStyle w:val="ListBullet"/>
      </w:pPr>
      <w:r>
        <w:rPr>
          <w:rFonts w:ascii="Liberation Serif" w:hAnsi="Liberation Serif"/>
          <w:color w:val="232734"/>
          <w:sz w:val="20"/>
        </w:rPr>
        <w:t>whether existing approved tools can satisfy the need.</w:t>
      </w:r>
    </w:p>
    <w:p>
      <w:pPr>
        <w:spacing w:after="120" w:line="252" w:lineRule="auto"/>
      </w:pPr>
      <w:r>
        <w:rPr>
          <w:rFonts w:ascii="Liberation Serif" w:hAnsi="Liberation Serif"/>
          <w:color w:val="232734"/>
          <w:sz w:val="20"/>
        </w:rPr>
        <w:t>EquineSync shall not introduce a new vendor merely because:</w:t>
      </w:r>
    </w:p>
    <w:p>
      <w:pPr>
        <w:pStyle w:val="ListBullet"/>
      </w:pPr>
      <w:r>
        <w:rPr>
          <w:rFonts w:ascii="Liberation Serif" w:hAnsi="Liberation Serif"/>
          <w:color w:val="232734"/>
          <w:sz w:val="20"/>
        </w:rPr>
        <w:t>it is fashionable;</w:t>
      </w:r>
    </w:p>
    <w:p>
      <w:pPr>
        <w:pStyle w:val="ListBullet"/>
      </w:pPr>
      <w:r>
        <w:rPr>
          <w:rFonts w:ascii="Liberation Serif" w:hAnsi="Liberation Serif"/>
          <w:color w:val="232734"/>
          <w:sz w:val="20"/>
        </w:rPr>
        <w:t>it is free;</w:t>
      </w:r>
    </w:p>
    <w:p>
      <w:pPr>
        <w:pStyle w:val="ListBullet"/>
      </w:pPr>
      <w:r>
        <w:rPr>
          <w:rFonts w:ascii="Liberation Serif" w:hAnsi="Liberation Serif"/>
          <w:color w:val="232734"/>
          <w:sz w:val="20"/>
        </w:rPr>
        <w:t>a team member prefers it;</w:t>
      </w:r>
    </w:p>
    <w:p>
      <w:pPr>
        <w:pStyle w:val="ListBullet"/>
      </w:pPr>
      <w:r>
        <w:rPr>
          <w:rFonts w:ascii="Liberation Serif" w:hAnsi="Liberation Serif"/>
          <w:color w:val="232734"/>
          <w:sz w:val="20"/>
        </w:rPr>
        <w:t>it duplicates an existing tool;</w:t>
      </w:r>
    </w:p>
    <w:p>
      <w:pPr>
        <w:pStyle w:val="ListBullet"/>
      </w:pPr>
      <w:r>
        <w:rPr>
          <w:rFonts w:ascii="Liberation Serif" w:hAnsi="Liberation Serif"/>
          <w:color w:val="232734"/>
          <w:sz w:val="20"/>
        </w:rPr>
        <w:t>a marketplace offers one-click installation.</w:t>
      </w:r>
    </w:p>
    <w:p>
      <w:pPr>
        <w:pStyle w:val="Heading1"/>
        <w:keepNext/>
        <w:pBdr>
          <w:bottom w:val="single" w:sz="6" w:space="4" w:color="E3E6EB"/>
        </w:pBdr>
      </w:pPr>
      <w:r>
        <w:t>13. Data Minimization</w:t>
      </w:r>
    </w:p>
    <w:p>
      <w:pPr>
        <w:spacing w:after="120" w:line="252" w:lineRule="auto"/>
      </w:pPr>
      <w:r>
        <w:rPr>
          <w:rFonts w:ascii="Liberation Serif" w:hAnsi="Liberation Serif"/>
          <w:color w:val="232734"/>
          <w:sz w:val="20"/>
        </w:rPr>
        <w:t>Vendors shall receive only the minimum information necessary for the approved purpose.</w:t>
      </w:r>
    </w:p>
    <w:p>
      <w:pPr>
        <w:spacing w:after="120" w:line="252" w:lineRule="auto"/>
      </w:pPr>
      <w:r>
        <w:rPr>
          <w:rFonts w:ascii="Liberation Serif" w:hAnsi="Liberation Serif"/>
          <w:color w:val="232734"/>
          <w:sz w:val="20"/>
        </w:rPr>
        <w:t>Review shall consider whether:</w:t>
      </w:r>
    </w:p>
    <w:p>
      <w:pPr>
        <w:pStyle w:val="ListBullet"/>
      </w:pPr>
      <w:r>
        <w:rPr>
          <w:rFonts w:ascii="Liberation Serif" w:hAnsi="Liberation Serif"/>
          <w:color w:val="232734"/>
          <w:sz w:val="20"/>
        </w:rPr>
        <w:t>raw data is required;</w:t>
      </w:r>
    </w:p>
    <w:p>
      <w:pPr>
        <w:pStyle w:val="ListBullet"/>
      </w:pPr>
      <w:r>
        <w:rPr>
          <w:rFonts w:ascii="Liberation Serif" w:hAnsi="Liberation Serif"/>
          <w:color w:val="232734"/>
          <w:sz w:val="20"/>
        </w:rPr>
        <w:t>masked data is sufficient;</w:t>
      </w:r>
    </w:p>
    <w:p>
      <w:pPr>
        <w:pStyle w:val="ListBullet"/>
      </w:pPr>
      <w:r>
        <w:rPr>
          <w:rFonts w:ascii="Liberation Serif" w:hAnsi="Liberation Serif"/>
          <w:color w:val="232734"/>
          <w:sz w:val="20"/>
        </w:rPr>
        <w:t>tokens can replace credentials;</w:t>
      </w:r>
    </w:p>
    <w:p>
      <w:pPr>
        <w:pStyle w:val="ListBullet"/>
      </w:pPr>
      <w:r>
        <w:rPr>
          <w:rFonts w:ascii="Liberation Serif" w:hAnsi="Liberation Serif"/>
          <w:color w:val="232734"/>
          <w:sz w:val="20"/>
        </w:rPr>
        <w:t>aggregate data is sufficient;</w:t>
      </w:r>
    </w:p>
    <w:p>
      <w:pPr>
        <w:pStyle w:val="ListBullet"/>
      </w:pPr>
      <w:r>
        <w:rPr>
          <w:rFonts w:ascii="Liberation Serif" w:hAnsi="Liberation Serif"/>
          <w:color w:val="232734"/>
          <w:sz w:val="20"/>
        </w:rPr>
        <w:t>synthetic data can be used;</w:t>
      </w:r>
    </w:p>
    <w:p>
      <w:pPr>
        <w:pStyle w:val="ListBullet"/>
      </w:pPr>
      <w:r>
        <w:rPr>
          <w:rFonts w:ascii="Liberation Serif" w:hAnsi="Liberation Serif"/>
          <w:color w:val="232734"/>
          <w:sz w:val="20"/>
        </w:rPr>
        <w:t>field-level access can be narrowed;</w:t>
      </w:r>
    </w:p>
    <w:p>
      <w:pPr>
        <w:pStyle w:val="ListBullet"/>
      </w:pPr>
      <w:r>
        <w:rPr>
          <w:rFonts w:ascii="Liberation Serif" w:hAnsi="Liberation Serif"/>
          <w:color w:val="232734"/>
          <w:sz w:val="20"/>
        </w:rPr>
        <w:t>access can be time limited;</w:t>
      </w:r>
    </w:p>
    <w:p>
      <w:pPr>
        <w:pStyle w:val="ListBullet"/>
      </w:pPr>
      <w:r>
        <w:rPr>
          <w:rFonts w:ascii="Liberation Serif" w:hAnsi="Liberation Serif"/>
          <w:color w:val="232734"/>
          <w:sz w:val="20"/>
        </w:rPr>
        <w:t>data can remain within EquineSync.</w:t>
      </w:r>
    </w:p>
    <w:p>
      <w:pPr>
        <w:spacing w:after="120" w:line="252" w:lineRule="auto"/>
      </w:pPr>
      <w:r>
        <w:rPr>
          <w:rFonts w:ascii="Liberation Serif" w:hAnsi="Liberation Serif"/>
          <w:color w:val="232734"/>
          <w:sz w:val="20"/>
        </w:rPr>
        <w:t>A vendor shall not receive an entire tenant dataset where a smaller scope is sufficient.</w:t>
      </w:r>
    </w:p>
    <w:p>
      <w:pPr>
        <w:pStyle w:val="Heading1"/>
        <w:keepNext/>
        <w:pBdr>
          <w:bottom w:val="single" w:sz="6" w:space="4" w:color="E3E6EB"/>
        </w:pBdr>
      </w:pPr>
      <w:r>
        <w:t>14. Access Minimization</w:t>
      </w:r>
    </w:p>
    <w:p>
      <w:pPr>
        <w:spacing w:after="120" w:line="252" w:lineRule="auto"/>
      </w:pPr>
      <w:r>
        <w:rPr>
          <w:rFonts w:ascii="Liberation Serif" w:hAnsi="Liberation Serif"/>
          <w:color w:val="232734"/>
          <w:sz w:val="20"/>
        </w:rPr>
        <w:t>Vendor access must be:</w:t>
      </w:r>
    </w:p>
    <w:p>
      <w:pPr>
        <w:pStyle w:val="ListBullet"/>
      </w:pPr>
      <w:r>
        <w:rPr>
          <w:rFonts w:ascii="Liberation Serif" w:hAnsi="Liberation Serif"/>
          <w:color w:val="232734"/>
          <w:sz w:val="20"/>
        </w:rPr>
        <w:t>purpose bound;</w:t>
      </w:r>
    </w:p>
    <w:p>
      <w:pPr>
        <w:pStyle w:val="ListBullet"/>
      </w:pPr>
      <w:r>
        <w:rPr>
          <w:rFonts w:ascii="Liberation Serif" w:hAnsi="Liberation Serif"/>
          <w:color w:val="232734"/>
          <w:sz w:val="20"/>
        </w:rPr>
        <w:t>tenant scoped;</w:t>
      </w:r>
    </w:p>
    <w:p>
      <w:pPr>
        <w:pStyle w:val="ListBullet"/>
      </w:pPr>
      <w:r>
        <w:rPr>
          <w:rFonts w:ascii="Liberation Serif" w:hAnsi="Liberation Serif"/>
          <w:color w:val="232734"/>
          <w:sz w:val="20"/>
        </w:rPr>
        <w:t>environment scoped;</w:t>
      </w:r>
    </w:p>
    <w:p>
      <w:pPr>
        <w:pStyle w:val="ListBullet"/>
      </w:pPr>
      <w:r>
        <w:rPr>
          <w:rFonts w:ascii="Liberation Serif" w:hAnsi="Liberation Serif"/>
          <w:color w:val="232734"/>
          <w:sz w:val="20"/>
        </w:rPr>
        <w:t>time limited where feasible;</w:t>
      </w:r>
    </w:p>
    <w:p>
      <w:pPr>
        <w:pStyle w:val="ListBullet"/>
      </w:pPr>
      <w:r>
        <w:rPr>
          <w:rFonts w:ascii="Liberation Serif" w:hAnsi="Liberation Serif"/>
          <w:color w:val="232734"/>
          <w:sz w:val="20"/>
        </w:rPr>
        <w:t>individually attributable;</w:t>
      </w:r>
    </w:p>
    <w:p>
      <w:pPr>
        <w:pStyle w:val="ListBullet"/>
      </w:pPr>
      <w:r>
        <w:rPr>
          <w:rFonts w:ascii="Liberation Serif" w:hAnsi="Liberation Serif"/>
          <w:color w:val="232734"/>
          <w:sz w:val="20"/>
        </w:rPr>
        <w:t>strongly authenticated;</w:t>
      </w:r>
    </w:p>
    <w:p>
      <w:pPr>
        <w:pStyle w:val="ListBullet"/>
      </w:pPr>
      <w:r>
        <w:rPr>
          <w:rFonts w:ascii="Liberation Serif" w:hAnsi="Liberation Serif"/>
          <w:color w:val="232734"/>
          <w:sz w:val="20"/>
        </w:rPr>
        <w:t>logged;</w:t>
      </w:r>
    </w:p>
    <w:p>
      <w:pPr>
        <w:pStyle w:val="ListBullet"/>
      </w:pPr>
      <w:r>
        <w:rPr>
          <w:rFonts w:ascii="Liberation Serif" w:hAnsi="Liberation Serif"/>
          <w:color w:val="232734"/>
          <w:sz w:val="20"/>
        </w:rPr>
        <w:t>reviewable;</w:t>
      </w:r>
    </w:p>
    <w:p>
      <w:pPr>
        <w:pStyle w:val="ListBullet"/>
      </w:pPr>
      <w:r>
        <w:rPr>
          <w:rFonts w:ascii="Liberation Serif" w:hAnsi="Liberation Serif"/>
          <w:color w:val="232734"/>
          <w:sz w:val="20"/>
        </w:rPr>
        <w:t>revocable.</w:t>
      </w:r>
    </w:p>
    <w:p>
      <w:pPr>
        <w:spacing w:after="120" w:line="252" w:lineRule="auto"/>
      </w:pPr>
      <w:r>
        <w:rPr>
          <w:rFonts w:ascii="Liberation Serif" w:hAnsi="Liberation Serif"/>
          <w:color w:val="232734"/>
          <w:sz w:val="20"/>
        </w:rPr>
        <w:t>Vendor personnel shall not receive standing broad access merely because support access may occasionally be needed.</w:t>
      </w:r>
    </w:p>
    <w:p>
      <w:pPr>
        <w:pStyle w:val="Heading1"/>
        <w:keepNext/>
        <w:pBdr>
          <w:bottom w:val="single" w:sz="6" w:space="4" w:color="E3E6EB"/>
        </w:pBdr>
      </w:pPr>
      <w:r>
        <w:t>15. Vendor Due Diligence</w:t>
      </w:r>
    </w:p>
    <w:p>
      <w:pPr>
        <w:spacing w:after="120" w:line="252" w:lineRule="auto"/>
      </w:pPr>
      <w:r>
        <w:rPr>
          <w:rFonts w:ascii="Liberation Serif" w:hAnsi="Liberation Serif"/>
          <w:color w:val="232734"/>
          <w:sz w:val="20"/>
        </w:rPr>
        <w:t>Due diligence shall be proportionate to risk.</w:t>
      </w:r>
    </w:p>
    <w:p>
      <w:pPr>
        <w:spacing w:after="120" w:line="252" w:lineRule="auto"/>
      </w:pPr>
      <w:r>
        <w:rPr>
          <w:rFonts w:ascii="Liberation Serif" w:hAnsi="Liberation Serif"/>
          <w:color w:val="232734"/>
          <w:sz w:val="20"/>
        </w:rPr>
        <w:t>Review may include:</w:t>
      </w:r>
    </w:p>
    <w:p>
      <w:pPr>
        <w:pStyle w:val="ListBullet"/>
      </w:pPr>
      <w:r>
        <w:rPr>
          <w:rFonts w:ascii="Liberation Serif" w:hAnsi="Liberation Serif"/>
          <w:color w:val="232734"/>
          <w:sz w:val="20"/>
        </w:rPr>
        <w:t>security program;</w:t>
      </w:r>
    </w:p>
    <w:p>
      <w:pPr>
        <w:pStyle w:val="ListBullet"/>
      </w:pPr>
      <w:r>
        <w:rPr>
          <w:rFonts w:ascii="Liberation Serif" w:hAnsi="Liberation Serif"/>
          <w:color w:val="232734"/>
          <w:sz w:val="20"/>
        </w:rPr>
        <w:t>access controls;</w:t>
      </w:r>
    </w:p>
    <w:p>
      <w:pPr>
        <w:pStyle w:val="ListBullet"/>
      </w:pPr>
      <w:r>
        <w:rPr>
          <w:rFonts w:ascii="Liberation Serif" w:hAnsi="Liberation Serif"/>
          <w:color w:val="232734"/>
          <w:sz w:val="20"/>
        </w:rPr>
        <w:t>encryption;</w:t>
      </w:r>
    </w:p>
    <w:p>
      <w:pPr>
        <w:pStyle w:val="ListBullet"/>
      </w:pPr>
      <w:r>
        <w:rPr>
          <w:rFonts w:ascii="Liberation Serif" w:hAnsi="Liberation Serif"/>
          <w:color w:val="232734"/>
          <w:sz w:val="20"/>
        </w:rPr>
        <w:t>key management;</w:t>
      </w:r>
    </w:p>
    <w:p>
      <w:pPr>
        <w:pStyle w:val="ListBullet"/>
      </w:pPr>
      <w:r>
        <w:rPr>
          <w:rFonts w:ascii="Liberation Serif" w:hAnsi="Liberation Serif"/>
          <w:color w:val="232734"/>
          <w:sz w:val="20"/>
        </w:rPr>
        <w:t>personnel security;</w:t>
      </w:r>
    </w:p>
    <w:p>
      <w:pPr>
        <w:pStyle w:val="ListBullet"/>
      </w:pPr>
      <w:r>
        <w:rPr>
          <w:rFonts w:ascii="Liberation Serif" w:hAnsi="Liberation Serif"/>
          <w:color w:val="232734"/>
          <w:sz w:val="20"/>
        </w:rPr>
        <w:t>incident response;</w:t>
      </w:r>
    </w:p>
    <w:p>
      <w:pPr>
        <w:pStyle w:val="ListBullet"/>
      </w:pPr>
      <w:r>
        <w:rPr>
          <w:rFonts w:ascii="Liberation Serif" w:hAnsi="Liberation Serif"/>
          <w:color w:val="232734"/>
          <w:sz w:val="20"/>
        </w:rPr>
        <w:t>vulnerability management;</w:t>
      </w:r>
    </w:p>
    <w:p>
      <w:pPr>
        <w:pStyle w:val="ListBullet"/>
      </w:pPr>
      <w:r>
        <w:rPr>
          <w:rFonts w:ascii="Liberation Serif" w:hAnsi="Liberation Serif"/>
          <w:color w:val="232734"/>
          <w:sz w:val="20"/>
        </w:rPr>
        <w:t>secure development;</w:t>
      </w:r>
    </w:p>
    <w:p>
      <w:pPr>
        <w:pStyle w:val="ListBullet"/>
      </w:pPr>
      <w:r>
        <w:rPr>
          <w:rFonts w:ascii="Liberation Serif" w:hAnsi="Liberation Serif"/>
          <w:color w:val="232734"/>
          <w:sz w:val="20"/>
        </w:rPr>
        <w:t>audit logging;</w:t>
      </w:r>
    </w:p>
    <w:p>
      <w:pPr>
        <w:pStyle w:val="ListBullet"/>
      </w:pPr>
      <w:r>
        <w:rPr>
          <w:rFonts w:ascii="Liberation Serif" w:hAnsi="Liberation Serif"/>
          <w:color w:val="232734"/>
          <w:sz w:val="20"/>
        </w:rPr>
        <w:t>resilience;</w:t>
      </w:r>
    </w:p>
    <w:p>
      <w:pPr>
        <w:pStyle w:val="ListBullet"/>
      </w:pPr>
      <w:r>
        <w:rPr>
          <w:rFonts w:ascii="Liberation Serif" w:hAnsi="Liberation Serif"/>
          <w:color w:val="232734"/>
          <w:sz w:val="20"/>
        </w:rPr>
        <w:t>backup and recovery;</w:t>
      </w:r>
    </w:p>
    <w:p>
      <w:pPr>
        <w:pStyle w:val="ListBullet"/>
      </w:pPr>
      <w:r>
        <w:rPr>
          <w:rFonts w:ascii="Liberation Serif" w:hAnsi="Liberation Serif"/>
          <w:color w:val="232734"/>
          <w:sz w:val="20"/>
        </w:rPr>
        <w:t>data retention;</w:t>
      </w:r>
    </w:p>
    <w:p>
      <w:pPr>
        <w:pStyle w:val="ListBullet"/>
      </w:pPr>
      <w:r>
        <w:rPr>
          <w:rFonts w:ascii="Liberation Serif" w:hAnsi="Liberation Serif"/>
          <w:color w:val="232734"/>
          <w:sz w:val="20"/>
        </w:rPr>
        <w:t>deletion;</w:t>
      </w:r>
    </w:p>
    <w:p>
      <w:pPr>
        <w:pStyle w:val="ListBullet"/>
      </w:pPr>
      <w:r>
        <w:rPr>
          <w:rFonts w:ascii="Liberation Serif" w:hAnsi="Liberation Serif"/>
          <w:color w:val="232734"/>
          <w:sz w:val="20"/>
        </w:rPr>
        <w:t>privacy;</w:t>
      </w:r>
    </w:p>
    <w:p>
      <w:pPr>
        <w:pStyle w:val="ListBullet"/>
      </w:pPr>
      <w:r>
        <w:rPr>
          <w:rFonts w:ascii="Liberation Serif" w:hAnsi="Liberation Serif"/>
          <w:color w:val="232734"/>
          <w:sz w:val="20"/>
        </w:rPr>
        <w:t>subprocessors;</w:t>
      </w:r>
    </w:p>
    <w:p>
      <w:pPr>
        <w:pStyle w:val="ListBullet"/>
      </w:pPr>
      <w:r>
        <w:rPr>
          <w:rFonts w:ascii="Liberation Serif" w:hAnsi="Liberation Serif"/>
          <w:color w:val="232734"/>
          <w:sz w:val="20"/>
        </w:rPr>
        <w:t>geographic processing;</w:t>
      </w:r>
    </w:p>
    <w:p>
      <w:pPr>
        <w:pStyle w:val="ListBullet"/>
      </w:pPr>
      <w:r>
        <w:rPr>
          <w:rFonts w:ascii="Liberation Serif" w:hAnsi="Liberation Serif"/>
          <w:color w:val="232734"/>
          <w:sz w:val="20"/>
        </w:rPr>
        <w:t>certifications;</w:t>
      </w:r>
    </w:p>
    <w:p>
      <w:pPr>
        <w:pStyle w:val="ListBullet"/>
      </w:pPr>
      <w:r>
        <w:rPr>
          <w:rFonts w:ascii="Liberation Serif" w:hAnsi="Liberation Serif"/>
          <w:color w:val="232734"/>
          <w:sz w:val="20"/>
        </w:rPr>
        <w:t>independent assessments;</w:t>
      </w:r>
    </w:p>
    <w:p>
      <w:pPr>
        <w:pStyle w:val="ListBullet"/>
      </w:pPr>
      <w:r>
        <w:rPr>
          <w:rFonts w:ascii="Liberation Serif" w:hAnsi="Liberation Serif"/>
          <w:color w:val="232734"/>
          <w:sz w:val="20"/>
        </w:rPr>
        <w:t>penetration testing;</w:t>
      </w:r>
    </w:p>
    <w:p>
      <w:pPr>
        <w:pStyle w:val="ListBullet"/>
      </w:pPr>
      <w:r>
        <w:rPr>
          <w:rFonts w:ascii="Liberation Serif" w:hAnsi="Liberation Serif"/>
          <w:color w:val="232734"/>
          <w:sz w:val="20"/>
        </w:rPr>
        <w:t>business continuity;</w:t>
      </w:r>
    </w:p>
    <w:p>
      <w:pPr>
        <w:pStyle w:val="ListBullet"/>
      </w:pPr>
      <w:r>
        <w:rPr>
          <w:rFonts w:ascii="Liberation Serif" w:hAnsi="Liberation Serif"/>
          <w:color w:val="232734"/>
          <w:sz w:val="20"/>
        </w:rPr>
        <w:t>financial stability;</w:t>
      </w:r>
    </w:p>
    <w:p>
      <w:pPr>
        <w:pStyle w:val="ListBullet"/>
      </w:pPr>
      <w:r>
        <w:rPr>
          <w:rFonts w:ascii="Liberation Serif" w:hAnsi="Liberation Serif"/>
          <w:color w:val="232734"/>
          <w:sz w:val="20"/>
        </w:rPr>
        <w:t>insurance;</w:t>
      </w:r>
    </w:p>
    <w:p>
      <w:pPr>
        <w:pStyle w:val="ListBullet"/>
      </w:pPr>
      <w:r>
        <w:rPr>
          <w:rFonts w:ascii="Liberation Serif" w:hAnsi="Liberation Serif"/>
          <w:color w:val="232734"/>
          <w:sz w:val="20"/>
        </w:rPr>
        <w:t>litigation or enforcement history;</w:t>
      </w:r>
    </w:p>
    <w:p>
      <w:pPr>
        <w:pStyle w:val="ListBullet"/>
      </w:pPr>
      <w:r>
        <w:rPr>
          <w:rFonts w:ascii="Liberation Serif" w:hAnsi="Liberation Serif"/>
          <w:color w:val="232734"/>
          <w:sz w:val="20"/>
        </w:rPr>
        <w:t>breach history;</w:t>
      </w:r>
    </w:p>
    <w:p>
      <w:pPr>
        <w:pStyle w:val="ListBullet"/>
      </w:pPr>
      <w:r>
        <w:rPr>
          <w:rFonts w:ascii="Liberation Serif" w:hAnsi="Liberation Serif"/>
          <w:color w:val="232734"/>
          <w:sz w:val="20"/>
        </w:rPr>
        <w:t>customer references;</w:t>
      </w:r>
    </w:p>
    <w:p>
      <w:pPr>
        <w:pStyle w:val="ListBullet"/>
      </w:pPr>
      <w:r>
        <w:rPr>
          <w:rFonts w:ascii="Liberation Serif" w:hAnsi="Liberation Serif"/>
          <w:color w:val="232734"/>
          <w:sz w:val="20"/>
        </w:rPr>
        <w:t>exit capability.</w:t>
      </w:r>
    </w:p>
    <w:p>
      <w:pPr>
        <w:pStyle w:val="Heading1"/>
        <w:keepNext/>
        <w:pBdr>
          <w:bottom w:val="single" w:sz="6" w:space="4" w:color="E3E6EB"/>
        </w:pBdr>
      </w:pPr>
      <w:r>
        <w:t>16. Evidence Quality</w:t>
      </w:r>
    </w:p>
    <w:p>
      <w:pPr>
        <w:spacing w:after="120" w:line="252" w:lineRule="auto"/>
      </w:pPr>
      <w:r>
        <w:rPr>
          <w:rFonts w:ascii="Liberation Serif" w:hAnsi="Liberation Serif"/>
          <w:color w:val="232734"/>
          <w:sz w:val="20"/>
        </w:rPr>
        <w:t>Vendor claims shall be evaluated according to evidence quality.</w:t>
      </w:r>
    </w:p>
    <w:p>
      <w:pPr>
        <w:spacing w:after="120" w:line="252" w:lineRule="auto"/>
      </w:pPr>
      <w:r>
        <w:rPr>
          <w:rFonts w:ascii="Liberation Serif" w:hAnsi="Liberation Serif"/>
          <w:color w:val="232734"/>
          <w:sz w:val="20"/>
        </w:rPr>
        <w:t>Evidence may include:</w:t>
      </w:r>
    </w:p>
    <w:p>
      <w:pPr>
        <w:pStyle w:val="ListBullet"/>
      </w:pPr>
      <w:r>
        <w:rPr>
          <w:rFonts w:ascii="Liberation Serif" w:hAnsi="Liberation Serif"/>
          <w:color w:val="232734"/>
          <w:sz w:val="20"/>
        </w:rPr>
        <w:t>independent audit reports;</w:t>
      </w:r>
    </w:p>
    <w:p>
      <w:pPr>
        <w:pStyle w:val="ListBullet"/>
      </w:pPr>
      <w:r>
        <w:rPr>
          <w:rFonts w:ascii="Liberation Serif" w:hAnsi="Liberation Serif"/>
          <w:color w:val="232734"/>
          <w:sz w:val="20"/>
        </w:rPr>
        <w:t>certification reports;</w:t>
      </w:r>
    </w:p>
    <w:p>
      <w:pPr>
        <w:pStyle w:val="ListBullet"/>
      </w:pPr>
      <w:r>
        <w:rPr>
          <w:rFonts w:ascii="Liberation Serif" w:hAnsi="Liberation Serif"/>
          <w:color w:val="232734"/>
          <w:sz w:val="20"/>
        </w:rPr>
        <w:t>penetration-test summaries;</w:t>
      </w:r>
    </w:p>
    <w:p>
      <w:pPr>
        <w:pStyle w:val="ListBullet"/>
      </w:pPr>
      <w:r>
        <w:rPr>
          <w:rFonts w:ascii="Liberation Serif" w:hAnsi="Liberation Serif"/>
          <w:color w:val="232734"/>
          <w:sz w:val="20"/>
        </w:rPr>
        <w:t>security questionnaires;</w:t>
      </w:r>
    </w:p>
    <w:p>
      <w:pPr>
        <w:pStyle w:val="ListBullet"/>
      </w:pPr>
      <w:r>
        <w:rPr>
          <w:rFonts w:ascii="Liberation Serif" w:hAnsi="Liberation Serif"/>
          <w:color w:val="232734"/>
          <w:sz w:val="20"/>
        </w:rPr>
        <w:t>architecture documentation;</w:t>
      </w:r>
    </w:p>
    <w:p>
      <w:pPr>
        <w:pStyle w:val="ListBullet"/>
      </w:pPr>
      <w:r>
        <w:rPr>
          <w:rFonts w:ascii="Liberation Serif" w:hAnsi="Liberation Serif"/>
          <w:color w:val="232734"/>
          <w:sz w:val="20"/>
        </w:rPr>
        <w:t>contractual commitments;</w:t>
      </w:r>
    </w:p>
    <w:p>
      <w:pPr>
        <w:pStyle w:val="ListBullet"/>
      </w:pPr>
      <w:r>
        <w:rPr>
          <w:rFonts w:ascii="Liberation Serif" w:hAnsi="Liberation Serif"/>
          <w:color w:val="232734"/>
          <w:sz w:val="20"/>
        </w:rPr>
        <w:t>incident history;</w:t>
      </w:r>
    </w:p>
    <w:p>
      <w:pPr>
        <w:pStyle w:val="ListBullet"/>
      </w:pPr>
      <w:r>
        <w:rPr>
          <w:rFonts w:ascii="Liberation Serif" w:hAnsi="Liberation Serif"/>
          <w:color w:val="232734"/>
          <w:sz w:val="20"/>
        </w:rPr>
        <w:t>trust-center materials;</w:t>
      </w:r>
    </w:p>
    <w:p>
      <w:pPr>
        <w:pStyle w:val="ListBullet"/>
      </w:pPr>
      <w:r>
        <w:rPr>
          <w:rFonts w:ascii="Liberation Serif" w:hAnsi="Liberation Serif"/>
          <w:color w:val="232734"/>
          <w:sz w:val="20"/>
        </w:rPr>
        <w:t>technical validation;</w:t>
      </w:r>
    </w:p>
    <w:p>
      <w:pPr>
        <w:pStyle w:val="ListBullet"/>
      </w:pPr>
      <w:r>
        <w:rPr>
          <w:rFonts w:ascii="Liberation Serif" w:hAnsi="Liberation Serif"/>
          <w:color w:val="232734"/>
          <w:sz w:val="20"/>
        </w:rPr>
        <w:t>customer references;</w:t>
      </w:r>
    </w:p>
    <w:p>
      <w:pPr>
        <w:pStyle w:val="ListBullet"/>
      </w:pPr>
      <w:r>
        <w:rPr>
          <w:rFonts w:ascii="Liberation Serif" w:hAnsi="Liberation Serif"/>
          <w:color w:val="232734"/>
          <w:sz w:val="20"/>
        </w:rPr>
        <w:t>direct demonstrations.</w:t>
      </w:r>
    </w:p>
    <w:p>
      <w:pPr>
        <w:spacing w:after="120" w:line="252" w:lineRule="auto"/>
      </w:pPr>
      <w:r>
        <w:rPr>
          <w:rFonts w:ascii="Liberation Serif" w:hAnsi="Liberation Serif"/>
          <w:color w:val="232734"/>
          <w:sz w:val="20"/>
        </w:rPr>
        <w:t>Marketing language alone is weak evidence.</w:t>
      </w:r>
    </w:p>
    <w:p>
      <w:pPr>
        <w:spacing w:after="120" w:line="252" w:lineRule="auto"/>
      </w:pPr>
      <w:r>
        <w:rPr>
          <w:rFonts w:ascii="Liberation Serif" w:hAnsi="Liberation Serif"/>
          <w:color w:val="232734"/>
          <w:sz w:val="20"/>
        </w:rPr>
        <w:t>A certification shall not be treated as proof that:</w:t>
      </w:r>
    </w:p>
    <w:p>
      <w:pPr>
        <w:pStyle w:val="ListBullet"/>
      </w:pPr>
      <w:r>
        <w:rPr>
          <w:rFonts w:ascii="Liberation Serif" w:hAnsi="Liberation Serif"/>
          <w:color w:val="232734"/>
          <w:sz w:val="20"/>
        </w:rPr>
        <w:t>every service is covered;</w:t>
      </w:r>
    </w:p>
    <w:p>
      <w:pPr>
        <w:pStyle w:val="ListBullet"/>
      </w:pPr>
      <w:r>
        <w:rPr>
          <w:rFonts w:ascii="Liberation Serif" w:hAnsi="Liberation Serif"/>
          <w:color w:val="232734"/>
          <w:sz w:val="20"/>
        </w:rPr>
        <w:t>EquineSync’s configuration is secure;</w:t>
      </w:r>
    </w:p>
    <w:p>
      <w:pPr>
        <w:pStyle w:val="ListBullet"/>
      </w:pPr>
      <w:r>
        <w:rPr>
          <w:rFonts w:ascii="Liberation Serif" w:hAnsi="Liberation Serif"/>
          <w:color w:val="232734"/>
          <w:sz w:val="20"/>
        </w:rPr>
        <w:t>tenant isolation is adequate;</w:t>
      </w:r>
    </w:p>
    <w:p>
      <w:pPr>
        <w:pStyle w:val="ListBullet"/>
      </w:pPr>
      <w:r>
        <w:rPr>
          <w:rFonts w:ascii="Liberation Serif" w:hAnsi="Liberation Serif"/>
          <w:color w:val="232734"/>
          <w:sz w:val="20"/>
        </w:rPr>
        <w:t>no breach can occur;</w:t>
      </w:r>
    </w:p>
    <w:p>
      <w:pPr>
        <w:pStyle w:val="ListBullet"/>
      </w:pPr>
      <w:r>
        <w:rPr>
          <w:rFonts w:ascii="Liberation Serif" w:hAnsi="Liberation Serif"/>
          <w:color w:val="232734"/>
          <w:sz w:val="20"/>
        </w:rPr>
        <w:t>all contractual requirements are satisfied.</w:t>
      </w:r>
    </w:p>
    <w:p>
      <w:pPr>
        <w:pStyle w:val="Heading1"/>
        <w:keepNext/>
        <w:pBdr>
          <w:bottom w:val="single" w:sz="6" w:space="4" w:color="E3E6EB"/>
        </w:pBdr>
      </w:pPr>
      <w:r>
        <w:t>17. Security Questionnaires</w:t>
      </w:r>
    </w:p>
    <w:p>
      <w:pPr>
        <w:spacing w:after="120" w:line="252" w:lineRule="auto"/>
      </w:pPr>
      <w:r>
        <w:rPr>
          <w:rFonts w:ascii="Liberation Serif" w:hAnsi="Liberation Serif"/>
          <w:color w:val="232734"/>
          <w:sz w:val="20"/>
        </w:rPr>
        <w:t>Security questionnaires may support review but shall not replace:</w:t>
      </w:r>
    </w:p>
    <w:p>
      <w:pPr>
        <w:pStyle w:val="ListBullet"/>
      </w:pPr>
      <w:r>
        <w:rPr>
          <w:rFonts w:ascii="Liberation Serif" w:hAnsi="Liberation Serif"/>
          <w:color w:val="232734"/>
          <w:sz w:val="20"/>
        </w:rPr>
        <w:t>architecture analysis;</w:t>
      </w:r>
    </w:p>
    <w:p>
      <w:pPr>
        <w:pStyle w:val="ListBullet"/>
      </w:pPr>
      <w:r>
        <w:rPr>
          <w:rFonts w:ascii="Liberation Serif" w:hAnsi="Liberation Serif"/>
          <w:color w:val="232734"/>
          <w:sz w:val="20"/>
        </w:rPr>
        <w:t>contract review;</w:t>
      </w:r>
    </w:p>
    <w:p>
      <w:pPr>
        <w:pStyle w:val="ListBullet"/>
      </w:pPr>
      <w:r>
        <w:rPr>
          <w:rFonts w:ascii="Liberation Serif" w:hAnsi="Liberation Serif"/>
          <w:color w:val="232734"/>
          <w:sz w:val="20"/>
        </w:rPr>
        <w:t>technical testing;</w:t>
      </w:r>
    </w:p>
    <w:p>
      <w:pPr>
        <w:pStyle w:val="ListBullet"/>
      </w:pPr>
      <w:r>
        <w:rPr>
          <w:rFonts w:ascii="Liberation Serif" w:hAnsi="Liberation Serif"/>
          <w:color w:val="232734"/>
          <w:sz w:val="20"/>
        </w:rPr>
        <w:t>incident-history review;</w:t>
      </w:r>
    </w:p>
    <w:p>
      <w:pPr>
        <w:pStyle w:val="ListBullet"/>
      </w:pPr>
      <w:r>
        <w:rPr>
          <w:rFonts w:ascii="Liberation Serif" w:hAnsi="Liberation Serif"/>
          <w:color w:val="232734"/>
          <w:sz w:val="20"/>
        </w:rPr>
        <w:t>service-specific evidence.</w:t>
      </w:r>
    </w:p>
    <w:p>
      <w:pPr>
        <w:spacing w:after="120" w:line="252" w:lineRule="auto"/>
      </w:pPr>
      <w:r>
        <w:rPr>
          <w:rFonts w:ascii="Liberation Serif" w:hAnsi="Liberation Serif"/>
          <w:color w:val="232734"/>
          <w:sz w:val="20"/>
        </w:rPr>
        <w:t>Responses must be:</w:t>
      </w:r>
    </w:p>
    <w:p>
      <w:pPr>
        <w:pStyle w:val="ListBullet"/>
      </w:pPr>
      <w:r>
        <w:rPr>
          <w:rFonts w:ascii="Liberation Serif" w:hAnsi="Liberation Serif"/>
          <w:color w:val="232734"/>
          <w:sz w:val="20"/>
        </w:rPr>
        <w:t>current;</w:t>
      </w:r>
    </w:p>
    <w:p>
      <w:pPr>
        <w:pStyle w:val="ListBullet"/>
      </w:pPr>
      <w:r>
        <w:rPr>
          <w:rFonts w:ascii="Liberation Serif" w:hAnsi="Liberation Serif"/>
          <w:color w:val="232734"/>
          <w:sz w:val="20"/>
        </w:rPr>
        <w:t>service specific;</w:t>
      </w:r>
    </w:p>
    <w:p>
      <w:pPr>
        <w:pStyle w:val="ListBullet"/>
      </w:pPr>
      <w:r>
        <w:rPr>
          <w:rFonts w:ascii="Liberation Serif" w:hAnsi="Liberation Serif"/>
          <w:color w:val="232734"/>
          <w:sz w:val="20"/>
        </w:rPr>
        <w:t>attributable;</w:t>
      </w:r>
    </w:p>
    <w:p>
      <w:pPr>
        <w:pStyle w:val="ListBullet"/>
      </w:pPr>
      <w:r>
        <w:rPr>
          <w:rFonts w:ascii="Liberation Serif" w:hAnsi="Liberation Serif"/>
          <w:color w:val="232734"/>
          <w:sz w:val="20"/>
        </w:rPr>
        <w:t>preserved.</w:t>
      </w:r>
    </w:p>
    <w:p>
      <w:pPr>
        <w:spacing w:after="120" w:line="252" w:lineRule="auto"/>
      </w:pPr>
      <w:r>
        <w:rPr>
          <w:rFonts w:ascii="Liberation Serif" w:hAnsi="Liberation Serif"/>
          <w:color w:val="232734"/>
          <w:sz w:val="20"/>
        </w:rPr>
        <w:t>Material contradictions shall be resolved before approval.</w:t>
      </w:r>
    </w:p>
    <w:p>
      <w:pPr>
        <w:pStyle w:val="Heading1"/>
        <w:keepNext/>
        <w:pBdr>
          <w:bottom w:val="single" w:sz="6" w:space="4" w:color="E3E6EB"/>
        </w:pBdr>
      </w:pPr>
      <w:r>
        <w:t>18. Certifications and Audits</w:t>
      </w:r>
    </w:p>
    <w:p>
      <w:pPr>
        <w:spacing w:after="120" w:line="252" w:lineRule="auto"/>
      </w:pPr>
      <w:r>
        <w:rPr>
          <w:rFonts w:ascii="Liberation Serif" w:hAnsi="Liberation Serif"/>
          <w:color w:val="232734"/>
          <w:sz w:val="20"/>
        </w:rPr>
        <w:t>Certifications or audit reports shall be evaluated for:</w:t>
      </w:r>
    </w:p>
    <w:p>
      <w:pPr>
        <w:pStyle w:val="ListBullet"/>
      </w:pPr>
      <w:r>
        <w:rPr>
          <w:rFonts w:ascii="Liberation Serif" w:hAnsi="Liberation Serif"/>
          <w:color w:val="232734"/>
          <w:sz w:val="20"/>
        </w:rPr>
        <w:t>scope;</w:t>
      </w:r>
    </w:p>
    <w:p>
      <w:pPr>
        <w:pStyle w:val="ListBullet"/>
      </w:pPr>
      <w:r>
        <w:rPr>
          <w:rFonts w:ascii="Liberation Serif" w:hAnsi="Liberation Serif"/>
          <w:color w:val="232734"/>
          <w:sz w:val="20"/>
        </w:rPr>
        <w:t>service coverage;</w:t>
      </w:r>
    </w:p>
    <w:p>
      <w:pPr>
        <w:pStyle w:val="ListBullet"/>
      </w:pPr>
      <w:r>
        <w:rPr>
          <w:rFonts w:ascii="Liberation Serif" w:hAnsi="Liberation Serif"/>
          <w:color w:val="232734"/>
          <w:sz w:val="20"/>
        </w:rPr>
        <w:t>time period;</w:t>
      </w:r>
    </w:p>
    <w:p>
      <w:pPr>
        <w:pStyle w:val="ListBullet"/>
      </w:pPr>
      <w:r>
        <w:rPr>
          <w:rFonts w:ascii="Liberation Serif" w:hAnsi="Liberation Serif"/>
          <w:color w:val="232734"/>
          <w:sz w:val="20"/>
        </w:rPr>
        <w:t>exceptions;</w:t>
      </w:r>
    </w:p>
    <w:p>
      <w:pPr>
        <w:pStyle w:val="ListBullet"/>
      </w:pPr>
      <w:r>
        <w:rPr>
          <w:rFonts w:ascii="Liberation Serif" w:hAnsi="Liberation Serif"/>
          <w:color w:val="232734"/>
          <w:sz w:val="20"/>
        </w:rPr>
        <w:t>complementary customer controls;</w:t>
      </w:r>
    </w:p>
    <w:p>
      <w:pPr>
        <w:pStyle w:val="ListBullet"/>
      </w:pPr>
      <w:r>
        <w:rPr>
          <w:rFonts w:ascii="Liberation Serif" w:hAnsi="Liberation Serif"/>
          <w:color w:val="232734"/>
          <w:sz w:val="20"/>
        </w:rPr>
        <w:t>auditor qualifications;</w:t>
      </w:r>
    </w:p>
    <w:p>
      <w:pPr>
        <w:pStyle w:val="ListBullet"/>
      </w:pPr>
      <w:r>
        <w:rPr>
          <w:rFonts w:ascii="Liberation Serif" w:hAnsi="Liberation Serif"/>
          <w:color w:val="232734"/>
          <w:sz w:val="20"/>
        </w:rPr>
        <w:t>subprocessor treatment;</w:t>
      </w:r>
    </w:p>
    <w:p>
      <w:pPr>
        <w:pStyle w:val="ListBullet"/>
      </w:pPr>
      <w:r>
        <w:rPr>
          <w:rFonts w:ascii="Liberation Serif" w:hAnsi="Liberation Serif"/>
          <w:color w:val="232734"/>
          <w:sz w:val="20"/>
        </w:rPr>
        <w:t>control failures;</w:t>
      </w:r>
    </w:p>
    <w:p>
      <w:pPr>
        <w:pStyle w:val="ListBullet"/>
      </w:pPr>
      <w:r>
        <w:rPr>
          <w:rFonts w:ascii="Liberation Serif" w:hAnsi="Liberation Serif"/>
          <w:color w:val="232734"/>
          <w:sz w:val="20"/>
        </w:rPr>
        <w:t>remediation status.</w:t>
      </w:r>
    </w:p>
    <w:p>
      <w:pPr>
        <w:spacing w:after="120" w:line="252" w:lineRule="auto"/>
      </w:pPr>
      <w:r>
        <w:rPr>
          <w:rFonts w:ascii="Liberation Serif" w:hAnsi="Liberation Serif"/>
          <w:color w:val="232734"/>
          <w:sz w:val="20"/>
        </w:rPr>
        <w:t>Expired, irrelevant, or out-of-scope reports shall not be represented as current assurance.</w:t>
      </w:r>
    </w:p>
    <w:p>
      <w:pPr>
        <w:pStyle w:val="Heading1"/>
        <w:keepNext/>
        <w:pBdr>
          <w:bottom w:val="single" w:sz="6" w:space="4" w:color="E3E6EB"/>
        </w:pBdr>
      </w:pPr>
      <w:r>
        <w:t>19. Architecture Review</w:t>
      </w:r>
    </w:p>
    <w:p>
      <w:pPr>
        <w:spacing w:after="120" w:line="252" w:lineRule="auto"/>
      </w:pPr>
      <w:r>
        <w:rPr>
          <w:rFonts w:ascii="Liberation Serif" w:hAnsi="Liberation Serif"/>
          <w:color w:val="232734"/>
          <w:sz w:val="20"/>
        </w:rPr>
        <w:t>Architecture review shall determine:</w:t>
      </w:r>
    </w:p>
    <w:p>
      <w:pPr>
        <w:pStyle w:val="ListBullet"/>
      </w:pPr>
      <w:r>
        <w:rPr>
          <w:rFonts w:ascii="Liberation Serif" w:hAnsi="Liberation Serif"/>
          <w:color w:val="232734"/>
          <w:sz w:val="20"/>
        </w:rPr>
        <w:t>where data flows;</w:t>
      </w:r>
    </w:p>
    <w:p>
      <w:pPr>
        <w:pStyle w:val="ListBullet"/>
      </w:pPr>
      <w:r>
        <w:rPr>
          <w:rFonts w:ascii="Liberation Serif" w:hAnsi="Liberation Serif"/>
          <w:color w:val="232734"/>
          <w:sz w:val="20"/>
        </w:rPr>
        <w:t>what systems are reached;</w:t>
      </w:r>
    </w:p>
    <w:p>
      <w:pPr>
        <w:pStyle w:val="ListBullet"/>
      </w:pPr>
      <w:r>
        <w:rPr>
          <w:rFonts w:ascii="Liberation Serif" w:hAnsi="Liberation Serif"/>
          <w:color w:val="232734"/>
          <w:sz w:val="20"/>
        </w:rPr>
        <w:t>how authentication occurs;</w:t>
      </w:r>
    </w:p>
    <w:p>
      <w:pPr>
        <w:pStyle w:val="ListBullet"/>
      </w:pPr>
      <w:r>
        <w:rPr>
          <w:rFonts w:ascii="Liberation Serif" w:hAnsi="Liberation Serif"/>
          <w:color w:val="232734"/>
          <w:sz w:val="20"/>
        </w:rPr>
        <w:t>what permissions are granted;</w:t>
      </w:r>
    </w:p>
    <w:p>
      <w:pPr>
        <w:pStyle w:val="ListBullet"/>
      </w:pPr>
      <w:r>
        <w:rPr>
          <w:rFonts w:ascii="Liberation Serif" w:hAnsi="Liberation Serif"/>
          <w:color w:val="232734"/>
          <w:sz w:val="20"/>
        </w:rPr>
        <w:t>where data is stored;</w:t>
      </w:r>
    </w:p>
    <w:p>
      <w:pPr>
        <w:pStyle w:val="ListBullet"/>
      </w:pPr>
      <w:r>
        <w:rPr>
          <w:rFonts w:ascii="Liberation Serif" w:hAnsi="Liberation Serif"/>
          <w:color w:val="232734"/>
          <w:sz w:val="20"/>
        </w:rPr>
        <w:t>whether data leaves a region;</w:t>
      </w:r>
    </w:p>
    <w:p>
      <w:pPr>
        <w:pStyle w:val="ListBullet"/>
      </w:pPr>
      <w:r>
        <w:rPr>
          <w:rFonts w:ascii="Liberation Serif" w:hAnsi="Liberation Serif"/>
          <w:color w:val="232734"/>
          <w:sz w:val="20"/>
        </w:rPr>
        <w:t>how tenant isolation is preserved;</w:t>
      </w:r>
    </w:p>
    <w:p>
      <w:pPr>
        <w:pStyle w:val="ListBullet"/>
      </w:pPr>
      <w:r>
        <w:rPr>
          <w:rFonts w:ascii="Liberation Serif" w:hAnsi="Liberation Serif"/>
          <w:color w:val="232734"/>
          <w:sz w:val="20"/>
        </w:rPr>
        <w:t>how the vendor is disabled;</w:t>
      </w:r>
    </w:p>
    <w:p>
      <w:pPr>
        <w:pStyle w:val="ListBullet"/>
      </w:pPr>
      <w:r>
        <w:rPr>
          <w:rFonts w:ascii="Liberation Serif" w:hAnsi="Liberation Serif"/>
          <w:color w:val="232734"/>
          <w:sz w:val="20"/>
        </w:rPr>
        <w:t>how data is returned;</w:t>
      </w:r>
    </w:p>
    <w:p>
      <w:pPr>
        <w:pStyle w:val="ListBullet"/>
      </w:pPr>
      <w:r>
        <w:rPr>
          <w:rFonts w:ascii="Liberation Serif" w:hAnsi="Liberation Serif"/>
          <w:color w:val="232734"/>
          <w:sz w:val="20"/>
        </w:rPr>
        <w:t>how credentials are rotated;</w:t>
      </w:r>
    </w:p>
    <w:p>
      <w:pPr>
        <w:pStyle w:val="ListBullet"/>
      </w:pPr>
      <w:r>
        <w:rPr>
          <w:rFonts w:ascii="Liberation Serif" w:hAnsi="Liberation Serif"/>
          <w:color w:val="232734"/>
          <w:sz w:val="20"/>
        </w:rPr>
        <w:t>how failure affects EquineSync.</w:t>
      </w:r>
    </w:p>
    <w:p>
      <w:pPr>
        <w:spacing w:after="120" w:line="252" w:lineRule="auto"/>
      </w:pPr>
      <w:r>
        <w:rPr>
          <w:rFonts w:ascii="Liberation Serif" w:hAnsi="Liberation Serif"/>
          <w:color w:val="232734"/>
          <w:sz w:val="20"/>
        </w:rPr>
        <w:t>No vendor shall be approved solely through legal or procurement review where technical integration creates material risk.</w:t>
      </w:r>
    </w:p>
    <w:p>
      <w:pPr>
        <w:pStyle w:val="Heading1"/>
        <w:keepNext/>
        <w:pBdr>
          <w:bottom w:val="single" w:sz="6" w:space="4" w:color="E3E6EB"/>
        </w:pBdr>
      </w:pPr>
      <w:r>
        <w:t>20. Privacy Review</w:t>
      </w:r>
    </w:p>
    <w:p>
      <w:pPr>
        <w:spacing w:after="120" w:line="252" w:lineRule="auto"/>
      </w:pPr>
      <w:r>
        <w:rPr>
          <w:rFonts w:ascii="Liberation Serif" w:hAnsi="Liberation Serif"/>
          <w:color w:val="232734"/>
          <w:sz w:val="20"/>
        </w:rPr>
        <w:t>Privacy review shall evaluate:</w:t>
      </w:r>
    </w:p>
    <w:p>
      <w:pPr>
        <w:pStyle w:val="ListBullet"/>
      </w:pPr>
      <w:r>
        <w:rPr>
          <w:rFonts w:ascii="Liberation Serif" w:hAnsi="Liberation Serif"/>
          <w:color w:val="232734"/>
          <w:sz w:val="20"/>
        </w:rPr>
        <w:t>data categories;</w:t>
      </w:r>
    </w:p>
    <w:p>
      <w:pPr>
        <w:pStyle w:val="ListBullet"/>
      </w:pPr>
      <w:r>
        <w:rPr>
          <w:rFonts w:ascii="Liberation Serif" w:hAnsi="Liberation Serif"/>
          <w:color w:val="232734"/>
          <w:sz w:val="20"/>
        </w:rPr>
        <w:t>purposes;</w:t>
      </w:r>
    </w:p>
    <w:p>
      <w:pPr>
        <w:pStyle w:val="ListBullet"/>
      </w:pPr>
      <w:r>
        <w:rPr>
          <w:rFonts w:ascii="Liberation Serif" w:hAnsi="Liberation Serif"/>
          <w:color w:val="232734"/>
          <w:sz w:val="20"/>
        </w:rPr>
        <w:t>lawful basis;</w:t>
      </w:r>
    </w:p>
    <w:p>
      <w:pPr>
        <w:pStyle w:val="ListBullet"/>
      </w:pPr>
      <w:r>
        <w:rPr>
          <w:rFonts w:ascii="Liberation Serif" w:hAnsi="Liberation Serif"/>
          <w:color w:val="232734"/>
          <w:sz w:val="20"/>
        </w:rPr>
        <w:t>retention;</w:t>
      </w:r>
    </w:p>
    <w:p>
      <w:pPr>
        <w:pStyle w:val="ListBullet"/>
      </w:pPr>
      <w:r>
        <w:rPr>
          <w:rFonts w:ascii="Liberation Serif" w:hAnsi="Liberation Serif"/>
          <w:color w:val="232734"/>
          <w:sz w:val="20"/>
        </w:rPr>
        <w:t>deletion;</w:t>
      </w:r>
    </w:p>
    <w:p>
      <w:pPr>
        <w:pStyle w:val="ListBullet"/>
      </w:pPr>
      <w:r>
        <w:rPr>
          <w:rFonts w:ascii="Liberation Serif" w:hAnsi="Liberation Serif"/>
          <w:color w:val="232734"/>
          <w:sz w:val="20"/>
        </w:rPr>
        <w:t>data-subject rights;</w:t>
      </w:r>
    </w:p>
    <w:p>
      <w:pPr>
        <w:pStyle w:val="ListBullet"/>
      </w:pPr>
      <w:r>
        <w:rPr>
          <w:rFonts w:ascii="Liberation Serif" w:hAnsi="Liberation Serif"/>
          <w:color w:val="232734"/>
          <w:sz w:val="20"/>
        </w:rPr>
        <w:t>minors;</w:t>
      </w:r>
    </w:p>
    <w:p>
      <w:pPr>
        <w:pStyle w:val="ListBullet"/>
      </w:pPr>
      <w:r>
        <w:rPr>
          <w:rFonts w:ascii="Liberation Serif" w:hAnsi="Liberation Serif"/>
          <w:color w:val="232734"/>
          <w:sz w:val="20"/>
        </w:rPr>
        <w:t>safeguarding;</w:t>
      </w:r>
    </w:p>
    <w:p>
      <w:pPr>
        <w:pStyle w:val="ListBullet"/>
      </w:pPr>
      <w:r>
        <w:rPr>
          <w:rFonts w:ascii="Liberation Serif" w:hAnsi="Liberation Serif"/>
          <w:color w:val="232734"/>
          <w:sz w:val="20"/>
        </w:rPr>
        <w:t>international transfers;</w:t>
      </w:r>
    </w:p>
    <w:p>
      <w:pPr>
        <w:pStyle w:val="ListBullet"/>
      </w:pPr>
      <w:r>
        <w:rPr>
          <w:rFonts w:ascii="Liberation Serif" w:hAnsi="Liberation Serif"/>
          <w:color w:val="232734"/>
          <w:sz w:val="20"/>
        </w:rPr>
        <w:t>subprocessors;</w:t>
      </w:r>
    </w:p>
    <w:p>
      <w:pPr>
        <w:pStyle w:val="ListBullet"/>
      </w:pPr>
      <w:r>
        <w:rPr>
          <w:rFonts w:ascii="Liberation Serif" w:hAnsi="Liberation Serif"/>
          <w:color w:val="232734"/>
          <w:sz w:val="20"/>
        </w:rPr>
        <w:t>government access;</w:t>
      </w:r>
    </w:p>
    <w:p>
      <w:pPr>
        <w:pStyle w:val="ListBullet"/>
      </w:pPr>
      <w:r>
        <w:rPr>
          <w:rFonts w:ascii="Liberation Serif" w:hAnsi="Liberation Serif"/>
          <w:color w:val="232734"/>
          <w:sz w:val="20"/>
        </w:rPr>
        <w:t>vendor reuse;</w:t>
      </w:r>
    </w:p>
    <w:p>
      <w:pPr>
        <w:pStyle w:val="ListBullet"/>
      </w:pPr>
      <w:r>
        <w:rPr>
          <w:rFonts w:ascii="Liberation Serif" w:hAnsi="Liberation Serif"/>
          <w:color w:val="232734"/>
          <w:sz w:val="20"/>
        </w:rPr>
        <w:t>deidentification;</w:t>
      </w:r>
    </w:p>
    <w:p>
      <w:pPr>
        <w:pStyle w:val="ListBullet"/>
      </w:pPr>
      <w:r>
        <w:rPr>
          <w:rFonts w:ascii="Liberation Serif" w:hAnsi="Liberation Serif"/>
          <w:color w:val="232734"/>
          <w:sz w:val="20"/>
        </w:rPr>
        <w:t>customer notice;</w:t>
      </w:r>
    </w:p>
    <w:p>
      <w:pPr>
        <w:pStyle w:val="ListBullet"/>
      </w:pPr>
      <w:r>
        <w:rPr>
          <w:rFonts w:ascii="Liberation Serif" w:hAnsi="Liberation Serif"/>
          <w:color w:val="232734"/>
          <w:sz w:val="20"/>
        </w:rPr>
        <w:t>contract requirements.</w:t>
      </w:r>
    </w:p>
    <w:p>
      <w:pPr>
        <w:spacing w:after="120" w:line="252" w:lineRule="auto"/>
      </w:pPr>
      <w:r>
        <w:rPr>
          <w:rFonts w:ascii="Liberation Serif" w:hAnsi="Liberation Serif"/>
          <w:color w:val="232734"/>
          <w:sz w:val="20"/>
        </w:rPr>
        <w:t>Vendor use of data for unrelated analytics, advertising, profiling, or product improvement requires separate constitutional authority and shall not be implied by ordinary service terms.</w:t>
      </w:r>
    </w:p>
    <w:p>
      <w:pPr>
        <w:pStyle w:val="Heading1"/>
        <w:keepNext/>
        <w:pBdr>
          <w:bottom w:val="single" w:sz="6" w:space="4" w:color="E3E6EB"/>
        </w:pBdr>
      </w:pPr>
      <w:r>
        <w:t>21. AI and Model Providers</w:t>
      </w:r>
    </w:p>
    <w:p>
      <w:pPr>
        <w:spacing w:after="120" w:line="252" w:lineRule="auto"/>
      </w:pPr>
      <w:r>
        <w:rPr>
          <w:rFonts w:ascii="Liberation Serif" w:hAnsi="Liberation Serif"/>
          <w:color w:val="232734"/>
          <w:sz w:val="20"/>
        </w:rPr>
        <w:t>AI providers require specialized review.</w:t>
      </w:r>
    </w:p>
    <w:p>
      <w:pPr>
        <w:spacing w:after="120" w:line="252" w:lineRule="auto"/>
      </w:pPr>
      <w:r>
        <w:rPr>
          <w:rFonts w:ascii="Liberation Serif" w:hAnsi="Liberation Serif"/>
          <w:color w:val="232734"/>
          <w:sz w:val="20"/>
        </w:rPr>
        <w:t>Review shall address:</w:t>
      </w:r>
    </w:p>
    <w:p>
      <w:pPr>
        <w:pStyle w:val="ListBullet"/>
      </w:pPr>
      <w:r>
        <w:rPr>
          <w:rFonts w:ascii="Liberation Serif" w:hAnsi="Liberation Serif"/>
          <w:color w:val="232734"/>
          <w:sz w:val="20"/>
        </w:rPr>
        <w:t>model-provider identity;</w:t>
      </w:r>
    </w:p>
    <w:p>
      <w:pPr>
        <w:pStyle w:val="ListBullet"/>
      </w:pPr>
      <w:r>
        <w:rPr>
          <w:rFonts w:ascii="Liberation Serif" w:hAnsi="Liberation Serif"/>
          <w:color w:val="232734"/>
          <w:sz w:val="20"/>
        </w:rPr>
        <w:t>model and service type;</w:t>
      </w:r>
    </w:p>
    <w:p>
      <w:pPr>
        <w:pStyle w:val="ListBullet"/>
      </w:pPr>
      <w:r>
        <w:rPr>
          <w:rFonts w:ascii="Liberation Serif" w:hAnsi="Liberation Serif"/>
          <w:color w:val="232734"/>
          <w:sz w:val="20"/>
        </w:rPr>
        <w:t>prompt and output retention;</w:t>
      </w:r>
    </w:p>
    <w:p>
      <w:pPr>
        <w:pStyle w:val="ListBullet"/>
      </w:pPr>
      <w:r>
        <w:rPr>
          <w:rFonts w:ascii="Liberation Serif" w:hAnsi="Liberation Serif"/>
          <w:color w:val="232734"/>
          <w:sz w:val="20"/>
        </w:rPr>
        <w:t>provider training;</w:t>
      </w:r>
    </w:p>
    <w:p>
      <w:pPr>
        <w:pStyle w:val="ListBullet"/>
      </w:pPr>
      <w:r>
        <w:rPr>
          <w:rFonts w:ascii="Liberation Serif" w:hAnsi="Liberation Serif"/>
          <w:color w:val="232734"/>
          <w:sz w:val="20"/>
        </w:rPr>
        <w:t>human review;</w:t>
      </w:r>
    </w:p>
    <w:p>
      <w:pPr>
        <w:pStyle w:val="ListBullet"/>
      </w:pPr>
      <w:r>
        <w:rPr>
          <w:rFonts w:ascii="Liberation Serif" w:hAnsi="Liberation Serif"/>
          <w:color w:val="232734"/>
          <w:sz w:val="20"/>
        </w:rPr>
        <w:t>tenant isolation;</w:t>
      </w:r>
    </w:p>
    <w:p>
      <w:pPr>
        <w:pStyle w:val="ListBullet"/>
      </w:pPr>
      <w:r>
        <w:rPr>
          <w:rFonts w:ascii="Liberation Serif" w:hAnsi="Liberation Serif"/>
          <w:color w:val="232734"/>
          <w:sz w:val="20"/>
        </w:rPr>
        <w:t>tool access;</w:t>
      </w:r>
    </w:p>
    <w:p>
      <w:pPr>
        <w:pStyle w:val="ListBullet"/>
      </w:pPr>
      <w:r>
        <w:rPr>
          <w:rFonts w:ascii="Liberation Serif" w:hAnsi="Liberation Serif"/>
          <w:color w:val="232734"/>
          <w:sz w:val="20"/>
        </w:rPr>
        <w:t>data location;</w:t>
      </w:r>
    </w:p>
    <w:p>
      <w:pPr>
        <w:pStyle w:val="ListBullet"/>
      </w:pPr>
      <w:r>
        <w:rPr>
          <w:rFonts w:ascii="Liberation Serif" w:hAnsi="Liberation Serif"/>
          <w:color w:val="232734"/>
          <w:sz w:val="20"/>
        </w:rPr>
        <w:t>subprocessors;</w:t>
      </w:r>
    </w:p>
    <w:p>
      <w:pPr>
        <w:pStyle w:val="ListBullet"/>
      </w:pPr>
      <w:r>
        <w:rPr>
          <w:rFonts w:ascii="Liberation Serif" w:hAnsi="Liberation Serif"/>
          <w:color w:val="232734"/>
          <w:sz w:val="20"/>
        </w:rPr>
        <w:t>model logging;</w:t>
      </w:r>
    </w:p>
    <w:p>
      <w:pPr>
        <w:pStyle w:val="ListBullet"/>
      </w:pPr>
      <w:r>
        <w:rPr>
          <w:rFonts w:ascii="Liberation Serif" w:hAnsi="Liberation Serif"/>
          <w:color w:val="232734"/>
          <w:sz w:val="20"/>
        </w:rPr>
        <w:t>deletion;</w:t>
      </w:r>
    </w:p>
    <w:p>
      <w:pPr>
        <w:pStyle w:val="ListBullet"/>
      </w:pPr>
      <w:r>
        <w:rPr>
          <w:rFonts w:ascii="Liberation Serif" w:hAnsi="Liberation Serif"/>
          <w:color w:val="232734"/>
          <w:sz w:val="20"/>
        </w:rPr>
        <w:t>contractual restrictions;</w:t>
      </w:r>
    </w:p>
    <w:p>
      <w:pPr>
        <w:pStyle w:val="ListBullet"/>
      </w:pPr>
      <w:r>
        <w:rPr>
          <w:rFonts w:ascii="Liberation Serif" w:hAnsi="Liberation Serif"/>
          <w:color w:val="232734"/>
          <w:sz w:val="20"/>
        </w:rPr>
        <w:t>model changes;</w:t>
      </w:r>
    </w:p>
    <w:p>
      <w:pPr>
        <w:pStyle w:val="ListBullet"/>
      </w:pPr>
      <w:r>
        <w:rPr>
          <w:rFonts w:ascii="Liberation Serif" w:hAnsi="Liberation Serif"/>
          <w:color w:val="232734"/>
          <w:sz w:val="20"/>
        </w:rPr>
        <w:t>provider exit;</w:t>
      </w:r>
    </w:p>
    <w:p>
      <w:pPr>
        <w:pStyle w:val="ListBullet"/>
      </w:pPr>
      <w:r>
        <w:rPr>
          <w:rFonts w:ascii="Liberation Serif" w:hAnsi="Liberation Serif"/>
          <w:color w:val="232734"/>
          <w:sz w:val="20"/>
        </w:rPr>
        <w:t>safety controls.</w:t>
      </w:r>
    </w:p>
    <w:p>
      <w:pPr>
        <w:spacing w:after="120" w:line="252" w:lineRule="auto"/>
      </w:pPr>
      <w:r>
        <w:rPr>
          <w:rFonts w:ascii="Liberation Serif" w:hAnsi="Liberation Serif"/>
          <w:color w:val="232734"/>
          <w:sz w:val="20"/>
        </w:rPr>
        <w:t>Customer operational data, including financial, health-related, and horse-care information, shall not be used to train shared or general models.</w:t>
      </w:r>
    </w:p>
    <w:p>
      <w:pPr>
        <w:spacing w:after="120" w:line="252" w:lineRule="auto"/>
      </w:pPr>
      <w:r>
        <w:rPr>
          <w:rFonts w:ascii="Liberation Serif" w:hAnsi="Liberation Serif"/>
          <w:color w:val="232734"/>
          <w:sz w:val="20"/>
        </w:rPr>
        <w:t>No provider shall receive broader data than the active user and workflow are authorized to access.</w:t>
      </w:r>
    </w:p>
    <w:p>
      <w:pPr>
        <w:pStyle w:val="Heading1"/>
        <w:keepNext/>
        <w:pBdr>
          <w:bottom w:val="single" w:sz="6" w:space="4" w:color="E3E6EB"/>
        </w:pBdr>
      </w:pPr>
      <w:r>
        <w:t>22. Payment and Financial Providers</w:t>
      </w:r>
    </w:p>
    <w:p>
      <w:pPr>
        <w:spacing w:after="120" w:line="252" w:lineRule="auto"/>
      </w:pPr>
      <w:r>
        <w:rPr>
          <w:rFonts w:ascii="Liberation Serif" w:hAnsi="Liberation Serif"/>
          <w:color w:val="232734"/>
          <w:sz w:val="20"/>
        </w:rPr>
        <w:t>Payment, banking, and financial vendors require specialized review.</w:t>
      </w:r>
    </w:p>
    <w:p>
      <w:pPr>
        <w:spacing w:after="120" w:line="252" w:lineRule="auto"/>
      </w:pPr>
      <w:r>
        <w:rPr>
          <w:rFonts w:ascii="Liberation Serif" w:hAnsi="Liberation Serif"/>
          <w:color w:val="232734"/>
          <w:sz w:val="20"/>
        </w:rPr>
        <w:t>Review shall address:</w:t>
      </w:r>
    </w:p>
    <w:p>
      <w:pPr>
        <w:pStyle w:val="ListBullet"/>
      </w:pPr>
      <w:r>
        <w:rPr>
          <w:rFonts w:ascii="Liberation Serif" w:hAnsi="Liberation Serif"/>
          <w:color w:val="232734"/>
          <w:sz w:val="20"/>
        </w:rPr>
        <w:t>tokenization;</w:t>
      </w:r>
    </w:p>
    <w:p>
      <w:pPr>
        <w:pStyle w:val="ListBullet"/>
      </w:pPr>
      <w:r>
        <w:rPr>
          <w:rFonts w:ascii="Liberation Serif" w:hAnsi="Liberation Serif"/>
          <w:color w:val="232734"/>
          <w:sz w:val="20"/>
        </w:rPr>
        <w:t>payment-data handling;</w:t>
      </w:r>
    </w:p>
    <w:p>
      <w:pPr>
        <w:pStyle w:val="ListBullet"/>
      </w:pPr>
      <w:r>
        <w:rPr>
          <w:rFonts w:ascii="Liberation Serif" w:hAnsi="Liberation Serif"/>
          <w:color w:val="232734"/>
          <w:sz w:val="20"/>
        </w:rPr>
        <w:t>prohibited storage;</w:t>
      </w:r>
    </w:p>
    <w:p>
      <w:pPr>
        <w:pStyle w:val="ListBullet"/>
      </w:pPr>
      <w:r>
        <w:rPr>
          <w:rFonts w:ascii="Liberation Serif" w:hAnsi="Liberation Serif"/>
          <w:color w:val="232734"/>
          <w:sz w:val="20"/>
        </w:rPr>
        <w:t>fraud controls;</w:t>
      </w:r>
    </w:p>
    <w:p>
      <w:pPr>
        <w:pStyle w:val="ListBullet"/>
      </w:pPr>
      <w:r>
        <w:rPr>
          <w:rFonts w:ascii="Liberation Serif" w:hAnsi="Liberation Serif"/>
          <w:color w:val="232734"/>
          <w:sz w:val="20"/>
        </w:rPr>
        <w:t>payout-change controls;</w:t>
      </w:r>
    </w:p>
    <w:p>
      <w:pPr>
        <w:pStyle w:val="ListBullet"/>
      </w:pPr>
      <w:r>
        <w:rPr>
          <w:rFonts w:ascii="Liberation Serif" w:hAnsi="Liberation Serif"/>
          <w:color w:val="232734"/>
          <w:sz w:val="20"/>
        </w:rPr>
        <w:t>financial reconciliation;</w:t>
      </w:r>
    </w:p>
    <w:p>
      <w:pPr>
        <w:pStyle w:val="ListBullet"/>
      </w:pPr>
      <w:r>
        <w:rPr>
          <w:rFonts w:ascii="Liberation Serif" w:hAnsi="Liberation Serif"/>
          <w:color w:val="232734"/>
          <w:sz w:val="20"/>
        </w:rPr>
        <w:t>dispute handling;</w:t>
      </w:r>
    </w:p>
    <w:p>
      <w:pPr>
        <w:pStyle w:val="ListBullet"/>
      </w:pPr>
      <w:r>
        <w:rPr>
          <w:rFonts w:ascii="Liberation Serif" w:hAnsi="Liberation Serif"/>
          <w:color w:val="232734"/>
          <w:sz w:val="20"/>
        </w:rPr>
        <w:t>incident notification;</w:t>
      </w:r>
    </w:p>
    <w:p>
      <w:pPr>
        <w:pStyle w:val="ListBullet"/>
      </w:pPr>
      <w:r>
        <w:rPr>
          <w:rFonts w:ascii="Liberation Serif" w:hAnsi="Liberation Serif"/>
          <w:color w:val="232734"/>
          <w:sz w:val="20"/>
        </w:rPr>
        <w:t>availability;</w:t>
      </w:r>
    </w:p>
    <w:p>
      <w:pPr>
        <w:pStyle w:val="ListBullet"/>
      </w:pPr>
      <w:r>
        <w:rPr>
          <w:rFonts w:ascii="Liberation Serif" w:hAnsi="Liberation Serif"/>
          <w:color w:val="232734"/>
          <w:sz w:val="20"/>
        </w:rPr>
        <w:t>reserve or account-freeze risk;</w:t>
      </w:r>
    </w:p>
    <w:p>
      <w:pPr>
        <w:pStyle w:val="ListBullet"/>
      </w:pPr>
      <w:r>
        <w:rPr>
          <w:rFonts w:ascii="Liberation Serif" w:hAnsi="Liberation Serif"/>
          <w:color w:val="232734"/>
          <w:sz w:val="20"/>
        </w:rPr>
        <w:t>geographic processing;</w:t>
      </w:r>
    </w:p>
    <w:p>
      <w:pPr>
        <w:pStyle w:val="ListBullet"/>
      </w:pPr>
      <w:r>
        <w:rPr>
          <w:rFonts w:ascii="Liberation Serif" w:hAnsi="Liberation Serif"/>
          <w:color w:val="232734"/>
          <w:sz w:val="20"/>
        </w:rPr>
        <w:t>contract termination;</w:t>
      </w:r>
    </w:p>
    <w:p>
      <w:pPr>
        <w:pStyle w:val="ListBullet"/>
      </w:pPr>
      <w:r>
        <w:rPr>
          <w:rFonts w:ascii="Liberation Serif" w:hAnsi="Liberation Serif"/>
          <w:color w:val="232734"/>
          <w:sz w:val="20"/>
        </w:rPr>
        <w:t>data portability.</w:t>
      </w:r>
    </w:p>
    <w:p>
      <w:pPr>
        <w:spacing w:after="120" w:line="252" w:lineRule="auto"/>
      </w:pPr>
      <w:r>
        <w:rPr>
          <w:rFonts w:ascii="Liberation Serif" w:hAnsi="Liberation Serif"/>
          <w:color w:val="232734"/>
          <w:sz w:val="20"/>
        </w:rPr>
        <w:t>Provider-hosted collection should be used for sensitive payment credentials where reasonably possible.</w:t>
      </w:r>
    </w:p>
    <w:p>
      <w:pPr>
        <w:pStyle w:val="Heading1"/>
        <w:keepNext/>
        <w:pBdr>
          <w:bottom w:val="single" w:sz="6" w:space="4" w:color="E3E6EB"/>
        </w:pBdr>
      </w:pPr>
      <w:r>
        <w:t>23. Identity Providers</w:t>
      </w:r>
    </w:p>
    <w:p>
      <w:pPr>
        <w:spacing w:after="120" w:line="252" w:lineRule="auto"/>
      </w:pPr>
      <w:r>
        <w:rPr>
          <w:rFonts w:ascii="Liberation Serif" w:hAnsi="Liberation Serif"/>
          <w:color w:val="232734"/>
          <w:sz w:val="20"/>
        </w:rPr>
        <w:t>Identity providers require Critical-tier review.</w:t>
      </w:r>
    </w:p>
    <w:p>
      <w:pPr>
        <w:spacing w:after="120" w:line="252" w:lineRule="auto"/>
      </w:pPr>
      <w:r>
        <w:rPr>
          <w:rFonts w:ascii="Liberation Serif" w:hAnsi="Liberation Serif"/>
          <w:color w:val="232734"/>
          <w:sz w:val="20"/>
        </w:rPr>
        <w:t>Review shall address:</w:t>
      </w:r>
    </w:p>
    <w:p>
      <w:pPr>
        <w:pStyle w:val="ListBullet"/>
      </w:pPr>
      <w:r>
        <w:rPr>
          <w:rFonts w:ascii="Liberation Serif" w:hAnsi="Liberation Serif"/>
          <w:color w:val="232734"/>
          <w:sz w:val="20"/>
        </w:rPr>
        <w:t>authentication assurance;</w:t>
      </w:r>
    </w:p>
    <w:p>
      <w:pPr>
        <w:pStyle w:val="ListBullet"/>
      </w:pPr>
      <w:r>
        <w:rPr>
          <w:rFonts w:ascii="Liberation Serif" w:hAnsi="Liberation Serif"/>
          <w:color w:val="232734"/>
          <w:sz w:val="20"/>
        </w:rPr>
        <w:t>multifactor authentication;</w:t>
      </w:r>
    </w:p>
    <w:p>
      <w:pPr>
        <w:pStyle w:val="ListBullet"/>
      </w:pPr>
      <w:r>
        <w:rPr>
          <w:rFonts w:ascii="Liberation Serif" w:hAnsi="Liberation Serif"/>
          <w:color w:val="232734"/>
          <w:sz w:val="20"/>
        </w:rPr>
        <w:t>account recovery;</w:t>
      </w:r>
    </w:p>
    <w:p>
      <w:pPr>
        <w:pStyle w:val="ListBullet"/>
      </w:pPr>
      <w:r>
        <w:rPr>
          <w:rFonts w:ascii="Liberation Serif" w:hAnsi="Liberation Serif"/>
          <w:color w:val="232734"/>
          <w:sz w:val="20"/>
        </w:rPr>
        <w:t>session management;</w:t>
      </w:r>
    </w:p>
    <w:p>
      <w:pPr>
        <w:pStyle w:val="ListBullet"/>
      </w:pPr>
      <w:r>
        <w:rPr>
          <w:rFonts w:ascii="Liberation Serif" w:hAnsi="Liberation Serif"/>
          <w:color w:val="232734"/>
          <w:sz w:val="20"/>
        </w:rPr>
        <w:t>tenant isolation;</w:t>
      </w:r>
    </w:p>
    <w:p>
      <w:pPr>
        <w:pStyle w:val="ListBullet"/>
      </w:pPr>
      <w:r>
        <w:rPr>
          <w:rFonts w:ascii="Liberation Serif" w:hAnsi="Liberation Serif"/>
          <w:color w:val="232734"/>
          <w:sz w:val="20"/>
        </w:rPr>
        <w:t>administrator access;</w:t>
      </w:r>
    </w:p>
    <w:p>
      <w:pPr>
        <w:pStyle w:val="ListBullet"/>
      </w:pPr>
      <w:r>
        <w:rPr>
          <w:rFonts w:ascii="Liberation Serif" w:hAnsi="Liberation Serif"/>
          <w:color w:val="232734"/>
          <w:sz w:val="20"/>
        </w:rPr>
        <w:t>logging;</w:t>
      </w:r>
    </w:p>
    <w:p>
      <w:pPr>
        <w:pStyle w:val="ListBullet"/>
      </w:pPr>
      <w:r>
        <w:rPr>
          <w:rFonts w:ascii="Liberation Serif" w:hAnsi="Liberation Serif"/>
          <w:color w:val="232734"/>
          <w:sz w:val="20"/>
        </w:rPr>
        <w:t>availability;</w:t>
      </w:r>
    </w:p>
    <w:p>
      <w:pPr>
        <w:pStyle w:val="ListBullet"/>
      </w:pPr>
      <w:r>
        <w:rPr>
          <w:rFonts w:ascii="Liberation Serif" w:hAnsi="Liberation Serif"/>
          <w:color w:val="232734"/>
          <w:sz w:val="20"/>
        </w:rPr>
        <w:t>regional failure;</w:t>
      </w:r>
    </w:p>
    <w:p>
      <w:pPr>
        <w:pStyle w:val="ListBullet"/>
      </w:pPr>
      <w:r>
        <w:rPr>
          <w:rFonts w:ascii="Liberation Serif" w:hAnsi="Liberation Serif"/>
          <w:color w:val="232734"/>
          <w:sz w:val="20"/>
        </w:rPr>
        <w:t>export;</w:t>
      </w:r>
    </w:p>
    <w:p>
      <w:pPr>
        <w:pStyle w:val="ListBullet"/>
      </w:pPr>
      <w:r>
        <w:rPr>
          <w:rFonts w:ascii="Liberation Serif" w:hAnsi="Liberation Serif"/>
          <w:color w:val="232734"/>
          <w:sz w:val="20"/>
        </w:rPr>
        <w:t>migration;</w:t>
      </w:r>
    </w:p>
    <w:p>
      <w:pPr>
        <w:pStyle w:val="ListBullet"/>
      </w:pPr>
      <w:r>
        <w:rPr>
          <w:rFonts w:ascii="Liberation Serif" w:hAnsi="Liberation Serif"/>
          <w:color w:val="232734"/>
          <w:sz w:val="20"/>
        </w:rPr>
        <w:t>incident notification;</w:t>
      </w:r>
    </w:p>
    <w:p>
      <w:pPr>
        <w:pStyle w:val="ListBullet"/>
      </w:pPr>
      <w:r>
        <w:rPr>
          <w:rFonts w:ascii="Liberation Serif" w:hAnsi="Liberation Serif"/>
          <w:color w:val="232734"/>
          <w:sz w:val="20"/>
        </w:rPr>
        <w:t>lockout and suspension risk.</w:t>
      </w:r>
    </w:p>
    <w:p>
      <w:pPr>
        <w:spacing w:after="120" w:line="252" w:lineRule="auto"/>
      </w:pPr>
      <w:r>
        <w:rPr>
          <w:rFonts w:ascii="Liberation Serif" w:hAnsi="Liberation Serif"/>
          <w:color w:val="232734"/>
          <w:sz w:val="20"/>
        </w:rPr>
        <w:t>EquineSync shall maintain contingency planning for identity-provider failure or termination.</w:t>
      </w:r>
    </w:p>
    <w:p>
      <w:pPr>
        <w:pStyle w:val="Heading1"/>
        <w:keepNext/>
        <w:pBdr>
          <w:bottom w:val="single" w:sz="6" w:space="4" w:color="E3E6EB"/>
        </w:pBdr>
      </w:pPr>
      <w:r>
        <w:t>24. Communication Providers</w:t>
      </w:r>
    </w:p>
    <w:p>
      <w:pPr>
        <w:spacing w:after="120" w:line="252" w:lineRule="auto"/>
      </w:pPr>
      <w:r>
        <w:rPr>
          <w:rFonts w:ascii="Liberation Serif" w:hAnsi="Liberation Serif"/>
          <w:color w:val="232734"/>
          <w:sz w:val="20"/>
        </w:rPr>
        <w:t>Email, SMS, push, messaging, and notification providers shall be reviewed for:</w:t>
      </w:r>
    </w:p>
    <w:p>
      <w:pPr>
        <w:pStyle w:val="ListBullet"/>
      </w:pPr>
      <w:r>
        <w:rPr>
          <w:rFonts w:ascii="Liberation Serif" w:hAnsi="Liberation Serif"/>
          <w:color w:val="232734"/>
          <w:sz w:val="20"/>
        </w:rPr>
        <w:t>message confidentiality;</w:t>
      </w:r>
    </w:p>
    <w:p>
      <w:pPr>
        <w:pStyle w:val="ListBullet"/>
      </w:pPr>
      <w:r>
        <w:rPr>
          <w:rFonts w:ascii="Liberation Serif" w:hAnsi="Liberation Serif"/>
          <w:color w:val="232734"/>
          <w:sz w:val="20"/>
        </w:rPr>
        <w:t>recipient validation;</w:t>
      </w:r>
    </w:p>
    <w:p>
      <w:pPr>
        <w:pStyle w:val="ListBullet"/>
      </w:pPr>
      <w:r>
        <w:rPr>
          <w:rFonts w:ascii="Liberation Serif" w:hAnsi="Liberation Serif"/>
          <w:color w:val="232734"/>
          <w:sz w:val="20"/>
        </w:rPr>
        <w:t>minors and guardian rules;</w:t>
      </w:r>
    </w:p>
    <w:p>
      <w:pPr>
        <w:pStyle w:val="ListBullet"/>
      </w:pPr>
      <w:r>
        <w:rPr>
          <w:rFonts w:ascii="Liberation Serif" w:hAnsi="Liberation Serif"/>
          <w:color w:val="232734"/>
          <w:sz w:val="20"/>
        </w:rPr>
        <w:t>delivery evidence;</w:t>
      </w:r>
    </w:p>
    <w:p>
      <w:pPr>
        <w:pStyle w:val="ListBullet"/>
      </w:pPr>
      <w:r>
        <w:rPr>
          <w:rFonts w:ascii="Liberation Serif" w:hAnsi="Liberation Serif"/>
          <w:color w:val="232734"/>
          <w:sz w:val="20"/>
        </w:rPr>
        <w:t>retention;</w:t>
      </w:r>
    </w:p>
    <w:p>
      <w:pPr>
        <w:pStyle w:val="ListBullet"/>
      </w:pPr>
      <w:r>
        <w:rPr>
          <w:rFonts w:ascii="Liberation Serif" w:hAnsi="Liberation Serif"/>
          <w:color w:val="232734"/>
          <w:sz w:val="20"/>
        </w:rPr>
        <w:t>message content exposure;</w:t>
      </w:r>
    </w:p>
    <w:p>
      <w:pPr>
        <w:pStyle w:val="ListBullet"/>
      </w:pPr>
      <w:r>
        <w:rPr>
          <w:rFonts w:ascii="Liberation Serif" w:hAnsi="Liberation Serif"/>
          <w:color w:val="232734"/>
          <w:sz w:val="20"/>
        </w:rPr>
        <w:t>account takeover;</w:t>
      </w:r>
    </w:p>
    <w:p>
      <w:pPr>
        <w:pStyle w:val="ListBullet"/>
      </w:pPr>
      <w:r>
        <w:rPr>
          <w:rFonts w:ascii="Liberation Serif" w:hAnsi="Liberation Serif"/>
          <w:color w:val="232734"/>
          <w:sz w:val="20"/>
        </w:rPr>
        <w:t>sender authentication;</w:t>
      </w:r>
    </w:p>
    <w:p>
      <w:pPr>
        <w:pStyle w:val="ListBullet"/>
      </w:pPr>
      <w:r>
        <w:rPr>
          <w:rFonts w:ascii="Liberation Serif" w:hAnsi="Liberation Serif"/>
          <w:color w:val="232734"/>
          <w:sz w:val="20"/>
        </w:rPr>
        <w:t>emergency availability;</w:t>
      </w:r>
    </w:p>
    <w:p>
      <w:pPr>
        <w:pStyle w:val="ListBullet"/>
      </w:pPr>
      <w:r>
        <w:rPr>
          <w:rFonts w:ascii="Liberation Serif" w:hAnsi="Liberation Serif"/>
          <w:color w:val="232734"/>
          <w:sz w:val="20"/>
        </w:rPr>
        <w:t>vendor reuse of content.</w:t>
      </w:r>
    </w:p>
    <w:p>
      <w:pPr>
        <w:spacing w:after="120" w:line="252" w:lineRule="auto"/>
      </w:pPr>
      <w:r>
        <w:rPr>
          <w:rFonts w:ascii="Liberation Serif" w:hAnsi="Liberation Serif"/>
          <w:color w:val="232734"/>
          <w:sz w:val="20"/>
        </w:rPr>
        <w:t>Communication providers shall not receive more message content than necessary.</w:t>
      </w:r>
    </w:p>
    <w:p>
      <w:pPr>
        <w:pStyle w:val="Heading1"/>
        <w:keepNext/>
        <w:pBdr>
          <w:bottom w:val="single" w:sz="6" w:space="4" w:color="E3E6EB"/>
        </w:pBdr>
      </w:pPr>
      <w:r>
        <w:t>25. Backup and Recovery Providers</w:t>
      </w:r>
    </w:p>
    <w:p>
      <w:pPr>
        <w:spacing w:after="120" w:line="252" w:lineRule="auto"/>
      </w:pPr>
      <w:r>
        <w:rPr>
          <w:rFonts w:ascii="Liberation Serif" w:hAnsi="Liberation Serif"/>
          <w:color w:val="232734"/>
          <w:sz w:val="20"/>
        </w:rPr>
        <w:t>Backup and recovery providers shall be reviewed for:</w:t>
      </w:r>
    </w:p>
    <w:p>
      <w:pPr>
        <w:pStyle w:val="ListBullet"/>
      </w:pPr>
      <w:r>
        <w:rPr>
          <w:rFonts w:ascii="Liberation Serif" w:hAnsi="Liberation Serif"/>
          <w:color w:val="232734"/>
          <w:sz w:val="20"/>
        </w:rPr>
        <w:t>encryption;</w:t>
      </w:r>
    </w:p>
    <w:p>
      <w:pPr>
        <w:pStyle w:val="ListBullet"/>
      </w:pPr>
      <w:r>
        <w:rPr>
          <w:rFonts w:ascii="Liberation Serif" w:hAnsi="Liberation Serif"/>
          <w:color w:val="232734"/>
          <w:sz w:val="20"/>
        </w:rPr>
        <w:t>key separation;</w:t>
      </w:r>
    </w:p>
    <w:p>
      <w:pPr>
        <w:pStyle w:val="ListBullet"/>
      </w:pPr>
      <w:r>
        <w:rPr>
          <w:rFonts w:ascii="Liberation Serif" w:hAnsi="Liberation Serif"/>
          <w:color w:val="232734"/>
          <w:sz w:val="20"/>
        </w:rPr>
        <w:t>immutability;</w:t>
      </w:r>
    </w:p>
    <w:p>
      <w:pPr>
        <w:pStyle w:val="ListBullet"/>
      </w:pPr>
      <w:r>
        <w:rPr>
          <w:rFonts w:ascii="Liberation Serif" w:hAnsi="Liberation Serif"/>
          <w:color w:val="232734"/>
          <w:sz w:val="20"/>
        </w:rPr>
        <w:t>access controls;</w:t>
      </w:r>
    </w:p>
    <w:p>
      <w:pPr>
        <w:pStyle w:val="ListBullet"/>
      </w:pPr>
      <w:r>
        <w:rPr>
          <w:rFonts w:ascii="Liberation Serif" w:hAnsi="Liberation Serif"/>
          <w:color w:val="232734"/>
          <w:sz w:val="20"/>
        </w:rPr>
        <w:t>recovery testing;</w:t>
      </w:r>
    </w:p>
    <w:p>
      <w:pPr>
        <w:pStyle w:val="ListBullet"/>
      </w:pPr>
      <w:r>
        <w:rPr>
          <w:rFonts w:ascii="Liberation Serif" w:hAnsi="Liberation Serif"/>
          <w:color w:val="232734"/>
          <w:sz w:val="20"/>
        </w:rPr>
        <w:t>regional location;</w:t>
      </w:r>
    </w:p>
    <w:p>
      <w:pPr>
        <w:pStyle w:val="ListBullet"/>
      </w:pPr>
      <w:r>
        <w:rPr>
          <w:rFonts w:ascii="Liberation Serif" w:hAnsi="Liberation Serif"/>
          <w:color w:val="232734"/>
          <w:sz w:val="20"/>
        </w:rPr>
        <w:t>deletion;</w:t>
      </w:r>
    </w:p>
    <w:p>
      <w:pPr>
        <w:pStyle w:val="ListBullet"/>
      </w:pPr>
      <w:r>
        <w:rPr>
          <w:rFonts w:ascii="Liberation Serif" w:hAnsi="Liberation Serif"/>
          <w:color w:val="232734"/>
          <w:sz w:val="20"/>
        </w:rPr>
        <w:t>incident notification;</w:t>
      </w:r>
    </w:p>
    <w:p>
      <w:pPr>
        <w:pStyle w:val="ListBullet"/>
      </w:pPr>
      <w:r>
        <w:rPr>
          <w:rFonts w:ascii="Liberation Serif" w:hAnsi="Liberation Serif"/>
          <w:color w:val="232734"/>
          <w:sz w:val="20"/>
        </w:rPr>
        <w:t>ransomware resilience;</w:t>
      </w:r>
    </w:p>
    <w:p>
      <w:pPr>
        <w:pStyle w:val="ListBullet"/>
      </w:pPr>
      <w:r>
        <w:rPr>
          <w:rFonts w:ascii="Liberation Serif" w:hAnsi="Liberation Serif"/>
          <w:color w:val="232734"/>
          <w:sz w:val="20"/>
        </w:rPr>
        <w:t>exit capability;</w:t>
      </w:r>
    </w:p>
    <w:p>
      <w:pPr>
        <w:pStyle w:val="ListBullet"/>
      </w:pPr>
      <w:r>
        <w:rPr>
          <w:rFonts w:ascii="Liberation Serif" w:hAnsi="Liberation Serif"/>
          <w:color w:val="232734"/>
          <w:sz w:val="20"/>
        </w:rPr>
        <w:t>data-return format.</w:t>
      </w:r>
    </w:p>
    <w:p>
      <w:pPr>
        <w:spacing w:after="120" w:line="252" w:lineRule="auto"/>
      </w:pPr>
      <w:r>
        <w:rPr>
          <w:rFonts w:ascii="Liberation Serif" w:hAnsi="Liberation Serif"/>
          <w:color w:val="232734"/>
          <w:sz w:val="20"/>
        </w:rPr>
        <w:t>A provider’s backup claim shall not substitute for EquineSync restoration testing.</w:t>
      </w:r>
    </w:p>
    <w:p>
      <w:pPr>
        <w:pStyle w:val="Heading1"/>
        <w:keepNext/>
        <w:pBdr>
          <w:bottom w:val="single" w:sz="6" w:space="4" w:color="E3E6EB"/>
        </w:pBdr>
      </w:pPr>
      <w:r>
        <w:t>26. Security-Testing Providers</w:t>
      </w:r>
    </w:p>
    <w:p>
      <w:pPr>
        <w:spacing w:after="120" w:line="252" w:lineRule="auto"/>
      </w:pPr>
      <w:r>
        <w:rPr>
          <w:rFonts w:ascii="Liberation Serif" w:hAnsi="Liberation Serif"/>
          <w:color w:val="232734"/>
          <w:sz w:val="20"/>
        </w:rPr>
        <w:t>Penetration testers, forensic firms, and security consultants may receive extraordinary access.</w:t>
      </w:r>
    </w:p>
    <w:p>
      <w:pPr>
        <w:spacing w:after="120" w:line="252" w:lineRule="auto"/>
      </w:pPr>
      <w:r>
        <w:rPr>
          <w:rFonts w:ascii="Liberation Serif" w:hAnsi="Liberation Serif"/>
          <w:color w:val="232734"/>
          <w:sz w:val="20"/>
        </w:rPr>
        <w:t>Their engagement must define:</w:t>
      </w:r>
    </w:p>
    <w:p>
      <w:pPr>
        <w:pStyle w:val="ListBullet"/>
      </w:pPr>
      <w:r>
        <w:rPr>
          <w:rFonts w:ascii="Liberation Serif" w:hAnsi="Liberation Serif"/>
          <w:color w:val="232734"/>
          <w:sz w:val="20"/>
        </w:rPr>
        <w:t>scope;</w:t>
      </w:r>
    </w:p>
    <w:p>
      <w:pPr>
        <w:pStyle w:val="ListBullet"/>
      </w:pPr>
      <w:r>
        <w:rPr>
          <w:rFonts w:ascii="Liberation Serif" w:hAnsi="Liberation Serif"/>
          <w:color w:val="232734"/>
          <w:sz w:val="20"/>
        </w:rPr>
        <w:t>environment;</w:t>
      </w:r>
    </w:p>
    <w:p>
      <w:pPr>
        <w:pStyle w:val="ListBullet"/>
      </w:pPr>
      <w:r>
        <w:rPr>
          <w:rFonts w:ascii="Liberation Serif" w:hAnsi="Liberation Serif"/>
          <w:color w:val="232734"/>
          <w:sz w:val="20"/>
        </w:rPr>
        <w:t>methods;</w:t>
      </w:r>
    </w:p>
    <w:p>
      <w:pPr>
        <w:pStyle w:val="ListBullet"/>
      </w:pPr>
      <w:r>
        <w:rPr>
          <w:rFonts w:ascii="Liberation Serif" w:hAnsi="Liberation Serif"/>
          <w:color w:val="232734"/>
          <w:sz w:val="20"/>
        </w:rPr>
        <w:t>prohibited actions;</w:t>
      </w:r>
    </w:p>
    <w:p>
      <w:pPr>
        <w:pStyle w:val="ListBullet"/>
      </w:pPr>
      <w:r>
        <w:rPr>
          <w:rFonts w:ascii="Liberation Serif" w:hAnsi="Liberation Serif"/>
          <w:color w:val="232734"/>
          <w:sz w:val="20"/>
        </w:rPr>
        <w:t>customer-data handling;</w:t>
      </w:r>
    </w:p>
    <w:p>
      <w:pPr>
        <w:pStyle w:val="ListBullet"/>
      </w:pPr>
      <w:r>
        <w:rPr>
          <w:rFonts w:ascii="Liberation Serif" w:hAnsi="Liberation Serif"/>
          <w:color w:val="232734"/>
          <w:sz w:val="20"/>
        </w:rPr>
        <w:t>evidence custody;</w:t>
      </w:r>
    </w:p>
    <w:p>
      <w:pPr>
        <w:pStyle w:val="ListBullet"/>
      </w:pPr>
      <w:r>
        <w:rPr>
          <w:rFonts w:ascii="Liberation Serif" w:hAnsi="Liberation Serif"/>
          <w:color w:val="232734"/>
          <w:sz w:val="20"/>
        </w:rPr>
        <w:t>retention;</w:t>
      </w:r>
    </w:p>
    <w:p>
      <w:pPr>
        <w:pStyle w:val="ListBullet"/>
      </w:pPr>
      <w:r>
        <w:rPr>
          <w:rFonts w:ascii="Liberation Serif" w:hAnsi="Liberation Serif"/>
          <w:color w:val="232734"/>
          <w:sz w:val="20"/>
        </w:rPr>
        <w:t>confidentiality;</w:t>
      </w:r>
    </w:p>
    <w:p>
      <w:pPr>
        <w:pStyle w:val="ListBullet"/>
      </w:pPr>
      <w:r>
        <w:rPr>
          <w:rFonts w:ascii="Liberation Serif" w:hAnsi="Liberation Serif"/>
          <w:color w:val="232734"/>
          <w:sz w:val="20"/>
        </w:rPr>
        <w:t>incident reporting;</w:t>
      </w:r>
    </w:p>
    <w:p>
      <w:pPr>
        <w:pStyle w:val="ListBullet"/>
      </w:pPr>
      <w:r>
        <w:rPr>
          <w:rFonts w:ascii="Liberation Serif" w:hAnsi="Liberation Serif"/>
          <w:color w:val="232734"/>
          <w:sz w:val="20"/>
        </w:rPr>
        <w:t>deletion;</w:t>
      </w:r>
    </w:p>
    <w:p>
      <w:pPr>
        <w:pStyle w:val="ListBullet"/>
      </w:pPr>
      <w:r>
        <w:rPr>
          <w:rFonts w:ascii="Liberation Serif" w:hAnsi="Liberation Serif"/>
          <w:color w:val="232734"/>
          <w:sz w:val="20"/>
        </w:rPr>
        <w:t>personnel access;</w:t>
      </w:r>
    </w:p>
    <w:p>
      <w:pPr>
        <w:pStyle w:val="ListBullet"/>
      </w:pPr>
      <w:r>
        <w:rPr>
          <w:rFonts w:ascii="Liberation Serif" w:hAnsi="Liberation Serif"/>
          <w:color w:val="232734"/>
          <w:sz w:val="20"/>
        </w:rPr>
        <w:t>subcontractors.</w:t>
      </w:r>
    </w:p>
    <w:p>
      <w:pPr>
        <w:spacing w:after="120" w:line="252" w:lineRule="auto"/>
      </w:pPr>
      <w:r>
        <w:rPr>
          <w:rFonts w:ascii="Liberation Serif" w:hAnsi="Liberation Serif"/>
          <w:color w:val="232734"/>
          <w:sz w:val="20"/>
        </w:rPr>
        <w:t>Testing authority must be written and time limited.</w:t>
      </w:r>
    </w:p>
    <w:p>
      <w:pPr>
        <w:pStyle w:val="Heading1"/>
        <w:keepNext/>
        <w:pBdr>
          <w:bottom w:val="single" w:sz="6" w:space="4" w:color="E3E6EB"/>
        </w:pBdr>
      </w:pPr>
      <w:r>
        <w:t>27. Professional Service Providers</w:t>
      </w:r>
    </w:p>
    <w:p>
      <w:pPr>
        <w:spacing w:after="120" w:line="252" w:lineRule="auto"/>
      </w:pPr>
      <w:r>
        <w:rPr>
          <w:rFonts w:ascii="Liberation Serif" w:hAnsi="Liberation Serif"/>
          <w:color w:val="232734"/>
          <w:sz w:val="20"/>
        </w:rPr>
        <w:t>Legal, accounting, insurance, and consulting providers receiving protected information shall be governed according to actual access.</w:t>
      </w:r>
    </w:p>
    <w:p>
      <w:pPr>
        <w:spacing w:after="120" w:line="252" w:lineRule="auto"/>
      </w:pPr>
      <w:r>
        <w:rPr>
          <w:rFonts w:ascii="Liberation Serif" w:hAnsi="Liberation Serif"/>
          <w:color w:val="232734"/>
          <w:sz w:val="20"/>
        </w:rPr>
        <w:t>Professional status does not eliminate the need for:</w:t>
      </w:r>
    </w:p>
    <w:p>
      <w:pPr>
        <w:pStyle w:val="ListBullet"/>
      </w:pPr>
      <w:r>
        <w:rPr>
          <w:rFonts w:ascii="Liberation Serif" w:hAnsi="Liberation Serif"/>
          <w:color w:val="232734"/>
          <w:sz w:val="20"/>
        </w:rPr>
        <w:t>confidentiality;</w:t>
      </w:r>
    </w:p>
    <w:p>
      <w:pPr>
        <w:pStyle w:val="ListBullet"/>
      </w:pPr>
      <w:r>
        <w:rPr>
          <w:rFonts w:ascii="Liberation Serif" w:hAnsi="Liberation Serif"/>
          <w:color w:val="232734"/>
          <w:sz w:val="20"/>
        </w:rPr>
        <w:t>minimum-necessary disclosure;</w:t>
      </w:r>
    </w:p>
    <w:p>
      <w:pPr>
        <w:pStyle w:val="ListBullet"/>
      </w:pPr>
      <w:r>
        <w:rPr>
          <w:rFonts w:ascii="Liberation Serif" w:hAnsi="Liberation Serif"/>
          <w:color w:val="232734"/>
          <w:sz w:val="20"/>
        </w:rPr>
        <w:t>secure transfer;</w:t>
      </w:r>
    </w:p>
    <w:p>
      <w:pPr>
        <w:pStyle w:val="ListBullet"/>
      </w:pPr>
      <w:r>
        <w:rPr>
          <w:rFonts w:ascii="Liberation Serif" w:hAnsi="Liberation Serif"/>
          <w:color w:val="232734"/>
          <w:sz w:val="20"/>
        </w:rPr>
        <w:t>retention limits;</w:t>
      </w:r>
    </w:p>
    <w:p>
      <w:pPr>
        <w:pStyle w:val="ListBullet"/>
      </w:pPr>
      <w:r>
        <w:rPr>
          <w:rFonts w:ascii="Liberation Serif" w:hAnsi="Liberation Serif"/>
          <w:color w:val="232734"/>
          <w:sz w:val="20"/>
        </w:rPr>
        <w:t>access control;</w:t>
      </w:r>
    </w:p>
    <w:p>
      <w:pPr>
        <w:pStyle w:val="ListBullet"/>
      </w:pPr>
      <w:r>
        <w:rPr>
          <w:rFonts w:ascii="Liberation Serif" w:hAnsi="Liberation Serif"/>
          <w:color w:val="232734"/>
          <w:sz w:val="20"/>
        </w:rPr>
        <w:t>incident notice;</w:t>
      </w:r>
    </w:p>
    <w:p>
      <w:pPr>
        <w:pStyle w:val="ListBullet"/>
      </w:pPr>
      <w:r>
        <w:rPr>
          <w:rFonts w:ascii="Liberation Serif" w:hAnsi="Liberation Serif"/>
          <w:color w:val="232734"/>
          <w:sz w:val="20"/>
        </w:rPr>
        <w:t>deletion or return.</w:t>
      </w:r>
    </w:p>
    <w:p>
      <w:pPr>
        <w:pStyle w:val="Heading1"/>
        <w:keepNext/>
        <w:pBdr>
          <w:bottom w:val="single" w:sz="6" w:space="4" w:color="E3E6EB"/>
        </w:pBdr>
      </w:pPr>
      <w:r>
        <w:t>28. Contractor and Consultant Access</w:t>
      </w:r>
    </w:p>
    <w:p>
      <w:pPr>
        <w:spacing w:after="120" w:line="252" w:lineRule="auto"/>
      </w:pPr>
      <w:r>
        <w:rPr>
          <w:rFonts w:ascii="Liberation Serif" w:hAnsi="Liberation Serif"/>
          <w:color w:val="232734"/>
          <w:sz w:val="20"/>
        </w:rPr>
        <w:t>Contractors and consultants shall not receive employee-equivalent access by default.</w:t>
      </w:r>
    </w:p>
    <w:p>
      <w:pPr>
        <w:spacing w:after="120" w:line="252" w:lineRule="auto"/>
      </w:pPr>
      <w:r>
        <w:rPr>
          <w:rFonts w:ascii="Liberation Serif" w:hAnsi="Liberation Serif"/>
          <w:color w:val="232734"/>
          <w:sz w:val="20"/>
        </w:rPr>
        <w:t>Their access shall be:</w:t>
      </w:r>
    </w:p>
    <w:p>
      <w:pPr>
        <w:pStyle w:val="ListBullet"/>
      </w:pPr>
      <w:r>
        <w:rPr>
          <w:rFonts w:ascii="Liberation Serif" w:hAnsi="Liberation Serif"/>
          <w:color w:val="232734"/>
          <w:sz w:val="20"/>
        </w:rPr>
        <w:t>role specific;</w:t>
      </w:r>
    </w:p>
    <w:p>
      <w:pPr>
        <w:pStyle w:val="ListBullet"/>
      </w:pPr>
      <w:r>
        <w:rPr>
          <w:rFonts w:ascii="Liberation Serif" w:hAnsi="Liberation Serif"/>
          <w:color w:val="232734"/>
          <w:sz w:val="20"/>
        </w:rPr>
        <w:t>time limited;</w:t>
      </w:r>
    </w:p>
    <w:p>
      <w:pPr>
        <w:pStyle w:val="ListBullet"/>
      </w:pPr>
      <w:r>
        <w:rPr>
          <w:rFonts w:ascii="Liberation Serif" w:hAnsi="Liberation Serif"/>
          <w:color w:val="232734"/>
          <w:sz w:val="20"/>
        </w:rPr>
        <w:t>individually assigned;</w:t>
      </w:r>
    </w:p>
    <w:p>
      <w:pPr>
        <w:pStyle w:val="ListBullet"/>
      </w:pPr>
      <w:r>
        <w:rPr>
          <w:rFonts w:ascii="Liberation Serif" w:hAnsi="Liberation Serif"/>
          <w:color w:val="232734"/>
          <w:sz w:val="20"/>
        </w:rPr>
        <w:t>reviewed;</w:t>
      </w:r>
    </w:p>
    <w:p>
      <w:pPr>
        <w:pStyle w:val="ListBullet"/>
      </w:pPr>
      <w:r>
        <w:rPr>
          <w:rFonts w:ascii="Liberation Serif" w:hAnsi="Liberation Serif"/>
          <w:color w:val="232734"/>
          <w:sz w:val="20"/>
        </w:rPr>
        <w:t>revoked at engagement end.</w:t>
      </w:r>
    </w:p>
    <w:p>
      <w:pPr>
        <w:spacing w:after="120" w:line="252" w:lineRule="auto"/>
      </w:pPr>
      <w:r>
        <w:rPr>
          <w:rFonts w:ascii="Liberation Serif" w:hAnsi="Liberation Serif"/>
          <w:color w:val="232734"/>
          <w:sz w:val="20"/>
        </w:rPr>
        <w:t>Contract terms shall address:</w:t>
      </w:r>
    </w:p>
    <w:p>
      <w:pPr>
        <w:pStyle w:val="ListBullet"/>
      </w:pPr>
      <w:r>
        <w:rPr>
          <w:rFonts w:ascii="Liberation Serif" w:hAnsi="Liberation Serif"/>
          <w:color w:val="232734"/>
          <w:sz w:val="20"/>
        </w:rPr>
        <w:t>confidentiality;</w:t>
      </w:r>
    </w:p>
    <w:p>
      <w:pPr>
        <w:pStyle w:val="ListBullet"/>
      </w:pPr>
      <w:r>
        <w:rPr>
          <w:rFonts w:ascii="Liberation Serif" w:hAnsi="Liberation Serif"/>
          <w:color w:val="232734"/>
          <w:sz w:val="20"/>
        </w:rPr>
        <w:t>work product;</w:t>
      </w:r>
    </w:p>
    <w:p>
      <w:pPr>
        <w:pStyle w:val="ListBullet"/>
      </w:pPr>
      <w:r>
        <w:rPr>
          <w:rFonts w:ascii="Liberation Serif" w:hAnsi="Liberation Serif"/>
          <w:color w:val="232734"/>
          <w:sz w:val="20"/>
        </w:rPr>
        <w:t>security;</w:t>
      </w:r>
    </w:p>
    <w:p>
      <w:pPr>
        <w:pStyle w:val="ListBullet"/>
      </w:pPr>
      <w:r>
        <w:rPr>
          <w:rFonts w:ascii="Liberation Serif" w:hAnsi="Liberation Serif"/>
          <w:color w:val="232734"/>
          <w:sz w:val="20"/>
        </w:rPr>
        <w:t>acceptable use;</w:t>
      </w:r>
    </w:p>
    <w:p>
      <w:pPr>
        <w:pStyle w:val="ListBullet"/>
      </w:pPr>
      <w:r>
        <w:rPr>
          <w:rFonts w:ascii="Liberation Serif" w:hAnsi="Liberation Serif"/>
          <w:color w:val="232734"/>
          <w:sz w:val="20"/>
        </w:rPr>
        <w:t>incident reporting;</w:t>
      </w:r>
    </w:p>
    <w:p>
      <w:pPr>
        <w:pStyle w:val="ListBullet"/>
      </w:pPr>
      <w:r>
        <w:rPr>
          <w:rFonts w:ascii="Liberation Serif" w:hAnsi="Liberation Serif"/>
          <w:color w:val="232734"/>
          <w:sz w:val="20"/>
        </w:rPr>
        <w:t>return of property;</w:t>
      </w:r>
    </w:p>
    <w:p>
      <w:pPr>
        <w:pStyle w:val="ListBullet"/>
      </w:pPr>
      <w:r>
        <w:rPr>
          <w:rFonts w:ascii="Liberation Serif" w:hAnsi="Liberation Serif"/>
          <w:color w:val="232734"/>
          <w:sz w:val="20"/>
        </w:rPr>
        <w:t>data deletion;</w:t>
      </w:r>
    </w:p>
    <w:p>
      <w:pPr>
        <w:pStyle w:val="ListBullet"/>
      </w:pPr>
      <w:r>
        <w:rPr>
          <w:rFonts w:ascii="Liberation Serif" w:hAnsi="Liberation Serif"/>
          <w:color w:val="232734"/>
          <w:sz w:val="20"/>
        </w:rPr>
        <w:t>access termination.</w:t>
      </w:r>
    </w:p>
    <w:p>
      <w:pPr>
        <w:pStyle w:val="Heading1"/>
        <w:keepNext/>
        <w:pBdr>
          <w:bottom w:val="single" w:sz="6" w:space="4" w:color="E3E6EB"/>
        </w:pBdr>
      </w:pPr>
      <w:r>
        <w:t>29. Subprocessors</w:t>
      </w:r>
    </w:p>
    <w:p>
      <w:pPr>
        <w:spacing w:after="120" w:line="252" w:lineRule="auto"/>
      </w:pPr>
      <w:r>
        <w:rPr>
          <w:rFonts w:ascii="Liberation Serif" w:hAnsi="Liberation Serif"/>
          <w:color w:val="232734"/>
          <w:sz w:val="20"/>
        </w:rPr>
        <w:t>Vendors shall disclose subprocessors appropriate to the service and risk.</w:t>
      </w:r>
    </w:p>
    <w:p>
      <w:pPr>
        <w:spacing w:after="120" w:line="252" w:lineRule="auto"/>
      </w:pPr>
      <w:r>
        <w:rPr>
          <w:rFonts w:ascii="Liberation Serif" w:hAnsi="Liberation Serif"/>
          <w:color w:val="232734"/>
          <w:sz w:val="20"/>
        </w:rPr>
        <w:t>EquineSync shall evaluate:</w:t>
      </w:r>
    </w:p>
    <w:p>
      <w:pPr>
        <w:pStyle w:val="ListBullet"/>
      </w:pPr>
      <w:r>
        <w:rPr>
          <w:rFonts w:ascii="Liberation Serif" w:hAnsi="Liberation Serif"/>
          <w:color w:val="232734"/>
          <w:sz w:val="20"/>
        </w:rPr>
        <w:t>subprocessor identity;</w:t>
      </w:r>
    </w:p>
    <w:p>
      <w:pPr>
        <w:pStyle w:val="ListBullet"/>
      </w:pPr>
      <w:r>
        <w:rPr>
          <w:rFonts w:ascii="Liberation Serif" w:hAnsi="Liberation Serif"/>
          <w:color w:val="232734"/>
          <w:sz w:val="20"/>
        </w:rPr>
        <w:t>function;</w:t>
      </w:r>
    </w:p>
    <w:p>
      <w:pPr>
        <w:pStyle w:val="ListBullet"/>
      </w:pPr>
      <w:r>
        <w:rPr>
          <w:rFonts w:ascii="Liberation Serif" w:hAnsi="Liberation Serif"/>
          <w:color w:val="232734"/>
          <w:sz w:val="20"/>
        </w:rPr>
        <w:t>location;</w:t>
      </w:r>
    </w:p>
    <w:p>
      <w:pPr>
        <w:pStyle w:val="ListBullet"/>
      </w:pPr>
      <w:r>
        <w:rPr>
          <w:rFonts w:ascii="Liberation Serif" w:hAnsi="Liberation Serif"/>
          <w:color w:val="232734"/>
          <w:sz w:val="20"/>
        </w:rPr>
        <w:t>data access;</w:t>
      </w:r>
    </w:p>
    <w:p>
      <w:pPr>
        <w:pStyle w:val="ListBullet"/>
      </w:pPr>
      <w:r>
        <w:rPr>
          <w:rFonts w:ascii="Liberation Serif" w:hAnsi="Liberation Serif"/>
          <w:color w:val="232734"/>
          <w:sz w:val="20"/>
        </w:rPr>
        <w:t>security posture;</w:t>
      </w:r>
    </w:p>
    <w:p>
      <w:pPr>
        <w:pStyle w:val="ListBullet"/>
      </w:pPr>
      <w:r>
        <w:rPr>
          <w:rFonts w:ascii="Liberation Serif" w:hAnsi="Liberation Serif"/>
          <w:color w:val="232734"/>
          <w:sz w:val="20"/>
        </w:rPr>
        <w:t>incident obligations;</w:t>
      </w:r>
    </w:p>
    <w:p>
      <w:pPr>
        <w:pStyle w:val="ListBullet"/>
      </w:pPr>
      <w:r>
        <w:rPr>
          <w:rFonts w:ascii="Liberation Serif" w:hAnsi="Liberation Serif"/>
          <w:color w:val="232734"/>
          <w:sz w:val="20"/>
        </w:rPr>
        <w:t>replacement rights;</w:t>
      </w:r>
    </w:p>
    <w:p>
      <w:pPr>
        <w:pStyle w:val="ListBullet"/>
      </w:pPr>
      <w:r>
        <w:rPr>
          <w:rFonts w:ascii="Liberation Serif" w:hAnsi="Liberation Serif"/>
          <w:color w:val="232734"/>
          <w:sz w:val="20"/>
        </w:rPr>
        <w:t>objection rights;</w:t>
      </w:r>
    </w:p>
    <w:p>
      <w:pPr>
        <w:pStyle w:val="ListBullet"/>
      </w:pPr>
      <w:r>
        <w:rPr>
          <w:rFonts w:ascii="Liberation Serif" w:hAnsi="Liberation Serif"/>
          <w:color w:val="232734"/>
          <w:sz w:val="20"/>
        </w:rPr>
        <w:t>deletion obligations.</w:t>
      </w:r>
    </w:p>
    <w:p>
      <w:pPr>
        <w:spacing w:after="120" w:line="252" w:lineRule="auto"/>
      </w:pPr>
      <w:r>
        <w:rPr>
          <w:rFonts w:ascii="Liberation Serif" w:hAnsi="Liberation Serif"/>
          <w:color w:val="232734"/>
          <w:sz w:val="20"/>
        </w:rPr>
        <w:t>A vendor may not use a subprocessor to obtain rights or access the vendor itself does not possess.</w:t>
      </w:r>
    </w:p>
    <w:p>
      <w:pPr>
        <w:pStyle w:val="Heading1"/>
        <w:keepNext/>
        <w:pBdr>
          <w:bottom w:val="single" w:sz="6" w:space="4" w:color="E3E6EB"/>
        </w:pBdr>
      </w:pPr>
      <w:r>
        <w:t>30. Fourth-Party Risk</w:t>
      </w:r>
    </w:p>
    <w:p>
      <w:pPr>
        <w:spacing w:after="120" w:line="252" w:lineRule="auto"/>
      </w:pPr>
      <w:r>
        <w:rPr>
          <w:rFonts w:ascii="Liberation Serif" w:hAnsi="Liberation Serif"/>
          <w:color w:val="232734"/>
          <w:sz w:val="20"/>
        </w:rPr>
        <w:t>Critical vendor review shall consider dependencies that may not be direct subprocessors, including:</w:t>
      </w:r>
    </w:p>
    <w:p>
      <w:pPr>
        <w:pStyle w:val="ListBullet"/>
      </w:pPr>
      <w:r>
        <w:rPr>
          <w:rFonts w:ascii="Liberation Serif" w:hAnsi="Liberation Serif"/>
          <w:color w:val="232734"/>
          <w:sz w:val="20"/>
        </w:rPr>
        <w:t>cloud infrastructure;</w:t>
      </w:r>
    </w:p>
    <w:p>
      <w:pPr>
        <w:pStyle w:val="ListBullet"/>
      </w:pPr>
      <w:r>
        <w:rPr>
          <w:rFonts w:ascii="Liberation Serif" w:hAnsi="Liberation Serif"/>
          <w:color w:val="232734"/>
          <w:sz w:val="20"/>
        </w:rPr>
        <w:t>identity services;</w:t>
      </w:r>
    </w:p>
    <w:p>
      <w:pPr>
        <w:pStyle w:val="ListBullet"/>
      </w:pPr>
      <w:r>
        <w:rPr>
          <w:rFonts w:ascii="Liberation Serif" w:hAnsi="Liberation Serif"/>
          <w:color w:val="232734"/>
          <w:sz w:val="20"/>
        </w:rPr>
        <w:t>package registries;</w:t>
      </w:r>
    </w:p>
    <w:p>
      <w:pPr>
        <w:pStyle w:val="ListBullet"/>
      </w:pPr>
      <w:r>
        <w:rPr>
          <w:rFonts w:ascii="Liberation Serif" w:hAnsi="Liberation Serif"/>
          <w:color w:val="232734"/>
          <w:sz w:val="20"/>
        </w:rPr>
        <w:t>certificate authorities;</w:t>
      </w:r>
    </w:p>
    <w:p>
      <w:pPr>
        <w:pStyle w:val="ListBullet"/>
      </w:pPr>
      <w:r>
        <w:rPr>
          <w:rFonts w:ascii="Liberation Serif" w:hAnsi="Liberation Serif"/>
          <w:color w:val="232734"/>
          <w:sz w:val="20"/>
        </w:rPr>
        <w:t>communication networks;</w:t>
      </w:r>
    </w:p>
    <w:p>
      <w:pPr>
        <w:pStyle w:val="ListBullet"/>
      </w:pPr>
      <w:r>
        <w:rPr>
          <w:rFonts w:ascii="Liberation Serif" w:hAnsi="Liberation Serif"/>
          <w:color w:val="232734"/>
          <w:sz w:val="20"/>
        </w:rPr>
        <w:t>content-delivery networks;</w:t>
      </w:r>
    </w:p>
    <w:p>
      <w:pPr>
        <w:pStyle w:val="ListBullet"/>
      </w:pPr>
      <w:r>
        <w:rPr>
          <w:rFonts w:ascii="Liberation Serif" w:hAnsi="Liberation Serif"/>
          <w:color w:val="232734"/>
          <w:sz w:val="20"/>
        </w:rPr>
        <w:t>model providers;</w:t>
      </w:r>
    </w:p>
    <w:p>
      <w:pPr>
        <w:pStyle w:val="ListBullet"/>
      </w:pPr>
      <w:r>
        <w:rPr>
          <w:rFonts w:ascii="Liberation Serif" w:hAnsi="Liberation Serif"/>
          <w:color w:val="232734"/>
          <w:sz w:val="20"/>
        </w:rPr>
        <w:t>data centers.</w:t>
      </w:r>
    </w:p>
    <w:p>
      <w:pPr>
        <w:spacing w:after="120" w:line="252" w:lineRule="auto"/>
      </w:pPr>
      <w:r>
        <w:rPr>
          <w:rFonts w:ascii="Liberation Serif" w:hAnsi="Liberation Serif"/>
          <w:color w:val="232734"/>
          <w:sz w:val="20"/>
        </w:rPr>
        <w:t>Fourth-party concentration may create risk even where no direct contract exists.</w:t>
      </w:r>
    </w:p>
    <w:p>
      <w:pPr>
        <w:pStyle w:val="Heading1"/>
        <w:keepNext/>
        <w:pBdr>
          <w:bottom w:val="single" w:sz="6" w:space="4" w:color="E3E6EB"/>
        </w:pBdr>
      </w:pPr>
      <w:r>
        <w:t>31. Geographic Processing</w:t>
      </w:r>
    </w:p>
    <w:p>
      <w:pPr>
        <w:spacing w:after="120" w:line="252" w:lineRule="auto"/>
      </w:pPr>
      <w:r>
        <w:rPr>
          <w:rFonts w:ascii="Liberation Serif" w:hAnsi="Liberation Serif"/>
          <w:color w:val="232734"/>
          <w:sz w:val="20"/>
        </w:rPr>
        <w:t>EquineSync shall document material geographic locations where vendors:</w:t>
      </w:r>
    </w:p>
    <w:p>
      <w:pPr>
        <w:pStyle w:val="ListBullet"/>
      </w:pPr>
      <w:r>
        <w:rPr>
          <w:rFonts w:ascii="Liberation Serif" w:hAnsi="Liberation Serif"/>
          <w:color w:val="232734"/>
          <w:sz w:val="20"/>
        </w:rPr>
        <w:t>store data;</w:t>
      </w:r>
    </w:p>
    <w:p>
      <w:pPr>
        <w:pStyle w:val="ListBullet"/>
      </w:pPr>
      <w:r>
        <w:rPr>
          <w:rFonts w:ascii="Liberation Serif" w:hAnsi="Liberation Serif"/>
          <w:color w:val="232734"/>
          <w:sz w:val="20"/>
        </w:rPr>
        <w:t>access data;</w:t>
      </w:r>
    </w:p>
    <w:p>
      <w:pPr>
        <w:pStyle w:val="ListBullet"/>
      </w:pPr>
      <w:r>
        <w:rPr>
          <w:rFonts w:ascii="Liberation Serif" w:hAnsi="Liberation Serif"/>
          <w:color w:val="232734"/>
          <w:sz w:val="20"/>
        </w:rPr>
        <w:t>manage keys;</w:t>
      </w:r>
    </w:p>
    <w:p>
      <w:pPr>
        <w:pStyle w:val="ListBullet"/>
      </w:pPr>
      <w:r>
        <w:rPr>
          <w:rFonts w:ascii="Liberation Serif" w:hAnsi="Liberation Serif"/>
          <w:color w:val="232734"/>
          <w:sz w:val="20"/>
        </w:rPr>
        <w:t>provide support;</w:t>
      </w:r>
    </w:p>
    <w:p>
      <w:pPr>
        <w:pStyle w:val="ListBullet"/>
      </w:pPr>
      <w:r>
        <w:rPr>
          <w:rFonts w:ascii="Liberation Serif" w:hAnsi="Liberation Serif"/>
          <w:color w:val="232734"/>
          <w:sz w:val="20"/>
        </w:rPr>
        <w:t>perform recovery;</w:t>
      </w:r>
    </w:p>
    <w:p>
      <w:pPr>
        <w:pStyle w:val="ListBullet"/>
      </w:pPr>
      <w:r>
        <w:rPr>
          <w:rFonts w:ascii="Liberation Serif" w:hAnsi="Liberation Serif"/>
          <w:color w:val="232734"/>
          <w:sz w:val="20"/>
        </w:rPr>
        <w:t>use subprocessors.</w:t>
      </w:r>
    </w:p>
    <w:p>
      <w:pPr>
        <w:spacing w:after="120" w:line="252" w:lineRule="auto"/>
      </w:pPr>
      <w:r>
        <w:rPr>
          <w:rFonts w:ascii="Liberation Serif" w:hAnsi="Liberation Serif"/>
          <w:color w:val="232734"/>
          <w:sz w:val="20"/>
        </w:rPr>
        <w:t>Regional commitments shall not be claimed where vendor personnel or subprocessors can routinely access data from other locations.</w:t>
      </w:r>
    </w:p>
    <w:p>
      <w:pPr>
        <w:pStyle w:val="Heading1"/>
        <w:keepNext/>
        <w:pBdr>
          <w:bottom w:val="single" w:sz="6" w:space="4" w:color="E3E6EB"/>
        </w:pBdr>
      </w:pPr>
      <w:r>
        <w:t>32. International Transfers</w:t>
      </w:r>
    </w:p>
    <w:p>
      <w:pPr>
        <w:spacing w:after="120" w:line="252" w:lineRule="auto"/>
      </w:pPr>
      <w:r>
        <w:rPr>
          <w:rFonts w:ascii="Liberation Serif" w:hAnsi="Liberation Serif"/>
          <w:color w:val="232734"/>
          <w:sz w:val="20"/>
        </w:rPr>
        <w:t>International data transfers shall follow controlling privacy canon.</w:t>
      </w:r>
    </w:p>
    <w:p>
      <w:pPr>
        <w:spacing w:after="120" w:line="252" w:lineRule="auto"/>
      </w:pPr>
      <w:r>
        <w:rPr>
          <w:rFonts w:ascii="Liberation Serif" w:hAnsi="Liberation Serif"/>
          <w:color w:val="232734"/>
          <w:sz w:val="20"/>
        </w:rPr>
        <w:t>Review shall address:</w:t>
      </w:r>
    </w:p>
    <w:p>
      <w:pPr>
        <w:pStyle w:val="ListBullet"/>
      </w:pPr>
      <w:r>
        <w:rPr>
          <w:rFonts w:ascii="Liberation Serif" w:hAnsi="Liberation Serif"/>
          <w:color w:val="232734"/>
          <w:sz w:val="20"/>
        </w:rPr>
        <w:t>transfer mechanism;</w:t>
      </w:r>
    </w:p>
    <w:p>
      <w:pPr>
        <w:pStyle w:val="ListBullet"/>
      </w:pPr>
      <w:r>
        <w:rPr>
          <w:rFonts w:ascii="Liberation Serif" w:hAnsi="Liberation Serif"/>
          <w:color w:val="232734"/>
          <w:sz w:val="20"/>
        </w:rPr>
        <w:t>jurisdiction;</w:t>
      </w:r>
    </w:p>
    <w:p>
      <w:pPr>
        <w:pStyle w:val="ListBullet"/>
      </w:pPr>
      <w:r>
        <w:rPr>
          <w:rFonts w:ascii="Liberation Serif" w:hAnsi="Liberation Serif"/>
          <w:color w:val="232734"/>
          <w:sz w:val="20"/>
        </w:rPr>
        <w:t>government-access risk;</w:t>
      </w:r>
    </w:p>
    <w:p>
      <w:pPr>
        <w:pStyle w:val="ListBullet"/>
      </w:pPr>
      <w:r>
        <w:rPr>
          <w:rFonts w:ascii="Liberation Serif" w:hAnsi="Liberation Serif"/>
          <w:color w:val="232734"/>
          <w:sz w:val="20"/>
        </w:rPr>
        <w:t>subprocessor locations;</w:t>
      </w:r>
    </w:p>
    <w:p>
      <w:pPr>
        <w:pStyle w:val="ListBullet"/>
      </w:pPr>
      <w:r>
        <w:rPr>
          <w:rFonts w:ascii="Liberation Serif" w:hAnsi="Liberation Serif"/>
          <w:color w:val="232734"/>
          <w:sz w:val="20"/>
        </w:rPr>
        <w:t>supplementary safeguards;</w:t>
      </w:r>
    </w:p>
    <w:p>
      <w:pPr>
        <w:pStyle w:val="ListBullet"/>
      </w:pPr>
      <w:r>
        <w:rPr>
          <w:rFonts w:ascii="Liberation Serif" w:hAnsi="Liberation Serif"/>
          <w:color w:val="232734"/>
          <w:sz w:val="20"/>
        </w:rPr>
        <w:t>customer commitments;</w:t>
      </w:r>
    </w:p>
    <w:p>
      <w:pPr>
        <w:pStyle w:val="ListBullet"/>
      </w:pPr>
      <w:r>
        <w:rPr>
          <w:rFonts w:ascii="Liberation Serif" w:hAnsi="Liberation Serif"/>
          <w:color w:val="232734"/>
          <w:sz w:val="20"/>
        </w:rPr>
        <w:t>exit options.</w:t>
      </w:r>
    </w:p>
    <w:p>
      <w:pPr>
        <w:spacing w:after="120" w:line="252" w:lineRule="auto"/>
      </w:pPr>
      <w:r>
        <w:rPr>
          <w:rFonts w:ascii="Liberation Serif" w:hAnsi="Liberation Serif"/>
          <w:color w:val="232734"/>
          <w:sz w:val="20"/>
        </w:rPr>
        <w:t>Vendor convenience shall not substitute for a lawful transfer basis.</w:t>
      </w:r>
    </w:p>
    <w:p>
      <w:pPr>
        <w:pStyle w:val="Heading1"/>
        <w:keepNext/>
        <w:pBdr>
          <w:bottom w:val="single" w:sz="6" w:space="4" w:color="E3E6EB"/>
        </w:pBdr>
      </w:pPr>
      <w:r>
        <w:t>33. Contractual Security Requirements</w:t>
      </w:r>
    </w:p>
    <w:p>
      <w:pPr>
        <w:spacing w:after="120" w:line="252" w:lineRule="auto"/>
      </w:pPr>
      <w:r>
        <w:rPr>
          <w:rFonts w:ascii="Liberation Serif" w:hAnsi="Liberation Serif"/>
          <w:color w:val="232734"/>
          <w:sz w:val="20"/>
        </w:rPr>
        <w:t>Material vendor agreements should address, as appropriate:</w:t>
      </w:r>
    </w:p>
    <w:p>
      <w:pPr>
        <w:pStyle w:val="ListBullet"/>
      </w:pPr>
      <w:r>
        <w:rPr>
          <w:rFonts w:ascii="Liberation Serif" w:hAnsi="Liberation Serif"/>
          <w:color w:val="232734"/>
          <w:sz w:val="20"/>
        </w:rPr>
        <w:t>permitted purpose;</w:t>
      </w:r>
    </w:p>
    <w:p>
      <w:pPr>
        <w:pStyle w:val="ListBullet"/>
      </w:pPr>
      <w:r>
        <w:rPr>
          <w:rFonts w:ascii="Liberation Serif" w:hAnsi="Liberation Serif"/>
          <w:color w:val="232734"/>
          <w:sz w:val="20"/>
        </w:rPr>
        <w:t>confidentiality;</w:t>
      </w:r>
    </w:p>
    <w:p>
      <w:pPr>
        <w:pStyle w:val="ListBullet"/>
      </w:pPr>
      <w:r>
        <w:rPr>
          <w:rFonts w:ascii="Liberation Serif" w:hAnsi="Liberation Serif"/>
          <w:color w:val="232734"/>
          <w:sz w:val="20"/>
        </w:rPr>
        <w:t>minimum-necessary access;</w:t>
      </w:r>
    </w:p>
    <w:p>
      <w:pPr>
        <w:pStyle w:val="ListBullet"/>
      </w:pPr>
      <w:r>
        <w:rPr>
          <w:rFonts w:ascii="Liberation Serif" w:hAnsi="Liberation Serif"/>
          <w:color w:val="232734"/>
          <w:sz w:val="20"/>
        </w:rPr>
        <w:t>security controls;</w:t>
      </w:r>
    </w:p>
    <w:p>
      <w:pPr>
        <w:pStyle w:val="ListBullet"/>
      </w:pPr>
      <w:r>
        <w:rPr>
          <w:rFonts w:ascii="Liberation Serif" w:hAnsi="Liberation Serif"/>
          <w:color w:val="232734"/>
          <w:sz w:val="20"/>
        </w:rPr>
        <w:t>encryption;</w:t>
      </w:r>
    </w:p>
    <w:p>
      <w:pPr>
        <w:pStyle w:val="ListBullet"/>
      </w:pPr>
      <w:r>
        <w:rPr>
          <w:rFonts w:ascii="Liberation Serif" w:hAnsi="Liberation Serif"/>
          <w:color w:val="232734"/>
          <w:sz w:val="20"/>
        </w:rPr>
        <w:t>key management;</w:t>
      </w:r>
    </w:p>
    <w:p>
      <w:pPr>
        <w:pStyle w:val="ListBullet"/>
      </w:pPr>
      <w:r>
        <w:rPr>
          <w:rFonts w:ascii="Liberation Serif" w:hAnsi="Liberation Serif"/>
          <w:color w:val="232734"/>
          <w:sz w:val="20"/>
        </w:rPr>
        <w:t>incident notice;</w:t>
      </w:r>
    </w:p>
    <w:p>
      <w:pPr>
        <w:pStyle w:val="ListBullet"/>
      </w:pPr>
      <w:r>
        <w:rPr>
          <w:rFonts w:ascii="Liberation Serif" w:hAnsi="Liberation Serif"/>
          <w:color w:val="232734"/>
          <w:sz w:val="20"/>
        </w:rPr>
        <w:t>cooperation;</w:t>
      </w:r>
    </w:p>
    <w:p>
      <w:pPr>
        <w:pStyle w:val="ListBullet"/>
      </w:pPr>
      <w:r>
        <w:rPr>
          <w:rFonts w:ascii="Liberation Serif" w:hAnsi="Liberation Serif"/>
          <w:color w:val="232734"/>
          <w:sz w:val="20"/>
        </w:rPr>
        <w:t>subprocessors;</w:t>
      </w:r>
    </w:p>
    <w:p>
      <w:pPr>
        <w:pStyle w:val="ListBullet"/>
      </w:pPr>
      <w:r>
        <w:rPr>
          <w:rFonts w:ascii="Liberation Serif" w:hAnsi="Liberation Serif"/>
          <w:color w:val="232734"/>
          <w:sz w:val="20"/>
        </w:rPr>
        <w:t>data location;</w:t>
      </w:r>
    </w:p>
    <w:p>
      <w:pPr>
        <w:pStyle w:val="ListBullet"/>
      </w:pPr>
      <w:r>
        <w:rPr>
          <w:rFonts w:ascii="Liberation Serif" w:hAnsi="Liberation Serif"/>
          <w:color w:val="232734"/>
          <w:sz w:val="20"/>
        </w:rPr>
        <w:t>retention;</w:t>
      </w:r>
    </w:p>
    <w:p>
      <w:pPr>
        <w:pStyle w:val="ListBullet"/>
      </w:pPr>
      <w:r>
        <w:rPr>
          <w:rFonts w:ascii="Liberation Serif" w:hAnsi="Liberation Serif"/>
          <w:color w:val="232734"/>
          <w:sz w:val="20"/>
        </w:rPr>
        <w:t>deletion;</w:t>
      </w:r>
    </w:p>
    <w:p>
      <w:pPr>
        <w:pStyle w:val="ListBullet"/>
      </w:pPr>
      <w:r>
        <w:rPr>
          <w:rFonts w:ascii="Liberation Serif" w:hAnsi="Liberation Serif"/>
          <w:color w:val="232734"/>
          <w:sz w:val="20"/>
        </w:rPr>
        <w:t>data return;</w:t>
      </w:r>
    </w:p>
    <w:p>
      <w:pPr>
        <w:pStyle w:val="ListBullet"/>
      </w:pPr>
      <w:r>
        <w:rPr>
          <w:rFonts w:ascii="Liberation Serif" w:hAnsi="Liberation Serif"/>
          <w:color w:val="232734"/>
          <w:sz w:val="20"/>
        </w:rPr>
        <w:t>audit evidence;</w:t>
      </w:r>
    </w:p>
    <w:p>
      <w:pPr>
        <w:pStyle w:val="ListBullet"/>
      </w:pPr>
      <w:r>
        <w:rPr>
          <w:rFonts w:ascii="Liberation Serif" w:hAnsi="Liberation Serif"/>
          <w:color w:val="232734"/>
          <w:sz w:val="20"/>
        </w:rPr>
        <w:t>continuity;</w:t>
      </w:r>
    </w:p>
    <w:p>
      <w:pPr>
        <w:pStyle w:val="ListBullet"/>
      </w:pPr>
      <w:r>
        <w:rPr>
          <w:rFonts w:ascii="Liberation Serif" w:hAnsi="Liberation Serif"/>
          <w:color w:val="232734"/>
          <w:sz w:val="20"/>
        </w:rPr>
        <w:t>termination;</w:t>
      </w:r>
    </w:p>
    <w:p>
      <w:pPr>
        <w:pStyle w:val="ListBullet"/>
      </w:pPr>
      <w:r>
        <w:rPr>
          <w:rFonts w:ascii="Liberation Serif" w:hAnsi="Liberation Serif"/>
          <w:color w:val="232734"/>
          <w:sz w:val="20"/>
        </w:rPr>
        <w:t>insurance;</w:t>
      </w:r>
    </w:p>
    <w:p>
      <w:pPr>
        <w:pStyle w:val="ListBullet"/>
      </w:pPr>
      <w:r>
        <w:rPr>
          <w:rFonts w:ascii="Liberation Serif" w:hAnsi="Liberation Serif"/>
          <w:color w:val="232734"/>
          <w:sz w:val="20"/>
        </w:rPr>
        <w:t>liability;</w:t>
      </w:r>
    </w:p>
    <w:p>
      <w:pPr>
        <w:pStyle w:val="ListBullet"/>
      </w:pPr>
      <w:r>
        <w:rPr>
          <w:rFonts w:ascii="Liberation Serif" w:hAnsi="Liberation Serif"/>
          <w:color w:val="232734"/>
          <w:sz w:val="20"/>
        </w:rPr>
        <w:t>legal requests;</w:t>
      </w:r>
    </w:p>
    <w:p>
      <w:pPr>
        <w:pStyle w:val="ListBullet"/>
      </w:pPr>
      <w:r>
        <w:rPr>
          <w:rFonts w:ascii="Liberation Serif" w:hAnsi="Liberation Serif"/>
          <w:color w:val="232734"/>
          <w:sz w:val="20"/>
        </w:rPr>
        <w:t>AI training restrictions;</w:t>
      </w:r>
    </w:p>
    <w:p>
      <w:pPr>
        <w:pStyle w:val="ListBullet"/>
      </w:pPr>
      <w:r>
        <w:rPr>
          <w:rFonts w:ascii="Liberation Serif" w:hAnsi="Liberation Serif"/>
          <w:color w:val="232734"/>
          <w:sz w:val="20"/>
        </w:rPr>
        <w:t>ownership;</w:t>
      </w:r>
    </w:p>
    <w:p>
      <w:pPr>
        <w:pStyle w:val="ListBullet"/>
      </w:pPr>
      <w:r>
        <w:rPr>
          <w:rFonts w:ascii="Liberation Serif" w:hAnsi="Liberation Serif"/>
          <w:color w:val="232734"/>
          <w:sz w:val="20"/>
        </w:rPr>
        <w:t>service levels.</w:t>
      </w:r>
    </w:p>
    <w:p>
      <w:pPr>
        <w:spacing w:after="120" w:line="252" w:lineRule="auto"/>
      </w:pPr>
      <w:r>
        <w:rPr>
          <w:rFonts w:ascii="Liberation Serif" w:hAnsi="Liberation Serif"/>
          <w:color w:val="232734"/>
          <w:sz w:val="20"/>
        </w:rPr>
        <w:t>Contract requirements shall be proportionate to risk and actual service function.</w:t>
      </w:r>
    </w:p>
    <w:p>
      <w:pPr>
        <w:pStyle w:val="Heading1"/>
        <w:keepNext/>
        <w:pBdr>
          <w:bottom w:val="single" w:sz="6" w:space="4" w:color="E3E6EB"/>
        </w:pBdr>
      </w:pPr>
      <w:r>
        <w:t>34. Incident Notification Terms</w:t>
      </w:r>
    </w:p>
    <w:p>
      <w:pPr>
        <w:spacing w:after="120" w:line="252" w:lineRule="auto"/>
      </w:pPr>
      <w:r>
        <w:rPr>
          <w:rFonts w:ascii="Liberation Serif" w:hAnsi="Liberation Serif"/>
          <w:color w:val="232734"/>
          <w:sz w:val="20"/>
        </w:rPr>
        <w:t>Critical and High-risk vendors should be contractually required to notify EquineSync promptly of incidents that affect or may reasonably affect:</w:t>
      </w:r>
    </w:p>
    <w:p>
      <w:pPr>
        <w:pStyle w:val="ListBullet"/>
      </w:pPr>
      <w:r>
        <w:rPr>
          <w:rFonts w:ascii="Liberation Serif" w:hAnsi="Liberation Serif"/>
          <w:color w:val="232734"/>
          <w:sz w:val="20"/>
        </w:rPr>
        <w:t>EquineSync data;</w:t>
      </w:r>
    </w:p>
    <w:p>
      <w:pPr>
        <w:pStyle w:val="ListBullet"/>
      </w:pPr>
      <w:r>
        <w:rPr>
          <w:rFonts w:ascii="Liberation Serif" w:hAnsi="Liberation Serif"/>
          <w:color w:val="232734"/>
          <w:sz w:val="20"/>
        </w:rPr>
        <w:t>EquineSync systems;</w:t>
      </w:r>
    </w:p>
    <w:p>
      <w:pPr>
        <w:pStyle w:val="ListBullet"/>
      </w:pPr>
      <w:r>
        <w:rPr>
          <w:rFonts w:ascii="Liberation Serif" w:hAnsi="Liberation Serif"/>
          <w:color w:val="232734"/>
          <w:sz w:val="20"/>
        </w:rPr>
        <w:t>customer operations;</w:t>
      </w:r>
    </w:p>
    <w:p>
      <w:pPr>
        <w:pStyle w:val="ListBullet"/>
      </w:pPr>
      <w:r>
        <w:rPr>
          <w:rFonts w:ascii="Liberation Serif" w:hAnsi="Liberation Serif"/>
          <w:color w:val="232734"/>
          <w:sz w:val="20"/>
        </w:rPr>
        <w:t>tenant isolation;</w:t>
      </w:r>
    </w:p>
    <w:p>
      <w:pPr>
        <w:pStyle w:val="ListBullet"/>
      </w:pPr>
      <w:r>
        <w:rPr>
          <w:rFonts w:ascii="Liberation Serif" w:hAnsi="Liberation Serif"/>
          <w:color w:val="232734"/>
          <w:sz w:val="20"/>
        </w:rPr>
        <w:t>credentials;</w:t>
      </w:r>
    </w:p>
    <w:p>
      <w:pPr>
        <w:pStyle w:val="ListBullet"/>
      </w:pPr>
      <w:r>
        <w:rPr>
          <w:rFonts w:ascii="Liberation Serif" w:hAnsi="Liberation Serif"/>
          <w:color w:val="232734"/>
          <w:sz w:val="20"/>
        </w:rPr>
        <w:t>keys;</w:t>
      </w:r>
    </w:p>
    <w:p>
      <w:pPr>
        <w:pStyle w:val="ListBullet"/>
      </w:pPr>
      <w:r>
        <w:rPr>
          <w:rFonts w:ascii="Liberation Serif" w:hAnsi="Liberation Serif"/>
          <w:color w:val="232734"/>
          <w:sz w:val="20"/>
        </w:rPr>
        <w:t>availability;</w:t>
      </w:r>
    </w:p>
    <w:p>
      <w:pPr>
        <w:pStyle w:val="ListBullet"/>
      </w:pPr>
      <w:r>
        <w:rPr>
          <w:rFonts w:ascii="Liberation Serif" w:hAnsi="Liberation Serif"/>
          <w:color w:val="232734"/>
          <w:sz w:val="20"/>
        </w:rPr>
        <w:t>financial activity;</w:t>
      </w:r>
    </w:p>
    <w:p>
      <w:pPr>
        <w:pStyle w:val="ListBullet"/>
      </w:pPr>
      <w:r>
        <w:rPr>
          <w:rFonts w:ascii="Liberation Serif" w:hAnsi="Liberation Serif"/>
          <w:color w:val="232734"/>
          <w:sz w:val="20"/>
        </w:rPr>
        <w:t>horse-welfare continuity.</w:t>
      </w:r>
    </w:p>
    <w:p>
      <w:pPr>
        <w:spacing w:after="120" w:line="252" w:lineRule="auto"/>
      </w:pPr>
      <w:r>
        <w:rPr>
          <w:rFonts w:ascii="Liberation Serif" w:hAnsi="Liberation Serif"/>
          <w:color w:val="232734"/>
          <w:sz w:val="20"/>
        </w:rPr>
        <w:t>Vendor notice obligations should require ongoing material updates, not merely one initial notice.</w:t>
      </w:r>
    </w:p>
    <w:p>
      <w:pPr>
        <w:pStyle w:val="Heading1"/>
        <w:keepNext/>
        <w:pBdr>
          <w:bottom w:val="single" w:sz="6" w:space="4" w:color="E3E6EB"/>
        </w:pBdr>
      </w:pPr>
      <w:r>
        <w:t>35. Vendor Incident Cooperation</w:t>
      </w:r>
    </w:p>
    <w:p>
      <w:pPr>
        <w:spacing w:after="120" w:line="252" w:lineRule="auto"/>
      </w:pPr>
      <w:r>
        <w:rPr>
          <w:rFonts w:ascii="Liberation Serif" w:hAnsi="Liberation Serif"/>
          <w:color w:val="232734"/>
          <w:sz w:val="20"/>
        </w:rPr>
        <w:t>Contracts should require appropriate cooperation, including:</w:t>
      </w:r>
    </w:p>
    <w:p>
      <w:pPr>
        <w:pStyle w:val="ListBullet"/>
      </w:pPr>
      <w:r>
        <w:rPr>
          <w:rFonts w:ascii="Liberation Serif" w:hAnsi="Liberation Serif"/>
          <w:color w:val="232734"/>
          <w:sz w:val="20"/>
        </w:rPr>
        <w:t>preservation of evidence;</w:t>
      </w:r>
    </w:p>
    <w:p>
      <w:pPr>
        <w:pStyle w:val="ListBullet"/>
      </w:pPr>
      <w:r>
        <w:rPr>
          <w:rFonts w:ascii="Liberation Serif" w:hAnsi="Liberation Serif"/>
          <w:color w:val="232734"/>
          <w:sz w:val="20"/>
        </w:rPr>
        <w:t>relevant logs;</w:t>
      </w:r>
    </w:p>
    <w:p>
      <w:pPr>
        <w:pStyle w:val="ListBullet"/>
      </w:pPr>
      <w:r>
        <w:rPr>
          <w:rFonts w:ascii="Liberation Serif" w:hAnsi="Liberation Serif"/>
          <w:color w:val="232734"/>
          <w:sz w:val="20"/>
        </w:rPr>
        <w:t>scope information;</w:t>
      </w:r>
    </w:p>
    <w:p>
      <w:pPr>
        <w:pStyle w:val="ListBullet"/>
      </w:pPr>
      <w:r>
        <w:rPr>
          <w:rFonts w:ascii="Liberation Serif" w:hAnsi="Liberation Serif"/>
          <w:color w:val="232734"/>
          <w:sz w:val="20"/>
        </w:rPr>
        <w:t>affected data categories;</w:t>
      </w:r>
    </w:p>
    <w:p>
      <w:pPr>
        <w:pStyle w:val="ListBullet"/>
      </w:pPr>
      <w:r>
        <w:rPr>
          <w:rFonts w:ascii="Liberation Serif" w:hAnsi="Liberation Serif"/>
          <w:color w:val="232734"/>
          <w:sz w:val="20"/>
        </w:rPr>
        <w:t>subprocessor information;</w:t>
      </w:r>
    </w:p>
    <w:p>
      <w:pPr>
        <w:pStyle w:val="ListBullet"/>
      </w:pPr>
      <w:r>
        <w:rPr>
          <w:rFonts w:ascii="Liberation Serif" w:hAnsi="Liberation Serif"/>
          <w:color w:val="232734"/>
          <w:sz w:val="20"/>
        </w:rPr>
        <w:t>containment status;</w:t>
      </w:r>
    </w:p>
    <w:p>
      <w:pPr>
        <w:pStyle w:val="ListBullet"/>
      </w:pPr>
      <w:r>
        <w:rPr>
          <w:rFonts w:ascii="Liberation Serif" w:hAnsi="Liberation Serif"/>
          <w:color w:val="232734"/>
          <w:sz w:val="20"/>
        </w:rPr>
        <w:t>remediation;</w:t>
      </w:r>
    </w:p>
    <w:p>
      <w:pPr>
        <w:pStyle w:val="ListBullet"/>
      </w:pPr>
      <w:r>
        <w:rPr>
          <w:rFonts w:ascii="Liberation Serif" w:hAnsi="Liberation Serif"/>
          <w:color w:val="232734"/>
          <w:sz w:val="20"/>
        </w:rPr>
        <w:t>customer-notice support;</w:t>
      </w:r>
    </w:p>
    <w:p>
      <w:pPr>
        <w:pStyle w:val="ListBullet"/>
      </w:pPr>
      <w:r>
        <w:rPr>
          <w:rFonts w:ascii="Liberation Serif" w:hAnsi="Liberation Serif"/>
          <w:color w:val="232734"/>
          <w:sz w:val="20"/>
        </w:rPr>
        <w:t>regulator support;</w:t>
      </w:r>
    </w:p>
    <w:p>
      <w:pPr>
        <w:pStyle w:val="ListBullet"/>
      </w:pPr>
      <w:r>
        <w:rPr>
          <w:rFonts w:ascii="Liberation Serif" w:hAnsi="Liberation Serif"/>
          <w:color w:val="232734"/>
          <w:sz w:val="20"/>
        </w:rPr>
        <w:t>deletion or return confirmation.</w:t>
      </w:r>
    </w:p>
    <w:p>
      <w:pPr>
        <w:spacing w:after="120" w:line="252" w:lineRule="auto"/>
      </w:pPr>
      <w:r>
        <w:rPr>
          <w:rFonts w:ascii="Liberation Serif" w:hAnsi="Liberation Serif"/>
          <w:color w:val="232734"/>
          <w:sz w:val="20"/>
        </w:rPr>
        <w:t>Vendor silence or delay shall increase vendor risk.</w:t>
      </w:r>
    </w:p>
    <w:p>
      <w:pPr>
        <w:pStyle w:val="Heading1"/>
        <w:keepNext/>
        <w:pBdr>
          <w:bottom w:val="single" w:sz="6" w:space="4" w:color="E3E6EB"/>
        </w:pBdr>
      </w:pPr>
      <w:r>
        <w:t>36. Data Use Restrictions</w:t>
      </w:r>
    </w:p>
    <w:p>
      <w:pPr>
        <w:spacing w:after="120" w:line="252" w:lineRule="auto"/>
      </w:pPr>
      <w:r>
        <w:rPr>
          <w:rFonts w:ascii="Liberation Serif" w:hAnsi="Liberation Serif"/>
          <w:color w:val="232734"/>
          <w:sz w:val="20"/>
        </w:rPr>
        <w:t>Vendors shall not use EquineSync data for:</w:t>
      </w:r>
    </w:p>
    <w:p>
      <w:pPr>
        <w:pStyle w:val="ListBullet"/>
      </w:pPr>
      <w:r>
        <w:rPr>
          <w:rFonts w:ascii="Liberation Serif" w:hAnsi="Liberation Serif"/>
          <w:color w:val="232734"/>
          <w:sz w:val="20"/>
        </w:rPr>
        <w:t>advertising;</w:t>
      </w:r>
    </w:p>
    <w:p>
      <w:pPr>
        <w:pStyle w:val="ListBullet"/>
      </w:pPr>
      <w:r>
        <w:rPr>
          <w:rFonts w:ascii="Liberation Serif" w:hAnsi="Liberation Serif"/>
          <w:color w:val="232734"/>
          <w:sz w:val="20"/>
        </w:rPr>
        <w:t>sale;</w:t>
      </w:r>
    </w:p>
    <w:p>
      <w:pPr>
        <w:pStyle w:val="ListBullet"/>
      </w:pPr>
      <w:r>
        <w:rPr>
          <w:rFonts w:ascii="Liberation Serif" w:hAnsi="Liberation Serif"/>
          <w:color w:val="232734"/>
          <w:sz w:val="20"/>
        </w:rPr>
        <w:t>cross-context profiling;</w:t>
      </w:r>
    </w:p>
    <w:p>
      <w:pPr>
        <w:pStyle w:val="ListBullet"/>
      </w:pPr>
      <w:r>
        <w:rPr>
          <w:rFonts w:ascii="Liberation Serif" w:hAnsi="Liberation Serif"/>
          <w:color w:val="232734"/>
          <w:sz w:val="20"/>
        </w:rPr>
        <w:t>unrelated product development;</w:t>
      </w:r>
    </w:p>
    <w:p>
      <w:pPr>
        <w:pStyle w:val="ListBullet"/>
      </w:pPr>
      <w:r>
        <w:rPr>
          <w:rFonts w:ascii="Liberation Serif" w:hAnsi="Liberation Serif"/>
          <w:color w:val="232734"/>
          <w:sz w:val="20"/>
        </w:rPr>
        <w:t>shared-model training;</w:t>
      </w:r>
    </w:p>
    <w:p>
      <w:pPr>
        <w:pStyle w:val="ListBullet"/>
      </w:pPr>
      <w:r>
        <w:rPr>
          <w:rFonts w:ascii="Liberation Serif" w:hAnsi="Liberation Serif"/>
          <w:color w:val="232734"/>
          <w:sz w:val="20"/>
        </w:rPr>
        <w:t>competitive intelligence;</w:t>
      </w:r>
    </w:p>
    <w:p>
      <w:pPr>
        <w:pStyle w:val="ListBullet"/>
      </w:pPr>
      <w:r>
        <w:rPr>
          <w:rFonts w:ascii="Liberation Serif" w:hAnsi="Liberation Serif"/>
          <w:color w:val="232734"/>
          <w:sz w:val="20"/>
        </w:rPr>
        <w:t>unrelated benchmarking;</w:t>
      </w:r>
    </w:p>
    <w:p>
      <w:pPr>
        <w:pStyle w:val="ListBullet"/>
      </w:pPr>
      <w:r>
        <w:rPr>
          <w:rFonts w:ascii="Liberation Serif" w:hAnsi="Liberation Serif"/>
          <w:color w:val="232734"/>
          <w:sz w:val="20"/>
        </w:rPr>
        <w:t>resale;</w:t>
      </w:r>
    </w:p>
    <w:p>
      <w:pPr>
        <w:pStyle w:val="ListBullet"/>
      </w:pPr>
      <w:r>
        <w:rPr>
          <w:rFonts w:ascii="Liberation Serif" w:hAnsi="Liberation Serif"/>
          <w:color w:val="232734"/>
          <w:sz w:val="20"/>
        </w:rPr>
        <w:t>data brokerage.</w:t>
      </w:r>
    </w:p>
    <w:p>
      <w:pPr>
        <w:spacing w:after="120" w:line="252" w:lineRule="auto"/>
      </w:pPr>
      <w:r>
        <w:rPr>
          <w:rFonts w:ascii="Liberation Serif" w:hAnsi="Liberation Serif"/>
          <w:color w:val="232734"/>
          <w:sz w:val="20"/>
        </w:rPr>
        <w:t>Permitted operational telemetry must be:</w:t>
      </w:r>
    </w:p>
    <w:p>
      <w:pPr>
        <w:pStyle w:val="ListBullet"/>
      </w:pPr>
      <w:r>
        <w:rPr>
          <w:rFonts w:ascii="Liberation Serif" w:hAnsi="Liberation Serif"/>
          <w:color w:val="232734"/>
          <w:sz w:val="20"/>
        </w:rPr>
        <w:t>minimum necessary;</w:t>
      </w:r>
    </w:p>
    <w:p>
      <w:pPr>
        <w:pStyle w:val="ListBullet"/>
      </w:pPr>
      <w:r>
        <w:rPr>
          <w:rFonts w:ascii="Liberation Serif" w:hAnsi="Liberation Serif"/>
          <w:color w:val="232734"/>
          <w:sz w:val="20"/>
        </w:rPr>
        <w:t>appropriately aggregated or deidentified;</w:t>
      </w:r>
    </w:p>
    <w:p>
      <w:pPr>
        <w:pStyle w:val="ListBullet"/>
      </w:pPr>
      <w:r>
        <w:rPr>
          <w:rFonts w:ascii="Liberation Serif" w:hAnsi="Liberation Serif"/>
          <w:color w:val="232734"/>
          <w:sz w:val="20"/>
        </w:rPr>
        <w:t>governed by contract;</w:t>
      </w:r>
    </w:p>
    <w:p>
      <w:pPr>
        <w:pStyle w:val="ListBullet"/>
      </w:pPr>
      <w:r>
        <w:rPr>
          <w:rFonts w:ascii="Liberation Serif" w:hAnsi="Liberation Serif"/>
          <w:color w:val="232734"/>
          <w:sz w:val="20"/>
        </w:rPr>
        <w:t>retained narrowly;</w:t>
      </w:r>
    </w:p>
    <w:p>
      <w:pPr>
        <w:pStyle w:val="ListBullet"/>
      </w:pPr>
      <w:r>
        <w:rPr>
          <w:rFonts w:ascii="Liberation Serif" w:hAnsi="Liberation Serif"/>
          <w:color w:val="232734"/>
          <w:sz w:val="20"/>
        </w:rPr>
        <w:t>protected from reidentification.</w:t>
      </w:r>
    </w:p>
    <w:p>
      <w:pPr>
        <w:pStyle w:val="Heading1"/>
        <w:keepNext/>
        <w:pBdr>
          <w:bottom w:val="single" w:sz="6" w:space="4" w:color="E3E6EB"/>
        </w:pBdr>
      </w:pPr>
      <w:r>
        <w:t>37. Government Requests to Vendors</w:t>
      </w:r>
    </w:p>
    <w:p>
      <w:pPr>
        <w:spacing w:after="120" w:line="252" w:lineRule="auto"/>
      </w:pPr>
      <w:r>
        <w:rPr>
          <w:rFonts w:ascii="Liberation Serif" w:hAnsi="Liberation Serif"/>
          <w:color w:val="232734"/>
          <w:sz w:val="20"/>
        </w:rPr>
        <w:t>Vendor terms should require, where legally permissible:</w:t>
      </w:r>
    </w:p>
    <w:p>
      <w:pPr>
        <w:pStyle w:val="ListBullet"/>
      </w:pPr>
      <w:r>
        <w:rPr>
          <w:rFonts w:ascii="Liberation Serif" w:hAnsi="Liberation Serif"/>
          <w:color w:val="232734"/>
          <w:sz w:val="20"/>
        </w:rPr>
        <w:t>prompt notice of government or legal requests;</w:t>
      </w:r>
    </w:p>
    <w:p>
      <w:pPr>
        <w:pStyle w:val="ListBullet"/>
      </w:pPr>
      <w:r>
        <w:rPr>
          <w:rFonts w:ascii="Liberation Serif" w:hAnsi="Liberation Serif"/>
          <w:color w:val="232734"/>
          <w:sz w:val="20"/>
        </w:rPr>
        <w:t>review of validity and scope;</w:t>
      </w:r>
    </w:p>
    <w:p>
      <w:pPr>
        <w:pStyle w:val="ListBullet"/>
      </w:pPr>
      <w:r>
        <w:rPr>
          <w:rFonts w:ascii="Liberation Serif" w:hAnsi="Liberation Serif"/>
          <w:color w:val="232734"/>
          <w:sz w:val="20"/>
        </w:rPr>
        <w:t>minimum-necessary disclosure;</w:t>
      </w:r>
    </w:p>
    <w:p>
      <w:pPr>
        <w:pStyle w:val="ListBullet"/>
      </w:pPr>
      <w:r>
        <w:rPr>
          <w:rFonts w:ascii="Liberation Serif" w:hAnsi="Liberation Serif"/>
          <w:color w:val="232734"/>
          <w:sz w:val="20"/>
        </w:rPr>
        <w:t>challenge of overbroad requests where reasonable;</w:t>
      </w:r>
    </w:p>
    <w:p>
      <w:pPr>
        <w:pStyle w:val="ListBullet"/>
      </w:pPr>
      <w:r>
        <w:rPr>
          <w:rFonts w:ascii="Liberation Serif" w:hAnsi="Liberation Serif"/>
          <w:color w:val="232734"/>
          <w:sz w:val="20"/>
        </w:rPr>
        <w:t>documentation of disclosures.</w:t>
      </w:r>
    </w:p>
    <w:p>
      <w:pPr>
        <w:spacing w:after="120" w:line="252" w:lineRule="auto"/>
      </w:pPr>
      <w:r>
        <w:rPr>
          <w:rFonts w:ascii="Liberation Serif" w:hAnsi="Liberation Serif"/>
          <w:color w:val="232734"/>
          <w:sz w:val="20"/>
        </w:rPr>
        <w:t>A vendor shall not voluntarily disclose broader EquineSync data than legally required.</w:t>
      </w:r>
    </w:p>
    <w:p>
      <w:pPr>
        <w:pStyle w:val="Heading1"/>
        <w:keepNext/>
        <w:pBdr>
          <w:bottom w:val="single" w:sz="6" w:space="4" w:color="E3E6EB"/>
        </w:pBdr>
      </w:pPr>
      <w:r>
        <w:t>38. Data Ownership and Control</w:t>
      </w:r>
    </w:p>
    <w:p>
      <w:pPr>
        <w:spacing w:after="120" w:line="252" w:lineRule="auto"/>
      </w:pPr>
      <w:r>
        <w:rPr>
          <w:rFonts w:ascii="Liberation Serif" w:hAnsi="Liberation Serif"/>
          <w:color w:val="232734"/>
          <w:sz w:val="20"/>
        </w:rPr>
        <w:t>Vendor possession or processing does not transfer ownership of EquineSync or customer data.</w:t>
      </w:r>
    </w:p>
    <w:p>
      <w:pPr>
        <w:spacing w:after="120" w:line="252" w:lineRule="auto"/>
      </w:pPr>
      <w:r>
        <w:rPr>
          <w:rFonts w:ascii="Liberation Serif" w:hAnsi="Liberation Serif"/>
          <w:color w:val="232734"/>
          <w:sz w:val="20"/>
        </w:rPr>
        <w:t>Contracts shall distinguish:</w:t>
      </w:r>
    </w:p>
    <w:p>
      <w:pPr>
        <w:pStyle w:val="ListBullet"/>
      </w:pPr>
      <w:r>
        <w:rPr>
          <w:rFonts w:ascii="Liberation Serif" w:hAnsi="Liberation Serif"/>
          <w:color w:val="232734"/>
          <w:sz w:val="20"/>
        </w:rPr>
        <w:t>ownership;</w:t>
      </w:r>
    </w:p>
    <w:p>
      <w:pPr>
        <w:pStyle w:val="ListBullet"/>
      </w:pPr>
      <w:r>
        <w:rPr>
          <w:rFonts w:ascii="Liberation Serif" w:hAnsi="Liberation Serif"/>
          <w:color w:val="232734"/>
          <w:sz w:val="20"/>
        </w:rPr>
        <w:t>stewardship;</w:t>
      </w:r>
    </w:p>
    <w:p>
      <w:pPr>
        <w:pStyle w:val="ListBullet"/>
      </w:pPr>
      <w:r>
        <w:rPr>
          <w:rFonts w:ascii="Liberation Serif" w:hAnsi="Liberation Serif"/>
          <w:color w:val="232734"/>
          <w:sz w:val="20"/>
        </w:rPr>
        <w:t>processing authority;</w:t>
      </w:r>
    </w:p>
    <w:p>
      <w:pPr>
        <w:pStyle w:val="ListBullet"/>
      </w:pPr>
      <w:r>
        <w:rPr>
          <w:rFonts w:ascii="Liberation Serif" w:hAnsi="Liberation Serif"/>
          <w:color w:val="232734"/>
          <w:sz w:val="20"/>
        </w:rPr>
        <w:t>intellectual property;</w:t>
      </w:r>
    </w:p>
    <w:p>
      <w:pPr>
        <w:pStyle w:val="ListBullet"/>
      </w:pPr>
      <w:r>
        <w:rPr>
          <w:rFonts w:ascii="Liberation Serif" w:hAnsi="Liberation Serif"/>
          <w:color w:val="232734"/>
          <w:sz w:val="20"/>
        </w:rPr>
        <w:t>service telemetry;</w:t>
      </w:r>
    </w:p>
    <w:p>
      <w:pPr>
        <w:pStyle w:val="ListBullet"/>
      </w:pPr>
      <w:r>
        <w:rPr>
          <w:rFonts w:ascii="Liberation Serif" w:hAnsi="Liberation Serif"/>
          <w:color w:val="232734"/>
          <w:sz w:val="20"/>
        </w:rPr>
        <w:t>derived data;</w:t>
      </w:r>
    </w:p>
    <w:p>
      <w:pPr>
        <w:pStyle w:val="ListBullet"/>
      </w:pPr>
      <w:r>
        <w:rPr>
          <w:rFonts w:ascii="Liberation Serif" w:hAnsi="Liberation Serif"/>
          <w:color w:val="232734"/>
          <w:sz w:val="20"/>
        </w:rPr>
        <w:t>deidentified data;</w:t>
      </w:r>
    </w:p>
    <w:p>
      <w:pPr>
        <w:pStyle w:val="ListBullet"/>
      </w:pPr>
      <w:r>
        <w:rPr>
          <w:rFonts w:ascii="Liberation Serif" w:hAnsi="Liberation Serif"/>
          <w:color w:val="232734"/>
          <w:sz w:val="20"/>
        </w:rPr>
        <w:t>model outputs;</w:t>
      </w:r>
    </w:p>
    <w:p>
      <w:pPr>
        <w:pStyle w:val="ListBullet"/>
      </w:pPr>
      <w:r>
        <w:rPr>
          <w:rFonts w:ascii="Liberation Serif" w:hAnsi="Liberation Serif"/>
          <w:color w:val="232734"/>
          <w:sz w:val="20"/>
        </w:rPr>
        <w:t>configuration data.</w:t>
      </w:r>
    </w:p>
    <w:p>
      <w:pPr>
        <w:spacing w:after="120" w:line="252" w:lineRule="auto"/>
      </w:pPr>
      <w:r>
        <w:rPr>
          <w:rFonts w:ascii="Liberation Serif" w:hAnsi="Liberation Serif"/>
          <w:color w:val="232734"/>
          <w:sz w:val="20"/>
        </w:rPr>
        <w:t>Vendor-generated metadata shall not become an uncontrolled pathway to reconstruct customer operations.</w:t>
      </w:r>
    </w:p>
    <w:p>
      <w:pPr>
        <w:pStyle w:val="Heading1"/>
        <w:keepNext/>
        <w:pBdr>
          <w:bottom w:val="single" w:sz="6" w:space="4" w:color="E3E6EB"/>
        </w:pBdr>
      </w:pPr>
      <w:r>
        <w:t>39. Data Retention</w:t>
      </w:r>
    </w:p>
    <w:p>
      <w:pPr>
        <w:spacing w:after="120" w:line="252" w:lineRule="auto"/>
      </w:pPr>
      <w:r>
        <w:rPr>
          <w:rFonts w:ascii="Liberation Serif" w:hAnsi="Liberation Serif"/>
          <w:color w:val="232734"/>
          <w:sz w:val="20"/>
        </w:rPr>
        <w:t>Vendor retention must be:</w:t>
      </w:r>
    </w:p>
    <w:p>
      <w:pPr>
        <w:pStyle w:val="ListBullet"/>
      </w:pPr>
      <w:r>
        <w:rPr>
          <w:rFonts w:ascii="Liberation Serif" w:hAnsi="Liberation Serif"/>
          <w:color w:val="232734"/>
          <w:sz w:val="20"/>
        </w:rPr>
        <w:t>purpose based;</w:t>
      </w:r>
    </w:p>
    <w:p>
      <w:pPr>
        <w:pStyle w:val="ListBullet"/>
      </w:pPr>
      <w:r>
        <w:rPr>
          <w:rFonts w:ascii="Liberation Serif" w:hAnsi="Liberation Serif"/>
          <w:color w:val="232734"/>
          <w:sz w:val="20"/>
        </w:rPr>
        <w:t>documented;</w:t>
      </w:r>
    </w:p>
    <w:p>
      <w:pPr>
        <w:pStyle w:val="ListBullet"/>
      </w:pPr>
      <w:r>
        <w:rPr>
          <w:rFonts w:ascii="Liberation Serif" w:hAnsi="Liberation Serif"/>
          <w:color w:val="232734"/>
          <w:sz w:val="20"/>
        </w:rPr>
        <w:t>contractually controlled where material;</w:t>
      </w:r>
    </w:p>
    <w:p>
      <w:pPr>
        <w:pStyle w:val="ListBullet"/>
      </w:pPr>
      <w:r>
        <w:rPr>
          <w:rFonts w:ascii="Liberation Serif" w:hAnsi="Liberation Serif"/>
          <w:color w:val="232734"/>
          <w:sz w:val="20"/>
        </w:rPr>
        <w:t>consistent with EquineSync retention governance;</w:t>
      </w:r>
    </w:p>
    <w:p>
      <w:pPr>
        <w:pStyle w:val="ListBullet"/>
      </w:pPr>
      <w:r>
        <w:rPr>
          <w:rFonts w:ascii="Liberation Serif" w:hAnsi="Liberation Serif"/>
          <w:color w:val="232734"/>
          <w:sz w:val="20"/>
        </w:rPr>
        <w:t>limited after termination.</w:t>
      </w:r>
    </w:p>
    <w:p>
      <w:pPr>
        <w:spacing w:after="120" w:line="252" w:lineRule="auto"/>
      </w:pPr>
      <w:r>
        <w:rPr>
          <w:rFonts w:ascii="Liberation Serif" w:hAnsi="Liberation Serif"/>
          <w:color w:val="232734"/>
          <w:sz w:val="20"/>
        </w:rPr>
        <w:t>Vendors shall not retain data indefinitely merely because their systems make deletion difficult.</w:t>
      </w:r>
    </w:p>
    <w:p>
      <w:pPr>
        <w:pStyle w:val="Heading1"/>
        <w:keepNext/>
        <w:pBdr>
          <w:bottom w:val="single" w:sz="6" w:space="4" w:color="E3E6EB"/>
        </w:pBdr>
      </w:pPr>
      <w:r>
        <w:t>40. Data Deletion and Return</w:t>
      </w:r>
    </w:p>
    <w:p>
      <w:pPr>
        <w:spacing w:after="120" w:line="252" w:lineRule="auto"/>
      </w:pPr>
      <w:r>
        <w:rPr>
          <w:rFonts w:ascii="Liberation Serif" w:hAnsi="Liberation Serif"/>
          <w:color w:val="232734"/>
          <w:sz w:val="20"/>
        </w:rPr>
        <w:t>Vendor exit shall address:</w:t>
      </w:r>
    </w:p>
    <w:p>
      <w:pPr>
        <w:pStyle w:val="ListBullet"/>
      </w:pPr>
      <w:r>
        <w:rPr>
          <w:rFonts w:ascii="Liberation Serif" w:hAnsi="Liberation Serif"/>
          <w:color w:val="232734"/>
          <w:sz w:val="20"/>
        </w:rPr>
        <w:t>data return;</w:t>
      </w:r>
    </w:p>
    <w:p>
      <w:pPr>
        <w:pStyle w:val="ListBullet"/>
      </w:pPr>
      <w:r>
        <w:rPr>
          <w:rFonts w:ascii="Liberation Serif" w:hAnsi="Liberation Serif"/>
          <w:color w:val="232734"/>
          <w:sz w:val="20"/>
        </w:rPr>
        <w:t>format;</w:t>
      </w:r>
    </w:p>
    <w:p>
      <w:pPr>
        <w:pStyle w:val="ListBullet"/>
      </w:pPr>
      <w:r>
        <w:rPr>
          <w:rFonts w:ascii="Liberation Serif" w:hAnsi="Liberation Serif"/>
          <w:color w:val="232734"/>
          <w:sz w:val="20"/>
        </w:rPr>
        <w:t>completeness;</w:t>
      </w:r>
    </w:p>
    <w:p>
      <w:pPr>
        <w:pStyle w:val="ListBullet"/>
      </w:pPr>
      <w:r>
        <w:rPr>
          <w:rFonts w:ascii="Liberation Serif" w:hAnsi="Liberation Serif"/>
          <w:color w:val="232734"/>
          <w:sz w:val="20"/>
        </w:rPr>
        <w:t>deletion;</w:t>
      </w:r>
    </w:p>
    <w:p>
      <w:pPr>
        <w:pStyle w:val="ListBullet"/>
      </w:pPr>
      <w:r>
        <w:rPr>
          <w:rFonts w:ascii="Liberation Serif" w:hAnsi="Liberation Serif"/>
          <w:color w:val="232734"/>
          <w:sz w:val="20"/>
        </w:rPr>
        <w:t>backup expiration;</w:t>
      </w:r>
    </w:p>
    <w:p>
      <w:pPr>
        <w:pStyle w:val="ListBullet"/>
      </w:pPr>
      <w:r>
        <w:rPr>
          <w:rFonts w:ascii="Liberation Serif" w:hAnsi="Liberation Serif"/>
          <w:color w:val="232734"/>
          <w:sz w:val="20"/>
        </w:rPr>
        <w:t>subprocessor deletion;</w:t>
      </w:r>
    </w:p>
    <w:p>
      <w:pPr>
        <w:pStyle w:val="ListBullet"/>
      </w:pPr>
      <w:r>
        <w:rPr>
          <w:rFonts w:ascii="Liberation Serif" w:hAnsi="Liberation Serif"/>
          <w:color w:val="232734"/>
          <w:sz w:val="20"/>
        </w:rPr>
        <w:t>credential revocation;</w:t>
      </w:r>
    </w:p>
    <w:p>
      <w:pPr>
        <w:pStyle w:val="ListBullet"/>
      </w:pPr>
      <w:r>
        <w:rPr>
          <w:rFonts w:ascii="Liberation Serif" w:hAnsi="Liberation Serif"/>
          <w:color w:val="232734"/>
          <w:sz w:val="20"/>
        </w:rPr>
        <w:t>confirmation;</w:t>
      </w:r>
    </w:p>
    <w:p>
      <w:pPr>
        <w:pStyle w:val="ListBullet"/>
      </w:pPr>
      <w:r>
        <w:rPr>
          <w:rFonts w:ascii="Liberation Serif" w:hAnsi="Liberation Serif"/>
          <w:color w:val="232734"/>
          <w:sz w:val="20"/>
        </w:rPr>
        <w:t>residual legal retention.</w:t>
      </w:r>
    </w:p>
    <w:p>
      <w:pPr>
        <w:spacing w:after="120" w:line="252" w:lineRule="auto"/>
      </w:pPr>
      <w:r>
        <w:rPr>
          <w:rFonts w:ascii="Liberation Serif" w:hAnsi="Liberation Serif"/>
          <w:color w:val="232734"/>
          <w:sz w:val="20"/>
        </w:rPr>
        <w:t>Deletion claims must distinguish:</w:t>
      </w:r>
    </w:p>
    <w:p>
      <w:pPr>
        <w:pStyle w:val="ListBullet"/>
      </w:pPr>
      <w:r>
        <w:rPr>
          <w:rFonts w:ascii="Liberation Serif" w:hAnsi="Liberation Serif"/>
          <w:color w:val="232734"/>
          <w:sz w:val="20"/>
        </w:rPr>
        <w:t>active deletion;</w:t>
      </w:r>
    </w:p>
    <w:p>
      <w:pPr>
        <w:pStyle w:val="ListBullet"/>
      </w:pPr>
      <w:r>
        <w:rPr>
          <w:rFonts w:ascii="Liberation Serif" w:hAnsi="Liberation Serif"/>
          <w:color w:val="232734"/>
          <w:sz w:val="20"/>
        </w:rPr>
        <w:t>backup expiration;</w:t>
      </w:r>
    </w:p>
    <w:p>
      <w:pPr>
        <w:pStyle w:val="ListBullet"/>
      </w:pPr>
      <w:r>
        <w:rPr>
          <w:rFonts w:ascii="Liberation Serif" w:hAnsi="Liberation Serif"/>
          <w:color w:val="232734"/>
          <w:sz w:val="20"/>
        </w:rPr>
        <w:t>legal retention;</w:t>
      </w:r>
    </w:p>
    <w:p>
      <w:pPr>
        <w:pStyle w:val="ListBullet"/>
      </w:pPr>
      <w:r>
        <w:rPr>
          <w:rFonts w:ascii="Liberation Serif" w:hAnsi="Liberation Serif"/>
          <w:color w:val="232734"/>
          <w:sz w:val="20"/>
        </w:rPr>
        <w:t>irreversible destruction.</w:t>
      </w:r>
    </w:p>
    <w:p>
      <w:pPr>
        <w:spacing w:after="120" w:line="252" w:lineRule="auto"/>
      </w:pPr>
      <w:r>
        <w:rPr>
          <w:rFonts w:ascii="Liberation Serif" w:hAnsi="Liberation Serif"/>
          <w:color w:val="232734"/>
          <w:sz w:val="20"/>
        </w:rPr>
        <w:t>A vendor’s unsupported statement that data was deleted shall not automatically close the obligation.</w:t>
      </w:r>
    </w:p>
    <w:p>
      <w:pPr>
        <w:pStyle w:val="Heading1"/>
        <w:keepNext/>
        <w:pBdr>
          <w:bottom w:val="single" w:sz="6" w:space="4" w:color="E3E6EB"/>
        </w:pBdr>
      </w:pPr>
      <w:r>
        <w:t>41. Vendor Onboarding</w:t>
      </w:r>
    </w:p>
    <w:p>
      <w:pPr>
        <w:spacing w:after="120" w:line="252" w:lineRule="auto"/>
      </w:pPr>
      <w:r>
        <w:rPr>
          <w:rFonts w:ascii="Liberation Serif" w:hAnsi="Liberation Serif"/>
          <w:color w:val="232734"/>
          <w:sz w:val="20"/>
        </w:rPr>
        <w:t>Before activation, onboarding shall verify:</w:t>
      </w:r>
    </w:p>
    <w:p>
      <w:pPr>
        <w:pStyle w:val="ListBullet"/>
      </w:pPr>
      <w:r>
        <w:rPr>
          <w:rFonts w:ascii="Liberation Serif" w:hAnsi="Liberation Serif"/>
          <w:color w:val="232734"/>
          <w:sz w:val="20"/>
        </w:rPr>
        <w:t>approval;</w:t>
      </w:r>
    </w:p>
    <w:p>
      <w:pPr>
        <w:pStyle w:val="ListBullet"/>
      </w:pPr>
      <w:r>
        <w:rPr>
          <w:rFonts w:ascii="Liberation Serif" w:hAnsi="Liberation Serif"/>
          <w:color w:val="232734"/>
          <w:sz w:val="20"/>
        </w:rPr>
        <w:t>executed agreement;</w:t>
      </w:r>
    </w:p>
    <w:p>
      <w:pPr>
        <w:pStyle w:val="ListBullet"/>
      </w:pPr>
      <w:r>
        <w:rPr>
          <w:rFonts w:ascii="Liberation Serif" w:hAnsi="Liberation Serif"/>
          <w:color w:val="232734"/>
          <w:sz w:val="20"/>
        </w:rPr>
        <w:t>technical owner;</w:t>
      </w:r>
    </w:p>
    <w:p>
      <w:pPr>
        <w:pStyle w:val="ListBullet"/>
      </w:pPr>
      <w:r>
        <w:rPr>
          <w:rFonts w:ascii="Liberation Serif" w:hAnsi="Liberation Serif"/>
          <w:color w:val="232734"/>
          <w:sz w:val="20"/>
        </w:rPr>
        <w:t>business owner;</w:t>
      </w:r>
    </w:p>
    <w:p>
      <w:pPr>
        <w:pStyle w:val="ListBullet"/>
      </w:pPr>
      <w:r>
        <w:rPr>
          <w:rFonts w:ascii="Liberation Serif" w:hAnsi="Liberation Serif"/>
          <w:color w:val="232734"/>
          <w:sz w:val="20"/>
        </w:rPr>
        <w:t>access scope;</w:t>
      </w:r>
    </w:p>
    <w:p>
      <w:pPr>
        <w:pStyle w:val="ListBullet"/>
      </w:pPr>
      <w:r>
        <w:rPr>
          <w:rFonts w:ascii="Liberation Serif" w:hAnsi="Liberation Serif"/>
          <w:color w:val="232734"/>
          <w:sz w:val="20"/>
        </w:rPr>
        <w:t>data flow;</w:t>
      </w:r>
    </w:p>
    <w:p>
      <w:pPr>
        <w:pStyle w:val="ListBullet"/>
      </w:pPr>
      <w:r>
        <w:rPr>
          <w:rFonts w:ascii="Liberation Serif" w:hAnsi="Liberation Serif"/>
          <w:color w:val="232734"/>
          <w:sz w:val="20"/>
        </w:rPr>
        <w:t>security configuration;</w:t>
      </w:r>
    </w:p>
    <w:p>
      <w:pPr>
        <w:pStyle w:val="ListBullet"/>
      </w:pPr>
      <w:r>
        <w:rPr>
          <w:rFonts w:ascii="Liberation Serif" w:hAnsi="Liberation Serif"/>
          <w:color w:val="232734"/>
          <w:sz w:val="20"/>
        </w:rPr>
        <w:t>logging;</w:t>
      </w:r>
    </w:p>
    <w:p>
      <w:pPr>
        <w:pStyle w:val="ListBullet"/>
      </w:pPr>
      <w:r>
        <w:rPr>
          <w:rFonts w:ascii="Liberation Serif" w:hAnsi="Liberation Serif"/>
          <w:color w:val="232734"/>
          <w:sz w:val="20"/>
        </w:rPr>
        <w:t>credentials;</w:t>
      </w:r>
    </w:p>
    <w:p>
      <w:pPr>
        <w:pStyle w:val="ListBullet"/>
      </w:pPr>
      <w:r>
        <w:rPr>
          <w:rFonts w:ascii="Liberation Serif" w:hAnsi="Liberation Serif"/>
          <w:color w:val="232734"/>
          <w:sz w:val="20"/>
        </w:rPr>
        <w:t>incident contact;</w:t>
      </w:r>
    </w:p>
    <w:p>
      <w:pPr>
        <w:pStyle w:val="ListBullet"/>
      </w:pPr>
      <w:r>
        <w:rPr>
          <w:rFonts w:ascii="Liberation Serif" w:hAnsi="Liberation Serif"/>
          <w:color w:val="232734"/>
          <w:sz w:val="20"/>
        </w:rPr>
        <w:t>renewal date;</w:t>
      </w:r>
    </w:p>
    <w:p>
      <w:pPr>
        <w:pStyle w:val="ListBullet"/>
      </w:pPr>
      <w:r>
        <w:rPr>
          <w:rFonts w:ascii="Liberation Serif" w:hAnsi="Liberation Serif"/>
          <w:color w:val="232734"/>
          <w:sz w:val="20"/>
        </w:rPr>
        <w:t>exit plan;</w:t>
      </w:r>
    </w:p>
    <w:p>
      <w:pPr>
        <w:pStyle w:val="ListBullet"/>
      </w:pPr>
      <w:r>
        <w:rPr>
          <w:rFonts w:ascii="Liberation Serif" w:hAnsi="Liberation Serif"/>
          <w:color w:val="232734"/>
          <w:sz w:val="20"/>
        </w:rPr>
        <w:t>validation status.</w:t>
      </w:r>
    </w:p>
    <w:p>
      <w:pPr>
        <w:spacing w:after="120" w:line="252" w:lineRule="auto"/>
      </w:pPr>
      <w:r>
        <w:rPr>
          <w:rFonts w:ascii="Liberation Serif" w:hAnsi="Liberation Serif"/>
          <w:color w:val="232734"/>
          <w:sz w:val="20"/>
        </w:rPr>
        <w:t>Procurement completion alone does not authorize production activation.</w:t>
      </w:r>
    </w:p>
    <w:p>
      <w:pPr>
        <w:pStyle w:val="Heading1"/>
        <w:keepNext/>
        <w:pBdr>
          <w:bottom w:val="single" w:sz="6" w:space="4" w:color="E3E6EB"/>
        </w:pBdr>
      </w:pPr>
      <w:r>
        <w:t>42. Credential and Secret Provisioning</w:t>
      </w:r>
    </w:p>
    <w:p>
      <w:pPr>
        <w:spacing w:after="120" w:line="252" w:lineRule="auto"/>
      </w:pPr>
      <w:r>
        <w:rPr>
          <w:rFonts w:ascii="Liberation Serif" w:hAnsi="Liberation Serif"/>
          <w:color w:val="232734"/>
          <w:sz w:val="20"/>
        </w:rPr>
        <w:t>Vendor credentials shall be:</w:t>
      </w:r>
    </w:p>
    <w:p>
      <w:pPr>
        <w:pStyle w:val="ListBullet"/>
      </w:pPr>
      <w:r>
        <w:rPr>
          <w:rFonts w:ascii="Liberation Serif" w:hAnsi="Liberation Serif"/>
          <w:color w:val="232734"/>
          <w:sz w:val="20"/>
        </w:rPr>
        <w:t>environment specific;</w:t>
      </w:r>
    </w:p>
    <w:p>
      <w:pPr>
        <w:pStyle w:val="ListBullet"/>
      </w:pPr>
      <w:r>
        <w:rPr>
          <w:rFonts w:ascii="Liberation Serif" w:hAnsi="Liberation Serif"/>
          <w:color w:val="232734"/>
          <w:sz w:val="20"/>
        </w:rPr>
        <w:t>individually or service assigned;</w:t>
      </w:r>
    </w:p>
    <w:p>
      <w:pPr>
        <w:pStyle w:val="ListBullet"/>
      </w:pPr>
      <w:r>
        <w:rPr>
          <w:rFonts w:ascii="Liberation Serif" w:hAnsi="Liberation Serif"/>
          <w:color w:val="232734"/>
          <w:sz w:val="20"/>
        </w:rPr>
        <w:t>least privilege;</w:t>
      </w:r>
    </w:p>
    <w:p>
      <w:pPr>
        <w:pStyle w:val="ListBullet"/>
      </w:pPr>
      <w:r>
        <w:rPr>
          <w:rFonts w:ascii="Liberation Serif" w:hAnsi="Liberation Serif"/>
          <w:color w:val="232734"/>
          <w:sz w:val="20"/>
        </w:rPr>
        <w:t>stored in approved secret-management systems;</w:t>
      </w:r>
    </w:p>
    <w:p>
      <w:pPr>
        <w:pStyle w:val="ListBullet"/>
      </w:pPr>
      <w:r>
        <w:rPr>
          <w:rFonts w:ascii="Liberation Serif" w:hAnsi="Liberation Serif"/>
          <w:color w:val="232734"/>
          <w:sz w:val="20"/>
        </w:rPr>
        <w:t>rotated;</w:t>
      </w:r>
    </w:p>
    <w:p>
      <w:pPr>
        <w:pStyle w:val="ListBullet"/>
      </w:pPr>
      <w:r>
        <w:rPr>
          <w:rFonts w:ascii="Liberation Serif" w:hAnsi="Liberation Serif"/>
          <w:color w:val="232734"/>
          <w:sz w:val="20"/>
        </w:rPr>
        <w:t>revocable;</w:t>
      </w:r>
    </w:p>
    <w:p>
      <w:pPr>
        <w:pStyle w:val="ListBullet"/>
      </w:pPr>
      <w:r>
        <w:rPr>
          <w:rFonts w:ascii="Liberation Serif" w:hAnsi="Liberation Serif"/>
          <w:color w:val="232734"/>
          <w:sz w:val="20"/>
        </w:rPr>
        <w:t>monitored.</w:t>
      </w:r>
    </w:p>
    <w:p>
      <w:pPr>
        <w:spacing w:after="120" w:line="252" w:lineRule="auto"/>
      </w:pPr>
      <w:r>
        <w:rPr>
          <w:rFonts w:ascii="Liberation Serif" w:hAnsi="Liberation Serif"/>
          <w:color w:val="232734"/>
          <w:sz w:val="20"/>
        </w:rPr>
        <w:t>Credentials shall not be:</w:t>
      </w:r>
    </w:p>
    <w:p>
      <w:pPr>
        <w:pStyle w:val="ListBullet"/>
      </w:pPr>
      <w:r>
        <w:rPr>
          <w:rFonts w:ascii="Liberation Serif" w:hAnsi="Liberation Serif"/>
          <w:color w:val="232734"/>
          <w:sz w:val="20"/>
        </w:rPr>
        <w:t>shared through uncontrolled channels;</w:t>
      </w:r>
    </w:p>
    <w:p>
      <w:pPr>
        <w:pStyle w:val="ListBullet"/>
      </w:pPr>
      <w:r>
        <w:rPr>
          <w:rFonts w:ascii="Liberation Serif" w:hAnsi="Liberation Serif"/>
          <w:color w:val="232734"/>
          <w:sz w:val="20"/>
        </w:rPr>
        <w:t>committed to repositories;</w:t>
      </w:r>
    </w:p>
    <w:p>
      <w:pPr>
        <w:pStyle w:val="ListBullet"/>
      </w:pPr>
      <w:r>
        <w:rPr>
          <w:rFonts w:ascii="Liberation Serif" w:hAnsi="Liberation Serif"/>
          <w:color w:val="232734"/>
          <w:sz w:val="20"/>
        </w:rPr>
        <w:t>embedded in public applications;</w:t>
      </w:r>
    </w:p>
    <w:p>
      <w:pPr>
        <w:pStyle w:val="ListBullet"/>
      </w:pPr>
      <w:r>
        <w:rPr>
          <w:rFonts w:ascii="Liberation Serif" w:hAnsi="Liberation Serif"/>
          <w:color w:val="232734"/>
          <w:sz w:val="20"/>
        </w:rPr>
        <w:t>reused across unrelated vendors;</w:t>
      </w:r>
    </w:p>
    <w:p>
      <w:pPr>
        <w:pStyle w:val="ListBullet"/>
      </w:pPr>
      <w:r>
        <w:rPr>
          <w:rFonts w:ascii="Liberation Serif" w:hAnsi="Liberation Serif"/>
          <w:color w:val="232734"/>
          <w:sz w:val="20"/>
        </w:rPr>
        <w:t>retained after termination.</w:t>
      </w:r>
    </w:p>
    <w:p>
      <w:pPr>
        <w:pStyle w:val="Heading1"/>
        <w:keepNext/>
        <w:pBdr>
          <w:bottom w:val="single" w:sz="6" w:space="4" w:color="E3E6EB"/>
        </w:pBdr>
      </w:pPr>
      <w:r>
        <w:t>43. Vendor Administrative Access</w:t>
      </w:r>
    </w:p>
    <w:p>
      <w:pPr>
        <w:spacing w:after="120" w:line="252" w:lineRule="auto"/>
      </w:pPr>
      <w:r>
        <w:rPr>
          <w:rFonts w:ascii="Liberation Serif" w:hAnsi="Liberation Serif"/>
          <w:color w:val="232734"/>
          <w:sz w:val="20"/>
        </w:rPr>
        <w:t>Vendor administrative access to EquineSync systems shall ordinarily be:</w:t>
      </w:r>
    </w:p>
    <w:p>
      <w:pPr>
        <w:pStyle w:val="ListBullet"/>
      </w:pPr>
      <w:r>
        <w:rPr>
          <w:rFonts w:ascii="Liberation Serif" w:hAnsi="Liberation Serif"/>
          <w:color w:val="232734"/>
          <w:sz w:val="20"/>
        </w:rPr>
        <w:t>just in time;</w:t>
      </w:r>
    </w:p>
    <w:p>
      <w:pPr>
        <w:pStyle w:val="ListBullet"/>
      </w:pPr>
      <w:r>
        <w:rPr>
          <w:rFonts w:ascii="Liberation Serif" w:hAnsi="Liberation Serif"/>
          <w:color w:val="232734"/>
          <w:sz w:val="20"/>
        </w:rPr>
        <w:t>purpose bound;</w:t>
      </w:r>
    </w:p>
    <w:p>
      <w:pPr>
        <w:pStyle w:val="ListBullet"/>
      </w:pPr>
      <w:r>
        <w:rPr>
          <w:rFonts w:ascii="Liberation Serif" w:hAnsi="Liberation Serif"/>
          <w:color w:val="232734"/>
          <w:sz w:val="20"/>
        </w:rPr>
        <w:t>time limited;</w:t>
      </w:r>
    </w:p>
    <w:p>
      <w:pPr>
        <w:pStyle w:val="ListBullet"/>
      </w:pPr>
      <w:r>
        <w:rPr>
          <w:rFonts w:ascii="Liberation Serif" w:hAnsi="Liberation Serif"/>
          <w:color w:val="232734"/>
          <w:sz w:val="20"/>
        </w:rPr>
        <w:t>approved;</w:t>
      </w:r>
    </w:p>
    <w:p>
      <w:pPr>
        <w:pStyle w:val="ListBullet"/>
      </w:pPr>
      <w:r>
        <w:rPr>
          <w:rFonts w:ascii="Liberation Serif" w:hAnsi="Liberation Serif"/>
          <w:color w:val="232734"/>
          <w:sz w:val="20"/>
        </w:rPr>
        <w:t>strongly authenticated;</w:t>
      </w:r>
    </w:p>
    <w:p>
      <w:pPr>
        <w:pStyle w:val="ListBullet"/>
      </w:pPr>
      <w:r>
        <w:rPr>
          <w:rFonts w:ascii="Liberation Serif" w:hAnsi="Liberation Serif"/>
          <w:color w:val="232734"/>
          <w:sz w:val="20"/>
        </w:rPr>
        <w:t>logged;</w:t>
      </w:r>
    </w:p>
    <w:p>
      <w:pPr>
        <w:pStyle w:val="ListBullet"/>
      </w:pPr>
      <w:r>
        <w:rPr>
          <w:rFonts w:ascii="Liberation Serif" w:hAnsi="Liberation Serif"/>
          <w:color w:val="232734"/>
          <w:sz w:val="20"/>
        </w:rPr>
        <w:t>automatically expired.</w:t>
      </w:r>
    </w:p>
    <w:p>
      <w:pPr>
        <w:spacing w:after="120" w:line="252" w:lineRule="auto"/>
      </w:pPr>
      <w:r>
        <w:rPr>
          <w:rFonts w:ascii="Liberation Serif" w:hAnsi="Liberation Serif"/>
          <w:color w:val="232734"/>
          <w:sz w:val="20"/>
        </w:rPr>
        <w:t>Standing vendor administrator access requires documented justification and heightened review.</w:t>
      </w:r>
    </w:p>
    <w:p>
      <w:pPr>
        <w:pStyle w:val="Heading1"/>
        <w:keepNext/>
        <w:pBdr>
          <w:bottom w:val="single" w:sz="6" w:space="4" w:color="E3E6EB"/>
        </w:pBdr>
      </w:pPr>
      <w:r>
        <w:t>44. Support Access</w:t>
      </w:r>
    </w:p>
    <w:p>
      <w:pPr>
        <w:spacing w:after="120" w:line="252" w:lineRule="auto"/>
      </w:pPr>
      <w:r>
        <w:rPr>
          <w:rFonts w:ascii="Liberation Serif" w:hAnsi="Liberation Serif"/>
          <w:color w:val="232734"/>
          <w:sz w:val="20"/>
        </w:rPr>
        <w:t>Vendor support personnel shall not receive unrestricted access to customer content.</w:t>
      </w:r>
    </w:p>
    <w:p>
      <w:pPr>
        <w:spacing w:after="120" w:line="252" w:lineRule="auto"/>
      </w:pPr>
      <w:r>
        <w:rPr>
          <w:rFonts w:ascii="Liberation Serif" w:hAnsi="Liberation Serif"/>
          <w:color w:val="232734"/>
          <w:sz w:val="20"/>
        </w:rPr>
        <w:t>Support access shall be limited by:</w:t>
      </w:r>
    </w:p>
    <w:p>
      <w:pPr>
        <w:pStyle w:val="ListBullet"/>
      </w:pPr>
      <w:r>
        <w:rPr>
          <w:rFonts w:ascii="Liberation Serif" w:hAnsi="Liberation Serif"/>
          <w:color w:val="232734"/>
          <w:sz w:val="20"/>
        </w:rPr>
        <w:t>tenant;</w:t>
      </w:r>
    </w:p>
    <w:p>
      <w:pPr>
        <w:pStyle w:val="ListBullet"/>
      </w:pPr>
      <w:r>
        <w:rPr>
          <w:rFonts w:ascii="Liberation Serif" w:hAnsi="Liberation Serif"/>
          <w:color w:val="232734"/>
          <w:sz w:val="20"/>
        </w:rPr>
        <w:t>record;</w:t>
      </w:r>
    </w:p>
    <w:p>
      <w:pPr>
        <w:pStyle w:val="ListBullet"/>
      </w:pPr>
      <w:r>
        <w:rPr>
          <w:rFonts w:ascii="Liberation Serif" w:hAnsi="Liberation Serif"/>
          <w:color w:val="232734"/>
          <w:sz w:val="20"/>
        </w:rPr>
        <w:t>time;</w:t>
      </w:r>
    </w:p>
    <w:p>
      <w:pPr>
        <w:pStyle w:val="ListBullet"/>
      </w:pPr>
      <w:r>
        <w:rPr>
          <w:rFonts w:ascii="Liberation Serif" w:hAnsi="Liberation Serif"/>
          <w:color w:val="232734"/>
          <w:sz w:val="20"/>
        </w:rPr>
        <w:t>purpose;</w:t>
      </w:r>
    </w:p>
    <w:p>
      <w:pPr>
        <w:pStyle w:val="ListBullet"/>
      </w:pPr>
      <w:r>
        <w:rPr>
          <w:rFonts w:ascii="Liberation Serif" w:hAnsi="Liberation Serif"/>
          <w:color w:val="232734"/>
          <w:sz w:val="20"/>
        </w:rPr>
        <w:t>approved case.</w:t>
      </w:r>
    </w:p>
    <w:p>
      <w:pPr>
        <w:spacing w:after="120" w:line="252" w:lineRule="auto"/>
      </w:pPr>
      <w:r>
        <w:rPr>
          <w:rFonts w:ascii="Liberation Serif" w:hAnsi="Liberation Serif"/>
          <w:color w:val="232734"/>
          <w:sz w:val="20"/>
        </w:rPr>
        <w:t>Customer or EquineSync authorization shall be obtained as required by controlling access canon.</w:t>
      </w:r>
    </w:p>
    <w:p>
      <w:pPr>
        <w:pStyle w:val="Heading1"/>
        <w:keepNext/>
        <w:pBdr>
          <w:bottom w:val="single" w:sz="6" w:space="4" w:color="E3E6EB"/>
        </w:pBdr>
      </w:pPr>
      <w:r>
        <w:t>45. Integration Permissions</w:t>
      </w:r>
    </w:p>
    <w:p>
      <w:pPr>
        <w:spacing w:after="120" w:line="252" w:lineRule="auto"/>
      </w:pPr>
      <w:r>
        <w:rPr>
          <w:rFonts w:ascii="Liberation Serif" w:hAnsi="Liberation Serif"/>
          <w:color w:val="232734"/>
          <w:sz w:val="20"/>
        </w:rPr>
        <w:t>Each integration shall have a documented permission model identifying:</w:t>
      </w:r>
    </w:p>
    <w:p>
      <w:pPr>
        <w:pStyle w:val="ListBullet"/>
      </w:pPr>
      <w:r>
        <w:rPr>
          <w:rFonts w:ascii="Liberation Serif" w:hAnsi="Liberation Serif"/>
          <w:color w:val="232734"/>
          <w:sz w:val="20"/>
        </w:rPr>
        <w:t>data read;</w:t>
      </w:r>
    </w:p>
    <w:p>
      <w:pPr>
        <w:pStyle w:val="ListBullet"/>
      </w:pPr>
      <w:r>
        <w:rPr>
          <w:rFonts w:ascii="Liberation Serif" w:hAnsi="Liberation Serif"/>
          <w:color w:val="232734"/>
          <w:sz w:val="20"/>
        </w:rPr>
        <w:t>data written;</w:t>
      </w:r>
    </w:p>
    <w:p>
      <w:pPr>
        <w:pStyle w:val="ListBullet"/>
      </w:pPr>
      <w:r>
        <w:rPr>
          <w:rFonts w:ascii="Liberation Serif" w:hAnsi="Liberation Serif"/>
          <w:color w:val="232734"/>
          <w:sz w:val="20"/>
        </w:rPr>
        <w:t>actions performed;</w:t>
      </w:r>
    </w:p>
    <w:p>
      <w:pPr>
        <w:pStyle w:val="ListBullet"/>
      </w:pPr>
      <w:r>
        <w:rPr>
          <w:rFonts w:ascii="Liberation Serif" w:hAnsi="Liberation Serif"/>
          <w:color w:val="232734"/>
          <w:sz w:val="20"/>
        </w:rPr>
        <w:t>tenant scope;</w:t>
      </w:r>
    </w:p>
    <w:p>
      <w:pPr>
        <w:pStyle w:val="ListBullet"/>
      </w:pPr>
      <w:r>
        <w:rPr>
          <w:rFonts w:ascii="Liberation Serif" w:hAnsi="Liberation Serif"/>
          <w:color w:val="232734"/>
          <w:sz w:val="20"/>
        </w:rPr>
        <w:t>user authority;</w:t>
      </w:r>
    </w:p>
    <w:p>
      <w:pPr>
        <w:pStyle w:val="ListBullet"/>
      </w:pPr>
      <w:r>
        <w:rPr>
          <w:rFonts w:ascii="Liberation Serif" w:hAnsi="Liberation Serif"/>
          <w:color w:val="232734"/>
          <w:sz w:val="20"/>
        </w:rPr>
        <w:t>token scope;</w:t>
      </w:r>
    </w:p>
    <w:p>
      <w:pPr>
        <w:pStyle w:val="ListBullet"/>
      </w:pPr>
      <w:r>
        <w:rPr>
          <w:rFonts w:ascii="Liberation Serif" w:hAnsi="Liberation Serif"/>
          <w:color w:val="232734"/>
          <w:sz w:val="20"/>
        </w:rPr>
        <w:t>webhook authority;</w:t>
      </w:r>
    </w:p>
    <w:p>
      <w:pPr>
        <w:pStyle w:val="ListBullet"/>
      </w:pPr>
      <w:r>
        <w:rPr>
          <w:rFonts w:ascii="Liberation Serif" w:hAnsi="Liberation Serif"/>
          <w:color w:val="232734"/>
          <w:sz w:val="20"/>
        </w:rPr>
        <w:t>error behavior;</w:t>
      </w:r>
    </w:p>
    <w:p>
      <w:pPr>
        <w:pStyle w:val="ListBullet"/>
      </w:pPr>
      <w:r>
        <w:rPr>
          <w:rFonts w:ascii="Liberation Serif" w:hAnsi="Liberation Serif"/>
          <w:color w:val="232734"/>
          <w:sz w:val="20"/>
        </w:rPr>
        <w:t>revocation method.</w:t>
      </w:r>
    </w:p>
    <w:p>
      <w:pPr>
        <w:spacing w:after="120" w:line="252" w:lineRule="auto"/>
      </w:pPr>
      <w:r>
        <w:rPr>
          <w:rFonts w:ascii="Liberation Serif" w:hAnsi="Liberation Serif"/>
          <w:color w:val="232734"/>
          <w:sz w:val="20"/>
        </w:rPr>
        <w:t>Read access shall not imply write authority.</w:t>
      </w:r>
    </w:p>
    <w:p>
      <w:pPr>
        <w:spacing w:after="120" w:line="252" w:lineRule="auto"/>
      </w:pPr>
      <w:r>
        <w:rPr>
          <w:rFonts w:ascii="Liberation Serif" w:hAnsi="Liberation Serif"/>
          <w:color w:val="232734"/>
          <w:sz w:val="20"/>
        </w:rPr>
        <w:t>Write authority shall not imply deletion or administration authority.</w:t>
      </w:r>
    </w:p>
    <w:p>
      <w:pPr>
        <w:pStyle w:val="Heading1"/>
        <w:keepNext/>
        <w:pBdr>
          <w:bottom w:val="single" w:sz="6" w:space="4" w:color="E3E6EB"/>
        </w:pBdr>
      </w:pPr>
      <w:r>
        <w:t>46. Webhook and Event Security</w:t>
      </w:r>
    </w:p>
    <w:p>
      <w:pPr>
        <w:spacing w:after="120" w:line="252" w:lineRule="auto"/>
      </w:pPr>
      <w:r>
        <w:rPr>
          <w:rFonts w:ascii="Liberation Serif" w:hAnsi="Liberation Serif"/>
          <w:color w:val="232734"/>
          <w:sz w:val="20"/>
        </w:rPr>
        <w:t>Vendor webhooks and event channels shall address:</w:t>
      </w:r>
    </w:p>
    <w:p>
      <w:pPr>
        <w:pStyle w:val="ListBullet"/>
      </w:pPr>
      <w:r>
        <w:rPr>
          <w:rFonts w:ascii="Liberation Serif" w:hAnsi="Liberation Serif"/>
          <w:color w:val="232734"/>
          <w:sz w:val="20"/>
        </w:rPr>
        <w:t>authentication;</w:t>
      </w:r>
    </w:p>
    <w:p>
      <w:pPr>
        <w:pStyle w:val="ListBullet"/>
      </w:pPr>
      <w:r>
        <w:rPr>
          <w:rFonts w:ascii="Liberation Serif" w:hAnsi="Liberation Serif"/>
          <w:color w:val="232734"/>
          <w:sz w:val="20"/>
        </w:rPr>
        <w:t>signature validation;</w:t>
      </w:r>
    </w:p>
    <w:p>
      <w:pPr>
        <w:pStyle w:val="ListBullet"/>
      </w:pPr>
      <w:r>
        <w:rPr>
          <w:rFonts w:ascii="Liberation Serif" w:hAnsi="Liberation Serif"/>
          <w:color w:val="232734"/>
          <w:sz w:val="20"/>
        </w:rPr>
        <w:t>replay protection;</w:t>
      </w:r>
    </w:p>
    <w:p>
      <w:pPr>
        <w:pStyle w:val="ListBullet"/>
      </w:pPr>
      <w:r>
        <w:rPr>
          <w:rFonts w:ascii="Liberation Serif" w:hAnsi="Liberation Serif"/>
          <w:color w:val="232734"/>
          <w:sz w:val="20"/>
        </w:rPr>
        <w:t>rate limiting;</w:t>
      </w:r>
    </w:p>
    <w:p>
      <w:pPr>
        <w:pStyle w:val="ListBullet"/>
      </w:pPr>
      <w:r>
        <w:rPr>
          <w:rFonts w:ascii="Liberation Serif" w:hAnsi="Liberation Serif"/>
          <w:color w:val="232734"/>
          <w:sz w:val="20"/>
        </w:rPr>
        <w:t>source validation;</w:t>
      </w:r>
    </w:p>
    <w:p>
      <w:pPr>
        <w:pStyle w:val="ListBullet"/>
      </w:pPr>
      <w:r>
        <w:rPr>
          <w:rFonts w:ascii="Liberation Serif" w:hAnsi="Liberation Serif"/>
          <w:color w:val="232734"/>
          <w:sz w:val="20"/>
        </w:rPr>
        <w:t>tenant routing;</w:t>
      </w:r>
    </w:p>
    <w:p>
      <w:pPr>
        <w:pStyle w:val="ListBullet"/>
      </w:pPr>
      <w:r>
        <w:rPr>
          <w:rFonts w:ascii="Liberation Serif" w:hAnsi="Liberation Serif"/>
          <w:color w:val="232734"/>
          <w:sz w:val="20"/>
        </w:rPr>
        <w:t>logging;</w:t>
      </w:r>
    </w:p>
    <w:p>
      <w:pPr>
        <w:pStyle w:val="ListBullet"/>
      </w:pPr>
      <w:r>
        <w:rPr>
          <w:rFonts w:ascii="Liberation Serif" w:hAnsi="Liberation Serif"/>
          <w:color w:val="232734"/>
          <w:sz w:val="20"/>
        </w:rPr>
        <w:t>failure handling.</w:t>
      </w:r>
    </w:p>
    <w:p>
      <w:pPr>
        <w:spacing w:after="120" w:line="252" w:lineRule="auto"/>
      </w:pPr>
      <w:r>
        <w:rPr>
          <w:rFonts w:ascii="Liberation Serif" w:hAnsi="Liberation Serif"/>
          <w:color w:val="232734"/>
          <w:sz w:val="20"/>
        </w:rPr>
        <w:t>Unsigned or unauthenticated vendor events shall not be trusted for authoritative mutation without additional validation.</w:t>
      </w:r>
    </w:p>
    <w:p>
      <w:pPr>
        <w:pStyle w:val="Heading1"/>
        <w:keepNext/>
        <w:pBdr>
          <w:bottom w:val="single" w:sz="6" w:space="4" w:color="E3E6EB"/>
        </w:pBdr>
      </w:pPr>
      <w:r>
        <w:t>47. API Security</w:t>
      </w:r>
    </w:p>
    <w:p>
      <w:pPr>
        <w:spacing w:after="120" w:line="252" w:lineRule="auto"/>
      </w:pPr>
      <w:r>
        <w:rPr>
          <w:rFonts w:ascii="Liberation Serif" w:hAnsi="Liberation Serif"/>
          <w:color w:val="232734"/>
          <w:sz w:val="20"/>
        </w:rPr>
        <w:t>Vendor API integrations shall use:</w:t>
      </w:r>
    </w:p>
    <w:p>
      <w:pPr>
        <w:pStyle w:val="ListBullet"/>
      </w:pPr>
      <w:r>
        <w:rPr>
          <w:rFonts w:ascii="Liberation Serif" w:hAnsi="Liberation Serif"/>
          <w:color w:val="232734"/>
          <w:sz w:val="20"/>
        </w:rPr>
        <w:t>scoped credentials;</w:t>
      </w:r>
    </w:p>
    <w:p>
      <w:pPr>
        <w:pStyle w:val="ListBullet"/>
      </w:pPr>
      <w:r>
        <w:rPr>
          <w:rFonts w:ascii="Liberation Serif" w:hAnsi="Liberation Serif"/>
          <w:color w:val="232734"/>
          <w:sz w:val="20"/>
        </w:rPr>
        <w:t>secure transport;</w:t>
      </w:r>
    </w:p>
    <w:p>
      <w:pPr>
        <w:pStyle w:val="ListBullet"/>
      </w:pPr>
      <w:r>
        <w:rPr>
          <w:rFonts w:ascii="Liberation Serif" w:hAnsi="Liberation Serif"/>
          <w:color w:val="232734"/>
          <w:sz w:val="20"/>
        </w:rPr>
        <w:t>rotation;</w:t>
      </w:r>
    </w:p>
    <w:p>
      <w:pPr>
        <w:pStyle w:val="ListBullet"/>
      </w:pPr>
      <w:r>
        <w:rPr>
          <w:rFonts w:ascii="Liberation Serif" w:hAnsi="Liberation Serif"/>
          <w:color w:val="232734"/>
          <w:sz w:val="20"/>
        </w:rPr>
        <w:t>rate limits;</w:t>
      </w:r>
    </w:p>
    <w:p>
      <w:pPr>
        <w:pStyle w:val="ListBullet"/>
      </w:pPr>
      <w:r>
        <w:rPr>
          <w:rFonts w:ascii="Liberation Serif" w:hAnsi="Liberation Serif"/>
          <w:color w:val="232734"/>
          <w:sz w:val="20"/>
        </w:rPr>
        <w:t>error handling;</w:t>
      </w:r>
    </w:p>
    <w:p>
      <w:pPr>
        <w:pStyle w:val="ListBullet"/>
      </w:pPr>
      <w:r>
        <w:rPr>
          <w:rFonts w:ascii="Liberation Serif" w:hAnsi="Liberation Serif"/>
          <w:color w:val="232734"/>
          <w:sz w:val="20"/>
        </w:rPr>
        <w:t>audit logging;</w:t>
      </w:r>
    </w:p>
    <w:p>
      <w:pPr>
        <w:pStyle w:val="ListBullet"/>
      </w:pPr>
      <w:r>
        <w:rPr>
          <w:rFonts w:ascii="Liberation Serif" w:hAnsi="Liberation Serif"/>
          <w:color w:val="232734"/>
          <w:sz w:val="20"/>
        </w:rPr>
        <w:t>tenant-aware authorization;</w:t>
      </w:r>
    </w:p>
    <w:p>
      <w:pPr>
        <w:pStyle w:val="ListBullet"/>
      </w:pPr>
      <w:r>
        <w:rPr>
          <w:rFonts w:ascii="Liberation Serif" w:hAnsi="Liberation Serif"/>
          <w:color w:val="232734"/>
          <w:sz w:val="20"/>
        </w:rPr>
        <w:t>input validation;</w:t>
      </w:r>
    </w:p>
    <w:p>
      <w:pPr>
        <w:pStyle w:val="ListBullet"/>
      </w:pPr>
      <w:r>
        <w:rPr>
          <w:rFonts w:ascii="Liberation Serif" w:hAnsi="Liberation Serif"/>
          <w:color w:val="232734"/>
          <w:sz w:val="20"/>
        </w:rPr>
        <w:t>output validation.</w:t>
      </w:r>
    </w:p>
    <w:p>
      <w:pPr>
        <w:spacing w:after="120" w:line="252" w:lineRule="auto"/>
      </w:pPr>
      <w:r>
        <w:rPr>
          <w:rFonts w:ascii="Liberation Serif" w:hAnsi="Liberation Serif"/>
          <w:color w:val="232734"/>
          <w:sz w:val="20"/>
        </w:rPr>
        <w:t>Direct vendor identifiers shall not bypass EquineSync authorization.</w:t>
      </w:r>
    </w:p>
    <w:p>
      <w:pPr>
        <w:pStyle w:val="Heading1"/>
        <w:keepNext/>
        <w:pBdr>
          <w:bottom w:val="single" w:sz="6" w:space="4" w:color="E3E6EB"/>
        </w:pBdr>
      </w:pPr>
      <w:r>
        <w:t>48. Vendor Validation Before Activation</w:t>
      </w:r>
    </w:p>
    <w:p>
      <w:pPr>
        <w:spacing w:after="120" w:line="252" w:lineRule="auto"/>
      </w:pPr>
      <w:r>
        <w:rPr>
          <w:rFonts w:ascii="Liberation Serif" w:hAnsi="Liberation Serif"/>
          <w:color w:val="232734"/>
          <w:sz w:val="20"/>
        </w:rPr>
        <w:t>Before production activation, EquineSync shall validate:</w:t>
      </w:r>
    </w:p>
    <w:p>
      <w:pPr>
        <w:pStyle w:val="ListBullet"/>
      </w:pPr>
      <w:r>
        <w:rPr>
          <w:rFonts w:ascii="Liberation Serif" w:hAnsi="Liberation Serif"/>
          <w:color w:val="232734"/>
          <w:sz w:val="20"/>
        </w:rPr>
        <w:t>authentication;</w:t>
      </w:r>
    </w:p>
    <w:p>
      <w:pPr>
        <w:pStyle w:val="ListBullet"/>
      </w:pPr>
      <w:r>
        <w:rPr>
          <w:rFonts w:ascii="Liberation Serif" w:hAnsi="Liberation Serif"/>
          <w:color w:val="232734"/>
          <w:sz w:val="20"/>
        </w:rPr>
        <w:t>authorization;</w:t>
      </w:r>
    </w:p>
    <w:p>
      <w:pPr>
        <w:pStyle w:val="ListBullet"/>
      </w:pPr>
      <w:r>
        <w:rPr>
          <w:rFonts w:ascii="Liberation Serif" w:hAnsi="Liberation Serif"/>
          <w:color w:val="232734"/>
          <w:sz w:val="20"/>
        </w:rPr>
        <w:t>tenant isolation;</w:t>
      </w:r>
    </w:p>
    <w:p>
      <w:pPr>
        <w:pStyle w:val="ListBullet"/>
      </w:pPr>
      <w:r>
        <w:rPr>
          <w:rFonts w:ascii="Liberation Serif" w:hAnsi="Liberation Serif"/>
          <w:color w:val="232734"/>
          <w:sz w:val="20"/>
        </w:rPr>
        <w:t>data minimization;</w:t>
      </w:r>
    </w:p>
    <w:p>
      <w:pPr>
        <w:pStyle w:val="ListBullet"/>
      </w:pPr>
      <w:r>
        <w:rPr>
          <w:rFonts w:ascii="Liberation Serif" w:hAnsi="Liberation Serif"/>
          <w:color w:val="232734"/>
          <w:sz w:val="20"/>
        </w:rPr>
        <w:t>error handling;</w:t>
      </w:r>
    </w:p>
    <w:p>
      <w:pPr>
        <w:pStyle w:val="ListBullet"/>
      </w:pPr>
      <w:r>
        <w:rPr>
          <w:rFonts w:ascii="Liberation Serif" w:hAnsi="Liberation Serif"/>
          <w:color w:val="232734"/>
          <w:sz w:val="20"/>
        </w:rPr>
        <w:t>logging;</w:t>
      </w:r>
    </w:p>
    <w:p>
      <w:pPr>
        <w:pStyle w:val="ListBullet"/>
      </w:pPr>
      <w:r>
        <w:rPr>
          <w:rFonts w:ascii="Liberation Serif" w:hAnsi="Liberation Serif"/>
          <w:color w:val="232734"/>
          <w:sz w:val="20"/>
        </w:rPr>
        <w:t>revocation;</w:t>
      </w:r>
    </w:p>
    <w:p>
      <w:pPr>
        <w:pStyle w:val="ListBullet"/>
      </w:pPr>
      <w:r>
        <w:rPr>
          <w:rFonts w:ascii="Liberation Serif" w:hAnsi="Liberation Serif"/>
          <w:color w:val="232734"/>
          <w:sz w:val="20"/>
        </w:rPr>
        <w:t>retention;</w:t>
      </w:r>
    </w:p>
    <w:p>
      <w:pPr>
        <w:pStyle w:val="ListBullet"/>
      </w:pPr>
      <w:r>
        <w:rPr>
          <w:rFonts w:ascii="Liberation Serif" w:hAnsi="Liberation Serif"/>
          <w:color w:val="232734"/>
          <w:sz w:val="20"/>
        </w:rPr>
        <w:t>deletion;</w:t>
      </w:r>
    </w:p>
    <w:p>
      <w:pPr>
        <w:pStyle w:val="ListBullet"/>
      </w:pPr>
      <w:r>
        <w:rPr>
          <w:rFonts w:ascii="Liberation Serif" w:hAnsi="Liberation Serif"/>
          <w:color w:val="232734"/>
          <w:sz w:val="20"/>
        </w:rPr>
        <w:t>failure behavior;</w:t>
      </w:r>
    </w:p>
    <w:p>
      <w:pPr>
        <w:pStyle w:val="ListBullet"/>
      </w:pPr>
      <w:r>
        <w:rPr>
          <w:rFonts w:ascii="Liberation Serif" w:hAnsi="Liberation Serif"/>
          <w:color w:val="232734"/>
          <w:sz w:val="20"/>
        </w:rPr>
        <w:t>support access;</w:t>
      </w:r>
    </w:p>
    <w:p>
      <w:pPr>
        <w:pStyle w:val="ListBullet"/>
      </w:pPr>
      <w:r>
        <w:rPr>
          <w:rFonts w:ascii="Liberation Serif" w:hAnsi="Liberation Serif"/>
          <w:color w:val="232734"/>
          <w:sz w:val="20"/>
        </w:rPr>
        <w:t>incident contact.</w:t>
      </w:r>
    </w:p>
    <w:p>
      <w:pPr>
        <w:spacing w:after="120" w:line="252" w:lineRule="auto"/>
      </w:pPr>
      <w:r>
        <w:rPr>
          <w:rFonts w:ascii="Liberation Serif" w:hAnsi="Liberation Serif"/>
          <w:color w:val="232734"/>
          <w:sz w:val="20"/>
        </w:rPr>
        <w:t>Critical integrations shall include prohibited-action testing, not merely successful happy-path testing.</w:t>
      </w:r>
    </w:p>
    <w:p>
      <w:pPr>
        <w:pStyle w:val="Heading1"/>
        <w:keepNext/>
        <w:pBdr>
          <w:bottom w:val="single" w:sz="6" w:space="4" w:color="E3E6EB"/>
        </w:pBdr>
      </w:pPr>
      <w:r>
        <w:t>49. Change Notification</w:t>
      </w:r>
    </w:p>
    <w:p>
      <w:pPr>
        <w:spacing w:after="120" w:line="252" w:lineRule="auto"/>
      </w:pPr>
      <w:r>
        <w:rPr>
          <w:rFonts w:ascii="Liberation Serif" w:hAnsi="Liberation Serif"/>
          <w:color w:val="232734"/>
          <w:sz w:val="20"/>
        </w:rPr>
        <w:t>Critical vendors should provide reasonable notice of material changes involving:</w:t>
      </w:r>
    </w:p>
    <w:p>
      <w:pPr>
        <w:pStyle w:val="ListBullet"/>
      </w:pPr>
      <w:r>
        <w:rPr>
          <w:rFonts w:ascii="Liberation Serif" w:hAnsi="Liberation Serif"/>
          <w:color w:val="232734"/>
          <w:sz w:val="20"/>
        </w:rPr>
        <w:t>subprocessors;</w:t>
      </w:r>
    </w:p>
    <w:p>
      <w:pPr>
        <w:pStyle w:val="ListBullet"/>
      </w:pPr>
      <w:r>
        <w:rPr>
          <w:rFonts w:ascii="Liberation Serif" w:hAnsi="Liberation Serif"/>
          <w:color w:val="232734"/>
          <w:sz w:val="20"/>
        </w:rPr>
        <w:t>processing location;</w:t>
      </w:r>
    </w:p>
    <w:p>
      <w:pPr>
        <w:pStyle w:val="ListBullet"/>
      </w:pPr>
      <w:r>
        <w:rPr>
          <w:rFonts w:ascii="Liberation Serif" w:hAnsi="Liberation Serif"/>
          <w:color w:val="232734"/>
          <w:sz w:val="20"/>
        </w:rPr>
        <w:t>security controls;</w:t>
      </w:r>
    </w:p>
    <w:p>
      <w:pPr>
        <w:pStyle w:val="ListBullet"/>
      </w:pPr>
      <w:r>
        <w:rPr>
          <w:rFonts w:ascii="Liberation Serif" w:hAnsi="Liberation Serif"/>
          <w:color w:val="232734"/>
          <w:sz w:val="20"/>
        </w:rPr>
        <w:t>APIs;</w:t>
      </w:r>
    </w:p>
    <w:p>
      <w:pPr>
        <w:pStyle w:val="ListBullet"/>
      </w:pPr>
      <w:r>
        <w:rPr>
          <w:rFonts w:ascii="Liberation Serif" w:hAnsi="Liberation Serif"/>
          <w:color w:val="232734"/>
          <w:sz w:val="20"/>
        </w:rPr>
        <w:t>authentication;</w:t>
      </w:r>
    </w:p>
    <w:p>
      <w:pPr>
        <w:pStyle w:val="ListBullet"/>
      </w:pPr>
      <w:r>
        <w:rPr>
          <w:rFonts w:ascii="Liberation Serif" w:hAnsi="Liberation Serif"/>
          <w:color w:val="232734"/>
          <w:sz w:val="20"/>
        </w:rPr>
        <w:t>retention;</w:t>
      </w:r>
    </w:p>
    <w:p>
      <w:pPr>
        <w:pStyle w:val="ListBullet"/>
      </w:pPr>
      <w:r>
        <w:rPr>
          <w:rFonts w:ascii="Liberation Serif" w:hAnsi="Liberation Serif"/>
          <w:color w:val="232734"/>
          <w:sz w:val="20"/>
        </w:rPr>
        <w:t>service architecture;</w:t>
      </w:r>
    </w:p>
    <w:p>
      <w:pPr>
        <w:pStyle w:val="ListBullet"/>
      </w:pPr>
      <w:r>
        <w:rPr>
          <w:rFonts w:ascii="Liberation Serif" w:hAnsi="Liberation Serif"/>
          <w:color w:val="232734"/>
          <w:sz w:val="20"/>
        </w:rPr>
        <w:t>ownership;</w:t>
      </w:r>
    </w:p>
    <w:p>
      <w:pPr>
        <w:pStyle w:val="ListBullet"/>
      </w:pPr>
      <w:r>
        <w:rPr>
          <w:rFonts w:ascii="Liberation Serif" w:hAnsi="Liberation Serif"/>
          <w:color w:val="232734"/>
          <w:sz w:val="20"/>
        </w:rPr>
        <w:t>terms;</w:t>
      </w:r>
    </w:p>
    <w:p>
      <w:pPr>
        <w:pStyle w:val="ListBullet"/>
      </w:pPr>
      <w:r>
        <w:rPr>
          <w:rFonts w:ascii="Liberation Serif" w:hAnsi="Liberation Serif"/>
          <w:color w:val="232734"/>
          <w:sz w:val="20"/>
        </w:rPr>
        <w:t>end of life.</w:t>
      </w:r>
    </w:p>
    <w:p>
      <w:pPr>
        <w:spacing w:after="120" w:line="252" w:lineRule="auto"/>
      </w:pPr>
      <w:r>
        <w:rPr>
          <w:rFonts w:ascii="Liberation Serif" w:hAnsi="Liberation Serif"/>
          <w:color w:val="232734"/>
          <w:sz w:val="20"/>
        </w:rPr>
        <w:t>Material changes shall trigger reassessment where risk may change.</w:t>
      </w:r>
    </w:p>
    <w:p>
      <w:pPr>
        <w:pStyle w:val="Heading1"/>
        <w:keepNext/>
        <w:pBdr>
          <w:bottom w:val="single" w:sz="6" w:space="4" w:color="E3E6EB"/>
        </w:pBdr>
      </w:pPr>
      <w:r>
        <w:t>50. Continuous Monitoring</w:t>
      </w:r>
    </w:p>
    <w:p>
      <w:pPr>
        <w:spacing w:after="120" w:line="252" w:lineRule="auto"/>
      </w:pPr>
      <w:r>
        <w:rPr>
          <w:rFonts w:ascii="Liberation Serif" w:hAnsi="Liberation Serif"/>
          <w:color w:val="232734"/>
          <w:sz w:val="20"/>
        </w:rPr>
        <w:t>Vendor monitoring may include:</w:t>
      </w:r>
    </w:p>
    <w:p>
      <w:pPr>
        <w:pStyle w:val="ListBullet"/>
      </w:pPr>
      <w:r>
        <w:rPr>
          <w:rFonts w:ascii="Liberation Serif" w:hAnsi="Liberation Serif"/>
          <w:color w:val="232734"/>
          <w:sz w:val="20"/>
        </w:rPr>
        <w:t>security advisories;</w:t>
      </w:r>
    </w:p>
    <w:p>
      <w:pPr>
        <w:pStyle w:val="ListBullet"/>
      </w:pPr>
      <w:r>
        <w:rPr>
          <w:rFonts w:ascii="Liberation Serif" w:hAnsi="Liberation Serif"/>
          <w:color w:val="232734"/>
          <w:sz w:val="20"/>
        </w:rPr>
        <w:t>incident notices;</w:t>
      </w:r>
    </w:p>
    <w:p>
      <w:pPr>
        <w:pStyle w:val="ListBullet"/>
      </w:pPr>
      <w:r>
        <w:rPr>
          <w:rFonts w:ascii="Liberation Serif" w:hAnsi="Liberation Serif"/>
          <w:color w:val="232734"/>
          <w:sz w:val="20"/>
        </w:rPr>
        <w:t>status pages;</w:t>
      </w:r>
    </w:p>
    <w:p>
      <w:pPr>
        <w:pStyle w:val="ListBullet"/>
      </w:pPr>
      <w:r>
        <w:rPr>
          <w:rFonts w:ascii="Liberation Serif" w:hAnsi="Liberation Serif"/>
          <w:color w:val="232734"/>
          <w:sz w:val="20"/>
        </w:rPr>
        <w:t>audit-report updates;</w:t>
      </w:r>
    </w:p>
    <w:p>
      <w:pPr>
        <w:pStyle w:val="ListBullet"/>
      </w:pPr>
      <w:r>
        <w:rPr>
          <w:rFonts w:ascii="Liberation Serif" w:hAnsi="Liberation Serif"/>
          <w:color w:val="232734"/>
          <w:sz w:val="20"/>
        </w:rPr>
        <w:t>certification expiration;</w:t>
      </w:r>
    </w:p>
    <w:p>
      <w:pPr>
        <w:pStyle w:val="ListBullet"/>
      </w:pPr>
      <w:r>
        <w:rPr>
          <w:rFonts w:ascii="Liberation Serif" w:hAnsi="Liberation Serif"/>
          <w:color w:val="232734"/>
          <w:sz w:val="20"/>
        </w:rPr>
        <w:t>service changes;</w:t>
      </w:r>
    </w:p>
    <w:p>
      <w:pPr>
        <w:pStyle w:val="ListBullet"/>
      </w:pPr>
      <w:r>
        <w:rPr>
          <w:rFonts w:ascii="Liberation Serif" w:hAnsi="Liberation Serif"/>
          <w:color w:val="232734"/>
          <w:sz w:val="20"/>
        </w:rPr>
        <w:t>subprocessor changes;</w:t>
      </w:r>
    </w:p>
    <w:p>
      <w:pPr>
        <w:pStyle w:val="ListBullet"/>
      </w:pPr>
      <w:r>
        <w:rPr>
          <w:rFonts w:ascii="Liberation Serif" w:hAnsi="Liberation Serif"/>
          <w:color w:val="232734"/>
          <w:sz w:val="20"/>
        </w:rPr>
        <w:t>breach history;</w:t>
      </w:r>
    </w:p>
    <w:p>
      <w:pPr>
        <w:pStyle w:val="ListBullet"/>
      </w:pPr>
      <w:r>
        <w:rPr>
          <w:rFonts w:ascii="Liberation Serif" w:hAnsi="Liberation Serif"/>
          <w:color w:val="232734"/>
          <w:sz w:val="20"/>
        </w:rPr>
        <w:t>financial health;</w:t>
      </w:r>
    </w:p>
    <w:p>
      <w:pPr>
        <w:pStyle w:val="ListBullet"/>
      </w:pPr>
      <w:r>
        <w:rPr>
          <w:rFonts w:ascii="Liberation Serif" w:hAnsi="Liberation Serif"/>
          <w:color w:val="232734"/>
          <w:sz w:val="20"/>
        </w:rPr>
        <w:t>performance;</w:t>
      </w:r>
    </w:p>
    <w:p>
      <w:pPr>
        <w:pStyle w:val="ListBullet"/>
      </w:pPr>
      <w:r>
        <w:rPr>
          <w:rFonts w:ascii="Liberation Serif" w:hAnsi="Liberation Serif"/>
          <w:color w:val="232734"/>
          <w:sz w:val="20"/>
        </w:rPr>
        <w:t>support responsiveness;</w:t>
      </w:r>
    </w:p>
    <w:p>
      <w:pPr>
        <w:pStyle w:val="ListBullet"/>
      </w:pPr>
      <w:r>
        <w:rPr>
          <w:rFonts w:ascii="Liberation Serif" w:hAnsi="Liberation Serif"/>
          <w:color w:val="232734"/>
          <w:sz w:val="20"/>
        </w:rPr>
        <w:t>public vulnerability disclosures;</w:t>
      </w:r>
    </w:p>
    <w:p>
      <w:pPr>
        <w:pStyle w:val="ListBullet"/>
      </w:pPr>
      <w:r>
        <w:rPr>
          <w:rFonts w:ascii="Liberation Serif" w:hAnsi="Liberation Serif"/>
          <w:color w:val="232734"/>
          <w:sz w:val="20"/>
        </w:rPr>
        <w:t>regulatory action.</w:t>
      </w:r>
    </w:p>
    <w:p>
      <w:pPr>
        <w:spacing w:after="120" w:line="252" w:lineRule="auto"/>
      </w:pPr>
      <w:r>
        <w:rPr>
          <w:rFonts w:ascii="Liberation Serif" w:hAnsi="Liberation Serif"/>
          <w:color w:val="232734"/>
          <w:sz w:val="20"/>
        </w:rPr>
        <w:t>Monitoring shall be proportionate to risk.</w:t>
      </w:r>
    </w:p>
    <w:p>
      <w:pPr>
        <w:pStyle w:val="Heading1"/>
        <w:keepNext/>
        <w:pBdr>
          <w:bottom w:val="single" w:sz="6" w:space="4" w:color="E3E6EB"/>
        </w:pBdr>
      </w:pPr>
      <w:r>
        <w:t>51. Periodic Reassessment</w:t>
      </w:r>
    </w:p>
    <w:p>
      <w:pPr>
        <w:spacing w:after="120" w:line="252" w:lineRule="auto"/>
      </w:pPr>
      <w:r>
        <w:rPr>
          <w:rFonts w:ascii="Liberation Serif" w:hAnsi="Liberation Serif"/>
          <w:color w:val="232734"/>
          <w:sz w:val="20"/>
        </w:rPr>
        <w:t>Critical and High-risk vendors shall be reassessed periodically.</w:t>
      </w:r>
    </w:p>
    <w:p>
      <w:pPr>
        <w:spacing w:after="120" w:line="252" w:lineRule="auto"/>
      </w:pPr>
      <w:r>
        <w:rPr>
          <w:rFonts w:ascii="Liberation Serif" w:hAnsi="Liberation Serif"/>
          <w:color w:val="232734"/>
          <w:sz w:val="20"/>
        </w:rPr>
        <w:t>Reassessment shall consider:</w:t>
      </w:r>
    </w:p>
    <w:p>
      <w:pPr>
        <w:pStyle w:val="ListBullet"/>
      </w:pPr>
      <w:r>
        <w:rPr>
          <w:rFonts w:ascii="Liberation Serif" w:hAnsi="Liberation Serif"/>
          <w:color w:val="232734"/>
          <w:sz w:val="20"/>
        </w:rPr>
        <w:t>current data and access;</w:t>
      </w:r>
    </w:p>
    <w:p>
      <w:pPr>
        <w:pStyle w:val="ListBullet"/>
      </w:pPr>
      <w:r>
        <w:rPr>
          <w:rFonts w:ascii="Liberation Serif" w:hAnsi="Liberation Serif"/>
          <w:color w:val="232734"/>
          <w:sz w:val="20"/>
        </w:rPr>
        <w:t>architecture changes;</w:t>
      </w:r>
    </w:p>
    <w:p>
      <w:pPr>
        <w:pStyle w:val="ListBullet"/>
      </w:pPr>
      <w:r>
        <w:rPr>
          <w:rFonts w:ascii="Liberation Serif" w:hAnsi="Liberation Serif"/>
          <w:color w:val="232734"/>
          <w:sz w:val="20"/>
        </w:rPr>
        <w:t>incident history;</w:t>
      </w:r>
    </w:p>
    <w:p>
      <w:pPr>
        <w:pStyle w:val="ListBullet"/>
      </w:pPr>
      <w:r>
        <w:rPr>
          <w:rFonts w:ascii="Liberation Serif" w:hAnsi="Liberation Serif"/>
          <w:color w:val="232734"/>
          <w:sz w:val="20"/>
        </w:rPr>
        <w:t>evidence currency;</w:t>
      </w:r>
    </w:p>
    <w:p>
      <w:pPr>
        <w:pStyle w:val="ListBullet"/>
      </w:pPr>
      <w:r>
        <w:rPr>
          <w:rFonts w:ascii="Liberation Serif" w:hAnsi="Liberation Serif"/>
          <w:color w:val="232734"/>
          <w:sz w:val="20"/>
        </w:rPr>
        <w:t>contract status;</w:t>
      </w:r>
    </w:p>
    <w:p>
      <w:pPr>
        <w:pStyle w:val="ListBullet"/>
      </w:pPr>
      <w:r>
        <w:rPr>
          <w:rFonts w:ascii="Liberation Serif" w:hAnsi="Liberation Serif"/>
          <w:color w:val="232734"/>
          <w:sz w:val="20"/>
        </w:rPr>
        <w:t>subprocessor changes;</w:t>
      </w:r>
    </w:p>
    <w:p>
      <w:pPr>
        <w:pStyle w:val="ListBullet"/>
      </w:pPr>
      <w:r>
        <w:rPr>
          <w:rFonts w:ascii="Liberation Serif" w:hAnsi="Liberation Serif"/>
          <w:color w:val="232734"/>
          <w:sz w:val="20"/>
        </w:rPr>
        <w:t>retained exceptions;</w:t>
      </w:r>
    </w:p>
    <w:p>
      <w:pPr>
        <w:pStyle w:val="ListBullet"/>
      </w:pPr>
      <w:r>
        <w:rPr>
          <w:rFonts w:ascii="Liberation Serif" w:hAnsi="Liberation Serif"/>
          <w:color w:val="232734"/>
          <w:sz w:val="20"/>
        </w:rPr>
        <w:t>exit readiness;</w:t>
      </w:r>
    </w:p>
    <w:p>
      <w:pPr>
        <w:pStyle w:val="ListBullet"/>
      </w:pPr>
      <w:r>
        <w:rPr>
          <w:rFonts w:ascii="Liberation Serif" w:hAnsi="Liberation Serif"/>
          <w:color w:val="232734"/>
          <w:sz w:val="20"/>
        </w:rPr>
        <w:t>concentration risk.</w:t>
      </w:r>
    </w:p>
    <w:p>
      <w:pPr>
        <w:spacing w:after="120" w:line="252" w:lineRule="auto"/>
      </w:pPr>
      <w:r>
        <w:rPr>
          <w:rFonts w:ascii="Liberation Serif" w:hAnsi="Liberation Serif"/>
          <w:color w:val="232734"/>
          <w:sz w:val="20"/>
        </w:rPr>
        <w:t>Renewal shall not be automatic where material review is overdue.</w:t>
      </w:r>
    </w:p>
    <w:p>
      <w:pPr>
        <w:pStyle w:val="Heading1"/>
        <w:keepNext/>
        <w:pBdr>
          <w:bottom w:val="single" w:sz="6" w:space="4" w:color="E3E6EB"/>
        </w:pBdr>
      </w:pPr>
      <w:r>
        <w:t>52. Vendor Performance and Control Failures</w:t>
      </w:r>
    </w:p>
    <w:p>
      <w:pPr>
        <w:spacing w:after="120" w:line="252" w:lineRule="auto"/>
      </w:pPr>
      <w:r>
        <w:rPr>
          <w:rFonts w:ascii="Liberation Serif" w:hAnsi="Liberation Serif"/>
          <w:color w:val="232734"/>
          <w:sz w:val="20"/>
        </w:rPr>
        <w:t>Material vendor failures shall be tracked.</w:t>
      </w:r>
    </w:p>
    <w:p>
      <w:pPr>
        <w:spacing w:after="120" w:line="252" w:lineRule="auto"/>
      </w:pPr>
      <w:r>
        <w:rPr>
          <w:rFonts w:ascii="Liberation Serif" w:hAnsi="Liberation Serif"/>
          <w:color w:val="232734"/>
          <w:sz w:val="20"/>
        </w:rPr>
        <w:t>Examples include:</w:t>
      </w:r>
    </w:p>
    <w:p>
      <w:pPr>
        <w:pStyle w:val="ListBullet"/>
      </w:pPr>
      <w:r>
        <w:rPr>
          <w:rFonts w:ascii="Liberation Serif" w:hAnsi="Liberation Serif"/>
          <w:color w:val="232734"/>
          <w:sz w:val="20"/>
        </w:rPr>
        <w:t>repeated outages;</w:t>
      </w:r>
    </w:p>
    <w:p>
      <w:pPr>
        <w:pStyle w:val="ListBullet"/>
      </w:pPr>
      <w:r>
        <w:rPr>
          <w:rFonts w:ascii="Liberation Serif" w:hAnsi="Liberation Serif"/>
          <w:color w:val="232734"/>
          <w:sz w:val="20"/>
        </w:rPr>
        <w:t>delayed incident notice;</w:t>
      </w:r>
    </w:p>
    <w:p>
      <w:pPr>
        <w:pStyle w:val="ListBullet"/>
      </w:pPr>
      <w:r>
        <w:rPr>
          <w:rFonts w:ascii="Liberation Serif" w:hAnsi="Liberation Serif"/>
          <w:color w:val="232734"/>
          <w:sz w:val="20"/>
        </w:rPr>
        <w:t>failed deletion;</w:t>
      </w:r>
    </w:p>
    <w:p>
      <w:pPr>
        <w:pStyle w:val="ListBullet"/>
      </w:pPr>
      <w:r>
        <w:rPr>
          <w:rFonts w:ascii="Liberation Serif" w:hAnsi="Liberation Serif"/>
          <w:color w:val="232734"/>
          <w:sz w:val="20"/>
        </w:rPr>
        <w:t>unresolved vulnerabilities;</w:t>
      </w:r>
    </w:p>
    <w:p>
      <w:pPr>
        <w:pStyle w:val="ListBullet"/>
      </w:pPr>
      <w:r>
        <w:rPr>
          <w:rFonts w:ascii="Liberation Serif" w:hAnsi="Liberation Serif"/>
          <w:color w:val="232734"/>
          <w:sz w:val="20"/>
        </w:rPr>
        <w:t>access overreach;</w:t>
      </w:r>
    </w:p>
    <w:p>
      <w:pPr>
        <w:pStyle w:val="ListBullet"/>
      </w:pPr>
      <w:r>
        <w:rPr>
          <w:rFonts w:ascii="Liberation Serif" w:hAnsi="Liberation Serif"/>
          <w:color w:val="232734"/>
          <w:sz w:val="20"/>
        </w:rPr>
        <w:t>unsupported claims;</w:t>
      </w:r>
    </w:p>
    <w:p>
      <w:pPr>
        <w:pStyle w:val="ListBullet"/>
      </w:pPr>
      <w:r>
        <w:rPr>
          <w:rFonts w:ascii="Liberation Serif" w:hAnsi="Liberation Serif"/>
          <w:color w:val="232734"/>
          <w:sz w:val="20"/>
        </w:rPr>
        <w:t>audit failures;</w:t>
      </w:r>
    </w:p>
    <w:p>
      <w:pPr>
        <w:pStyle w:val="ListBullet"/>
      </w:pPr>
      <w:r>
        <w:rPr>
          <w:rFonts w:ascii="Liberation Serif" w:hAnsi="Liberation Serif"/>
          <w:color w:val="232734"/>
          <w:sz w:val="20"/>
        </w:rPr>
        <w:t>missed service levels;</w:t>
      </w:r>
    </w:p>
    <w:p>
      <w:pPr>
        <w:pStyle w:val="ListBullet"/>
      </w:pPr>
      <w:r>
        <w:rPr>
          <w:rFonts w:ascii="Liberation Serif" w:hAnsi="Liberation Serif"/>
          <w:color w:val="232734"/>
          <w:sz w:val="20"/>
        </w:rPr>
        <w:t>poor recovery performance;</w:t>
      </w:r>
    </w:p>
    <w:p>
      <w:pPr>
        <w:pStyle w:val="ListBullet"/>
      </w:pPr>
      <w:r>
        <w:rPr>
          <w:rFonts w:ascii="Liberation Serif" w:hAnsi="Liberation Serif"/>
          <w:color w:val="232734"/>
          <w:sz w:val="20"/>
        </w:rPr>
        <w:t>unapproved subprocessors.</w:t>
      </w:r>
    </w:p>
    <w:p>
      <w:pPr>
        <w:spacing w:after="120" w:line="252" w:lineRule="auto"/>
      </w:pPr>
      <w:r>
        <w:rPr>
          <w:rFonts w:ascii="Liberation Serif" w:hAnsi="Liberation Serif"/>
          <w:color w:val="232734"/>
          <w:sz w:val="20"/>
        </w:rPr>
        <w:t>Recurring failures may require:</w:t>
      </w:r>
    </w:p>
    <w:p>
      <w:pPr>
        <w:pStyle w:val="ListBullet"/>
      </w:pPr>
      <w:r>
        <w:rPr>
          <w:rFonts w:ascii="Liberation Serif" w:hAnsi="Liberation Serif"/>
          <w:color w:val="232734"/>
          <w:sz w:val="20"/>
        </w:rPr>
        <w:t>corrective action;</w:t>
      </w:r>
    </w:p>
    <w:p>
      <w:pPr>
        <w:pStyle w:val="ListBullet"/>
      </w:pPr>
      <w:r>
        <w:rPr>
          <w:rFonts w:ascii="Liberation Serif" w:hAnsi="Liberation Serif"/>
          <w:color w:val="232734"/>
          <w:sz w:val="20"/>
        </w:rPr>
        <w:t>access reduction;</w:t>
      </w:r>
    </w:p>
    <w:p>
      <w:pPr>
        <w:pStyle w:val="ListBullet"/>
      </w:pPr>
      <w:r>
        <w:rPr>
          <w:rFonts w:ascii="Liberation Serif" w:hAnsi="Liberation Serif"/>
          <w:color w:val="232734"/>
          <w:sz w:val="20"/>
        </w:rPr>
        <w:t>suspension;</w:t>
      </w:r>
    </w:p>
    <w:p>
      <w:pPr>
        <w:pStyle w:val="ListBullet"/>
      </w:pPr>
      <w:r>
        <w:rPr>
          <w:rFonts w:ascii="Liberation Serif" w:hAnsi="Liberation Serif"/>
          <w:color w:val="232734"/>
          <w:sz w:val="20"/>
        </w:rPr>
        <w:t>replacement;</w:t>
      </w:r>
    </w:p>
    <w:p>
      <w:pPr>
        <w:pStyle w:val="ListBullet"/>
      </w:pPr>
      <w:r>
        <w:rPr>
          <w:rFonts w:ascii="Liberation Serif" w:hAnsi="Liberation Serif"/>
          <w:color w:val="232734"/>
          <w:sz w:val="20"/>
        </w:rPr>
        <w:t>termination.</w:t>
      </w:r>
    </w:p>
    <w:p>
      <w:pPr>
        <w:pStyle w:val="Heading1"/>
        <w:keepNext/>
        <w:pBdr>
          <w:bottom w:val="single" w:sz="6" w:space="4" w:color="E3E6EB"/>
        </w:pBdr>
      </w:pPr>
      <w:r>
        <w:t>53. Vendor Exceptions</w:t>
      </w:r>
    </w:p>
    <w:p>
      <w:pPr>
        <w:spacing w:after="120" w:line="252" w:lineRule="auto"/>
      </w:pPr>
      <w:r>
        <w:rPr>
          <w:rFonts w:ascii="Liberation Serif" w:hAnsi="Liberation Serif"/>
          <w:color w:val="232734"/>
          <w:sz w:val="20"/>
        </w:rPr>
        <w:t>A vendor exception must identify:</w:t>
      </w:r>
    </w:p>
    <w:p>
      <w:pPr>
        <w:pStyle w:val="ListBullet"/>
      </w:pPr>
      <w:r>
        <w:rPr>
          <w:rFonts w:ascii="Liberation Serif" w:hAnsi="Liberation Serif"/>
          <w:color w:val="232734"/>
          <w:sz w:val="20"/>
        </w:rPr>
        <w:t>unmet requirement;</w:t>
      </w:r>
    </w:p>
    <w:p>
      <w:pPr>
        <w:pStyle w:val="ListBullet"/>
      </w:pPr>
      <w:r>
        <w:rPr>
          <w:rFonts w:ascii="Liberation Serif" w:hAnsi="Liberation Serif"/>
          <w:color w:val="232734"/>
          <w:sz w:val="20"/>
        </w:rPr>
        <w:t>business need;</w:t>
      </w:r>
    </w:p>
    <w:p>
      <w:pPr>
        <w:pStyle w:val="ListBullet"/>
      </w:pPr>
      <w:r>
        <w:rPr>
          <w:rFonts w:ascii="Liberation Serif" w:hAnsi="Liberation Serif"/>
          <w:color w:val="232734"/>
          <w:sz w:val="20"/>
        </w:rPr>
        <w:t>risk;</w:t>
      </w:r>
    </w:p>
    <w:p>
      <w:pPr>
        <w:pStyle w:val="ListBullet"/>
      </w:pPr>
      <w:r>
        <w:rPr>
          <w:rFonts w:ascii="Liberation Serif" w:hAnsi="Liberation Serif"/>
          <w:color w:val="232734"/>
          <w:sz w:val="20"/>
        </w:rPr>
        <w:t>compensating controls;</w:t>
      </w:r>
    </w:p>
    <w:p>
      <w:pPr>
        <w:pStyle w:val="ListBullet"/>
      </w:pPr>
      <w:r>
        <w:rPr>
          <w:rFonts w:ascii="Liberation Serif" w:hAnsi="Liberation Serif"/>
          <w:color w:val="232734"/>
          <w:sz w:val="20"/>
        </w:rPr>
        <w:t>owner;</w:t>
      </w:r>
    </w:p>
    <w:p>
      <w:pPr>
        <w:pStyle w:val="ListBullet"/>
      </w:pPr>
      <w:r>
        <w:rPr>
          <w:rFonts w:ascii="Liberation Serif" w:hAnsi="Liberation Serif"/>
          <w:color w:val="232734"/>
          <w:sz w:val="20"/>
        </w:rPr>
        <w:t>approver;</w:t>
      </w:r>
    </w:p>
    <w:p>
      <w:pPr>
        <w:pStyle w:val="ListBullet"/>
      </w:pPr>
      <w:r>
        <w:rPr>
          <w:rFonts w:ascii="Liberation Serif" w:hAnsi="Liberation Serif"/>
          <w:color w:val="232734"/>
          <w:sz w:val="20"/>
        </w:rPr>
        <w:t>duration;</w:t>
      </w:r>
    </w:p>
    <w:p>
      <w:pPr>
        <w:pStyle w:val="ListBullet"/>
      </w:pPr>
      <w:r>
        <w:rPr>
          <w:rFonts w:ascii="Liberation Serif" w:hAnsi="Liberation Serif"/>
          <w:color w:val="232734"/>
          <w:sz w:val="20"/>
        </w:rPr>
        <w:t>review date;</w:t>
      </w:r>
    </w:p>
    <w:p>
      <w:pPr>
        <w:pStyle w:val="ListBullet"/>
      </w:pPr>
      <w:r>
        <w:rPr>
          <w:rFonts w:ascii="Liberation Serif" w:hAnsi="Liberation Serif"/>
          <w:color w:val="232734"/>
          <w:sz w:val="20"/>
        </w:rPr>
        <w:t>exit trigger.</w:t>
      </w:r>
    </w:p>
    <w:p>
      <w:pPr>
        <w:spacing w:after="120" w:line="252" w:lineRule="auto"/>
      </w:pPr>
      <w:r>
        <w:rPr>
          <w:rFonts w:ascii="Liberation Serif" w:hAnsi="Liberation Serif"/>
          <w:color w:val="232734"/>
          <w:sz w:val="20"/>
        </w:rPr>
        <w:t>Exceptions shall not silently waive:</w:t>
      </w:r>
    </w:p>
    <w:p>
      <w:pPr>
        <w:pStyle w:val="ListBullet"/>
      </w:pPr>
      <w:r>
        <w:rPr>
          <w:rFonts w:ascii="Liberation Serif" w:hAnsi="Liberation Serif"/>
          <w:color w:val="232734"/>
          <w:sz w:val="20"/>
        </w:rPr>
        <w:t>tenant isolation;</w:t>
      </w:r>
    </w:p>
    <w:p>
      <w:pPr>
        <w:pStyle w:val="ListBullet"/>
      </w:pPr>
      <w:r>
        <w:rPr>
          <w:rFonts w:ascii="Liberation Serif" w:hAnsi="Liberation Serif"/>
          <w:color w:val="232734"/>
          <w:sz w:val="20"/>
        </w:rPr>
        <w:t>safeguarding protections;</w:t>
      </w:r>
    </w:p>
    <w:p>
      <w:pPr>
        <w:pStyle w:val="ListBullet"/>
      </w:pPr>
      <w:r>
        <w:rPr>
          <w:rFonts w:ascii="Liberation Serif" w:hAnsi="Liberation Serif"/>
          <w:color w:val="232734"/>
          <w:sz w:val="20"/>
        </w:rPr>
        <w:t>shared-model training prohibitions;</w:t>
      </w:r>
    </w:p>
    <w:p>
      <w:pPr>
        <w:pStyle w:val="ListBullet"/>
      </w:pPr>
      <w:r>
        <w:rPr>
          <w:rFonts w:ascii="Liberation Serif" w:hAnsi="Liberation Serif"/>
          <w:color w:val="232734"/>
          <w:sz w:val="20"/>
        </w:rPr>
        <w:t>audit integrity;</w:t>
      </w:r>
    </w:p>
    <w:p>
      <w:pPr>
        <w:pStyle w:val="ListBullet"/>
      </w:pPr>
      <w:r>
        <w:rPr>
          <w:rFonts w:ascii="Liberation Serif" w:hAnsi="Liberation Serif"/>
          <w:color w:val="232734"/>
          <w:sz w:val="20"/>
        </w:rPr>
        <w:t>incident notice;</w:t>
      </w:r>
    </w:p>
    <w:p>
      <w:pPr>
        <w:pStyle w:val="ListBullet"/>
      </w:pPr>
      <w:r>
        <w:rPr>
          <w:rFonts w:ascii="Liberation Serif" w:hAnsi="Liberation Serif"/>
          <w:color w:val="232734"/>
          <w:sz w:val="20"/>
        </w:rPr>
        <w:t>encryption-key protection;</w:t>
      </w:r>
    </w:p>
    <w:p>
      <w:pPr>
        <w:pStyle w:val="ListBullet"/>
      </w:pPr>
      <w:r>
        <w:rPr>
          <w:rFonts w:ascii="Liberation Serif" w:hAnsi="Liberation Serif"/>
          <w:color w:val="232734"/>
          <w:sz w:val="20"/>
        </w:rPr>
        <w:t>legal holds;</w:t>
      </w:r>
    </w:p>
    <w:p>
      <w:pPr>
        <w:pStyle w:val="ListBullet"/>
      </w:pPr>
      <w:r>
        <w:rPr>
          <w:rFonts w:ascii="Liberation Serif" w:hAnsi="Liberation Serif"/>
          <w:color w:val="232734"/>
          <w:sz w:val="20"/>
        </w:rPr>
        <w:t>production authority gates.</w:t>
      </w:r>
    </w:p>
    <w:p>
      <w:pPr>
        <w:pStyle w:val="Heading1"/>
        <w:keepNext/>
        <w:pBdr>
          <w:bottom w:val="single" w:sz="6" w:space="4" w:color="E3E6EB"/>
        </w:pBdr>
      </w:pPr>
      <w:r>
        <w:t>54. Concentration Risk</w:t>
      </w:r>
    </w:p>
    <w:p>
      <w:pPr>
        <w:spacing w:after="120" w:line="252" w:lineRule="auto"/>
      </w:pPr>
      <w:r>
        <w:rPr>
          <w:rFonts w:ascii="Liberation Serif" w:hAnsi="Liberation Serif"/>
          <w:color w:val="232734"/>
          <w:sz w:val="20"/>
        </w:rPr>
        <w:t>EquineSync shall identify concentration risk where multiple critical functions depend on:</w:t>
      </w:r>
    </w:p>
    <w:p>
      <w:pPr>
        <w:pStyle w:val="ListBullet"/>
      </w:pPr>
      <w:r>
        <w:rPr>
          <w:rFonts w:ascii="Liberation Serif" w:hAnsi="Liberation Serif"/>
          <w:color w:val="232734"/>
          <w:sz w:val="20"/>
        </w:rPr>
        <w:t>one vendor;</w:t>
      </w:r>
    </w:p>
    <w:p>
      <w:pPr>
        <w:pStyle w:val="ListBullet"/>
      </w:pPr>
      <w:r>
        <w:rPr>
          <w:rFonts w:ascii="Liberation Serif" w:hAnsi="Liberation Serif"/>
          <w:color w:val="232734"/>
          <w:sz w:val="20"/>
        </w:rPr>
        <w:t>one cloud provider;</w:t>
      </w:r>
    </w:p>
    <w:p>
      <w:pPr>
        <w:pStyle w:val="ListBullet"/>
      </w:pPr>
      <w:r>
        <w:rPr>
          <w:rFonts w:ascii="Liberation Serif" w:hAnsi="Liberation Serif"/>
          <w:color w:val="232734"/>
          <w:sz w:val="20"/>
        </w:rPr>
        <w:t>one region;</w:t>
      </w:r>
    </w:p>
    <w:p>
      <w:pPr>
        <w:pStyle w:val="ListBullet"/>
      </w:pPr>
      <w:r>
        <w:rPr>
          <w:rFonts w:ascii="Liberation Serif" w:hAnsi="Liberation Serif"/>
          <w:color w:val="232734"/>
          <w:sz w:val="20"/>
        </w:rPr>
        <w:t>one identity provider;</w:t>
      </w:r>
    </w:p>
    <w:p>
      <w:pPr>
        <w:pStyle w:val="ListBullet"/>
      </w:pPr>
      <w:r>
        <w:rPr>
          <w:rFonts w:ascii="Liberation Serif" w:hAnsi="Liberation Serif"/>
          <w:color w:val="232734"/>
          <w:sz w:val="20"/>
        </w:rPr>
        <w:t>one payment provider;</w:t>
      </w:r>
    </w:p>
    <w:p>
      <w:pPr>
        <w:pStyle w:val="ListBullet"/>
      </w:pPr>
      <w:r>
        <w:rPr>
          <w:rFonts w:ascii="Liberation Serif" w:hAnsi="Liberation Serif"/>
          <w:color w:val="232734"/>
          <w:sz w:val="20"/>
        </w:rPr>
        <w:t>one package registry;</w:t>
      </w:r>
    </w:p>
    <w:p>
      <w:pPr>
        <w:pStyle w:val="ListBullet"/>
      </w:pPr>
      <w:r>
        <w:rPr>
          <w:rFonts w:ascii="Liberation Serif" w:hAnsi="Liberation Serif"/>
          <w:color w:val="232734"/>
          <w:sz w:val="20"/>
        </w:rPr>
        <w:t>one communication channel;</w:t>
      </w:r>
    </w:p>
    <w:p>
      <w:pPr>
        <w:pStyle w:val="ListBullet"/>
      </w:pPr>
      <w:r>
        <w:rPr>
          <w:rFonts w:ascii="Liberation Serif" w:hAnsi="Liberation Serif"/>
          <w:color w:val="232734"/>
          <w:sz w:val="20"/>
        </w:rPr>
        <w:t>one build system;</w:t>
      </w:r>
    </w:p>
    <w:p>
      <w:pPr>
        <w:pStyle w:val="ListBullet"/>
      </w:pPr>
      <w:r>
        <w:rPr>
          <w:rFonts w:ascii="Liberation Serif" w:hAnsi="Liberation Serif"/>
          <w:color w:val="232734"/>
          <w:sz w:val="20"/>
        </w:rPr>
        <w:t>one key-management service.</w:t>
      </w:r>
    </w:p>
    <w:p>
      <w:pPr>
        <w:spacing w:after="120" w:line="252" w:lineRule="auto"/>
      </w:pPr>
      <w:r>
        <w:rPr>
          <w:rFonts w:ascii="Liberation Serif" w:hAnsi="Liberation Serif"/>
          <w:color w:val="232734"/>
          <w:sz w:val="20"/>
        </w:rPr>
        <w:t>Concentration risk shall be reduced, monitored, or explicitly accepted.</w:t>
      </w:r>
    </w:p>
    <w:p>
      <w:pPr>
        <w:pStyle w:val="Heading1"/>
        <w:keepNext/>
        <w:pBdr>
          <w:bottom w:val="single" w:sz="6" w:space="4" w:color="E3E6EB"/>
        </w:pBdr>
      </w:pPr>
      <w:r>
        <w:t>55. Lock-In and Exit Risk</w:t>
      </w:r>
    </w:p>
    <w:p>
      <w:pPr>
        <w:spacing w:after="120" w:line="252" w:lineRule="auto"/>
      </w:pPr>
      <w:r>
        <w:rPr>
          <w:rFonts w:ascii="Liberation Serif" w:hAnsi="Liberation Serif"/>
          <w:color w:val="232734"/>
          <w:sz w:val="20"/>
        </w:rPr>
        <w:t>Vendor review shall assess:</w:t>
      </w:r>
    </w:p>
    <w:p>
      <w:pPr>
        <w:pStyle w:val="ListBullet"/>
      </w:pPr>
      <w:r>
        <w:rPr>
          <w:rFonts w:ascii="Liberation Serif" w:hAnsi="Liberation Serif"/>
          <w:color w:val="232734"/>
          <w:sz w:val="20"/>
        </w:rPr>
        <w:t>proprietary formats;</w:t>
      </w:r>
    </w:p>
    <w:p>
      <w:pPr>
        <w:pStyle w:val="ListBullet"/>
      </w:pPr>
      <w:r>
        <w:rPr>
          <w:rFonts w:ascii="Liberation Serif" w:hAnsi="Liberation Serif"/>
          <w:color w:val="232734"/>
          <w:sz w:val="20"/>
        </w:rPr>
        <w:t>data export;</w:t>
      </w:r>
    </w:p>
    <w:p>
      <w:pPr>
        <w:pStyle w:val="ListBullet"/>
      </w:pPr>
      <w:r>
        <w:rPr>
          <w:rFonts w:ascii="Liberation Serif" w:hAnsi="Liberation Serif"/>
          <w:color w:val="232734"/>
          <w:sz w:val="20"/>
        </w:rPr>
        <w:t>API portability;</w:t>
      </w:r>
    </w:p>
    <w:p>
      <w:pPr>
        <w:pStyle w:val="ListBullet"/>
      </w:pPr>
      <w:r>
        <w:rPr>
          <w:rFonts w:ascii="Liberation Serif" w:hAnsi="Liberation Serif"/>
          <w:color w:val="232734"/>
          <w:sz w:val="20"/>
        </w:rPr>
        <w:t>egress cost;</w:t>
      </w:r>
    </w:p>
    <w:p>
      <w:pPr>
        <w:pStyle w:val="ListBullet"/>
      </w:pPr>
      <w:r>
        <w:rPr>
          <w:rFonts w:ascii="Liberation Serif" w:hAnsi="Liberation Serif"/>
          <w:color w:val="232734"/>
          <w:sz w:val="20"/>
        </w:rPr>
        <w:t>key portability;</w:t>
      </w:r>
    </w:p>
    <w:p>
      <w:pPr>
        <w:pStyle w:val="ListBullet"/>
      </w:pPr>
      <w:r>
        <w:rPr>
          <w:rFonts w:ascii="Liberation Serif" w:hAnsi="Liberation Serif"/>
          <w:color w:val="232734"/>
          <w:sz w:val="20"/>
        </w:rPr>
        <w:t>contract restrictions;</w:t>
      </w:r>
    </w:p>
    <w:p>
      <w:pPr>
        <w:pStyle w:val="ListBullet"/>
      </w:pPr>
      <w:r>
        <w:rPr>
          <w:rFonts w:ascii="Liberation Serif" w:hAnsi="Liberation Serif"/>
          <w:color w:val="232734"/>
          <w:sz w:val="20"/>
        </w:rPr>
        <w:t>migration time;</w:t>
      </w:r>
    </w:p>
    <w:p>
      <w:pPr>
        <w:pStyle w:val="ListBullet"/>
      </w:pPr>
      <w:r>
        <w:rPr>
          <w:rFonts w:ascii="Liberation Serif" w:hAnsi="Liberation Serif"/>
          <w:color w:val="232734"/>
          <w:sz w:val="20"/>
        </w:rPr>
        <w:t>replacement availability;</w:t>
      </w:r>
    </w:p>
    <w:p>
      <w:pPr>
        <w:pStyle w:val="ListBullet"/>
      </w:pPr>
      <w:r>
        <w:rPr>
          <w:rFonts w:ascii="Liberation Serif" w:hAnsi="Liberation Serif"/>
          <w:color w:val="232734"/>
          <w:sz w:val="20"/>
        </w:rPr>
        <w:t>customer disruption;</w:t>
      </w:r>
    </w:p>
    <w:p>
      <w:pPr>
        <w:pStyle w:val="ListBullet"/>
      </w:pPr>
      <w:r>
        <w:rPr>
          <w:rFonts w:ascii="Liberation Serif" w:hAnsi="Liberation Serif"/>
          <w:color w:val="232734"/>
          <w:sz w:val="20"/>
        </w:rPr>
        <w:t>retained vendor data.</w:t>
      </w:r>
    </w:p>
    <w:p>
      <w:pPr>
        <w:spacing w:after="120" w:line="252" w:lineRule="auto"/>
      </w:pPr>
      <w:r>
        <w:rPr>
          <w:rFonts w:ascii="Liberation Serif" w:hAnsi="Liberation Serif"/>
          <w:color w:val="232734"/>
          <w:sz w:val="20"/>
        </w:rPr>
        <w:t>Critical vendors require a realistic exit plan, not a ceremonial paragraph in a risk register.</w:t>
      </w:r>
    </w:p>
    <w:p>
      <w:pPr>
        <w:pStyle w:val="Heading1"/>
        <w:keepNext/>
        <w:pBdr>
          <w:bottom w:val="single" w:sz="6" w:space="4" w:color="E3E6EB"/>
        </w:pBdr>
      </w:pPr>
      <w:r>
        <w:t>56. Exit Plan</w:t>
      </w:r>
    </w:p>
    <w:p>
      <w:pPr>
        <w:spacing w:after="120" w:line="252" w:lineRule="auto"/>
      </w:pPr>
      <w:r>
        <w:rPr>
          <w:rFonts w:ascii="Liberation Serif" w:hAnsi="Liberation Serif"/>
          <w:color w:val="232734"/>
          <w:sz w:val="20"/>
        </w:rPr>
        <w:t>A Critical vendor exit plan shall identify:</w:t>
      </w:r>
    </w:p>
    <w:p>
      <w:pPr>
        <w:pStyle w:val="ListBullet"/>
      </w:pPr>
      <w:r>
        <w:rPr>
          <w:rFonts w:ascii="Liberation Serif" w:hAnsi="Liberation Serif"/>
          <w:color w:val="232734"/>
          <w:sz w:val="20"/>
        </w:rPr>
        <w:t>trigger conditions;</w:t>
      </w:r>
    </w:p>
    <w:p>
      <w:pPr>
        <w:pStyle w:val="ListBullet"/>
      </w:pPr>
      <w:r>
        <w:rPr>
          <w:rFonts w:ascii="Liberation Serif" w:hAnsi="Liberation Serif"/>
          <w:color w:val="232734"/>
          <w:sz w:val="20"/>
        </w:rPr>
        <w:t>replacement options;</w:t>
      </w:r>
    </w:p>
    <w:p>
      <w:pPr>
        <w:pStyle w:val="ListBullet"/>
      </w:pPr>
      <w:r>
        <w:rPr>
          <w:rFonts w:ascii="Liberation Serif" w:hAnsi="Liberation Serif"/>
          <w:color w:val="232734"/>
          <w:sz w:val="20"/>
        </w:rPr>
        <w:t>data export;</w:t>
      </w:r>
    </w:p>
    <w:p>
      <w:pPr>
        <w:pStyle w:val="ListBullet"/>
      </w:pPr>
      <w:r>
        <w:rPr>
          <w:rFonts w:ascii="Liberation Serif" w:hAnsi="Liberation Serif"/>
          <w:color w:val="232734"/>
          <w:sz w:val="20"/>
        </w:rPr>
        <w:t>data validation;</w:t>
      </w:r>
    </w:p>
    <w:p>
      <w:pPr>
        <w:pStyle w:val="ListBullet"/>
      </w:pPr>
      <w:r>
        <w:rPr>
          <w:rFonts w:ascii="Liberation Serif" w:hAnsi="Liberation Serif"/>
          <w:color w:val="232734"/>
          <w:sz w:val="20"/>
        </w:rPr>
        <w:t>credential revocation;</w:t>
      </w:r>
    </w:p>
    <w:p>
      <w:pPr>
        <w:pStyle w:val="ListBullet"/>
      </w:pPr>
      <w:r>
        <w:rPr>
          <w:rFonts w:ascii="Liberation Serif" w:hAnsi="Liberation Serif"/>
          <w:color w:val="232734"/>
          <w:sz w:val="20"/>
        </w:rPr>
        <w:t>key transition;</w:t>
      </w:r>
    </w:p>
    <w:p>
      <w:pPr>
        <w:pStyle w:val="ListBullet"/>
      </w:pPr>
      <w:r>
        <w:rPr>
          <w:rFonts w:ascii="Liberation Serif" w:hAnsi="Liberation Serif"/>
          <w:color w:val="232734"/>
          <w:sz w:val="20"/>
        </w:rPr>
        <w:t>service continuity;</w:t>
      </w:r>
    </w:p>
    <w:p>
      <w:pPr>
        <w:pStyle w:val="ListBullet"/>
      </w:pPr>
      <w:r>
        <w:rPr>
          <w:rFonts w:ascii="Liberation Serif" w:hAnsi="Liberation Serif"/>
          <w:color w:val="232734"/>
          <w:sz w:val="20"/>
        </w:rPr>
        <w:t>customer communication;</w:t>
      </w:r>
    </w:p>
    <w:p>
      <w:pPr>
        <w:pStyle w:val="ListBullet"/>
      </w:pPr>
      <w:r>
        <w:rPr>
          <w:rFonts w:ascii="Liberation Serif" w:hAnsi="Liberation Serif"/>
          <w:color w:val="232734"/>
          <w:sz w:val="20"/>
        </w:rPr>
        <w:t>contract termination;</w:t>
      </w:r>
    </w:p>
    <w:p>
      <w:pPr>
        <w:pStyle w:val="ListBullet"/>
      </w:pPr>
      <w:r>
        <w:rPr>
          <w:rFonts w:ascii="Liberation Serif" w:hAnsi="Liberation Serif"/>
          <w:color w:val="232734"/>
          <w:sz w:val="20"/>
        </w:rPr>
        <w:t>residual data;</w:t>
      </w:r>
    </w:p>
    <w:p>
      <w:pPr>
        <w:pStyle w:val="ListBullet"/>
      </w:pPr>
      <w:r>
        <w:rPr>
          <w:rFonts w:ascii="Liberation Serif" w:hAnsi="Liberation Serif"/>
          <w:color w:val="232734"/>
          <w:sz w:val="20"/>
        </w:rPr>
        <w:t>evidence;</w:t>
      </w:r>
    </w:p>
    <w:p>
      <w:pPr>
        <w:pStyle w:val="ListBullet"/>
      </w:pPr>
      <w:r>
        <w:rPr>
          <w:rFonts w:ascii="Liberation Serif" w:hAnsi="Liberation Serif"/>
          <w:color w:val="232734"/>
          <w:sz w:val="20"/>
        </w:rPr>
        <w:t>rollback.</w:t>
      </w:r>
    </w:p>
    <w:p>
      <w:pPr>
        <w:spacing w:after="120" w:line="252" w:lineRule="auto"/>
      </w:pPr>
      <w:r>
        <w:rPr>
          <w:rFonts w:ascii="Liberation Serif" w:hAnsi="Liberation Serif"/>
          <w:color w:val="232734"/>
          <w:sz w:val="20"/>
        </w:rPr>
        <w:t>Exit plans shall be reviewed when architecture or vendor conditions change.</w:t>
      </w:r>
    </w:p>
    <w:p>
      <w:pPr>
        <w:pStyle w:val="Heading1"/>
        <w:keepNext/>
        <w:pBdr>
          <w:bottom w:val="single" w:sz="6" w:space="4" w:color="E3E6EB"/>
        </w:pBdr>
      </w:pPr>
      <w:r>
        <w:t>57. Emergency Vendor Use</w:t>
      </w:r>
    </w:p>
    <w:p>
      <w:pPr>
        <w:spacing w:after="120" w:line="252" w:lineRule="auto"/>
      </w:pPr>
      <w:r>
        <w:rPr>
          <w:rFonts w:ascii="Liberation Serif" w:hAnsi="Liberation Serif"/>
          <w:color w:val="232734"/>
          <w:sz w:val="20"/>
        </w:rPr>
        <w:t>A vendor may be engaged urgently during an incident or disaster where delay would increase harm.</w:t>
      </w:r>
    </w:p>
    <w:p>
      <w:pPr>
        <w:spacing w:after="120" w:line="252" w:lineRule="auto"/>
      </w:pPr>
      <w:r>
        <w:rPr>
          <w:rFonts w:ascii="Liberation Serif" w:hAnsi="Liberation Serif"/>
          <w:color w:val="232734"/>
          <w:sz w:val="20"/>
        </w:rPr>
        <w:t>Emergency use must be:</w:t>
      </w:r>
    </w:p>
    <w:p>
      <w:pPr>
        <w:pStyle w:val="ListBullet"/>
      </w:pPr>
      <w:r>
        <w:rPr>
          <w:rFonts w:ascii="Liberation Serif" w:hAnsi="Liberation Serif"/>
          <w:color w:val="232734"/>
          <w:sz w:val="20"/>
        </w:rPr>
        <w:t>narrowly scoped;</w:t>
      </w:r>
    </w:p>
    <w:p>
      <w:pPr>
        <w:pStyle w:val="ListBullet"/>
      </w:pPr>
      <w:r>
        <w:rPr>
          <w:rFonts w:ascii="Liberation Serif" w:hAnsi="Liberation Serif"/>
          <w:color w:val="232734"/>
          <w:sz w:val="20"/>
        </w:rPr>
        <w:t>time limited;</w:t>
      </w:r>
    </w:p>
    <w:p>
      <w:pPr>
        <w:pStyle w:val="ListBullet"/>
      </w:pPr>
      <w:r>
        <w:rPr>
          <w:rFonts w:ascii="Liberation Serif" w:hAnsi="Liberation Serif"/>
          <w:color w:val="232734"/>
          <w:sz w:val="20"/>
        </w:rPr>
        <w:t>approved by emergency authority;</w:t>
      </w:r>
    </w:p>
    <w:p>
      <w:pPr>
        <w:pStyle w:val="ListBullet"/>
      </w:pPr>
      <w:r>
        <w:rPr>
          <w:rFonts w:ascii="Liberation Serif" w:hAnsi="Liberation Serif"/>
          <w:color w:val="232734"/>
          <w:sz w:val="20"/>
        </w:rPr>
        <w:t>documented;</w:t>
      </w:r>
    </w:p>
    <w:p>
      <w:pPr>
        <w:pStyle w:val="ListBullet"/>
      </w:pPr>
      <w:r>
        <w:rPr>
          <w:rFonts w:ascii="Liberation Serif" w:hAnsi="Liberation Serif"/>
          <w:color w:val="232734"/>
          <w:sz w:val="20"/>
        </w:rPr>
        <w:t>protected by available confidentiality terms;</w:t>
      </w:r>
    </w:p>
    <w:p>
      <w:pPr>
        <w:pStyle w:val="ListBullet"/>
      </w:pPr>
      <w:r>
        <w:rPr>
          <w:rFonts w:ascii="Liberation Serif" w:hAnsi="Liberation Serif"/>
          <w:color w:val="232734"/>
          <w:sz w:val="20"/>
        </w:rPr>
        <w:t>reviewed after stabilization.</w:t>
      </w:r>
    </w:p>
    <w:p>
      <w:pPr>
        <w:spacing w:after="120" w:line="252" w:lineRule="auto"/>
      </w:pPr>
      <w:r>
        <w:rPr>
          <w:rFonts w:ascii="Liberation Serif" w:hAnsi="Liberation Serif"/>
          <w:color w:val="232734"/>
          <w:sz w:val="20"/>
        </w:rPr>
        <w:t>Emergency use does not create permanent approval.</w:t>
      </w:r>
    </w:p>
    <w:p>
      <w:pPr>
        <w:spacing w:after="120" w:line="252" w:lineRule="auto"/>
      </w:pPr>
      <w:r>
        <w:rPr>
          <w:rFonts w:ascii="Liberation Serif" w:hAnsi="Liberation Serif"/>
          <w:color w:val="232734"/>
          <w:sz w:val="20"/>
        </w:rPr>
        <w:t>Retrospective due diligence and offboarding are mandatory.</w:t>
      </w:r>
    </w:p>
    <w:p>
      <w:pPr>
        <w:pStyle w:val="Heading1"/>
        <w:keepNext/>
        <w:pBdr>
          <w:bottom w:val="single" w:sz="6" w:space="4" w:color="E3E6EB"/>
        </w:pBdr>
      </w:pPr>
      <w:r>
        <w:t>58. Shadow IT</w:t>
      </w:r>
    </w:p>
    <w:p>
      <w:pPr>
        <w:spacing w:after="120" w:line="252" w:lineRule="auto"/>
      </w:pPr>
      <w:r>
        <w:rPr>
          <w:rFonts w:ascii="Liberation Serif" w:hAnsi="Liberation Serif"/>
          <w:color w:val="232734"/>
          <w:sz w:val="20"/>
        </w:rPr>
        <w:t>Use of unapproved vendors for EquineSync data or operations is prohibited.</w:t>
      </w:r>
    </w:p>
    <w:p>
      <w:pPr>
        <w:spacing w:after="120" w:line="252" w:lineRule="auto"/>
      </w:pPr>
      <w:r>
        <w:rPr>
          <w:rFonts w:ascii="Liberation Serif" w:hAnsi="Liberation Serif"/>
          <w:color w:val="232734"/>
          <w:sz w:val="20"/>
        </w:rPr>
        <w:t>Shadow IT includes:</w:t>
      </w:r>
    </w:p>
    <w:p>
      <w:pPr>
        <w:pStyle w:val="ListBullet"/>
      </w:pPr>
      <w:r>
        <w:rPr>
          <w:rFonts w:ascii="Liberation Serif" w:hAnsi="Liberation Serif"/>
          <w:color w:val="232734"/>
          <w:sz w:val="20"/>
        </w:rPr>
        <w:t>personal file storage;</w:t>
      </w:r>
    </w:p>
    <w:p>
      <w:pPr>
        <w:pStyle w:val="ListBullet"/>
      </w:pPr>
      <w:r>
        <w:rPr>
          <w:rFonts w:ascii="Liberation Serif" w:hAnsi="Liberation Serif"/>
          <w:color w:val="232734"/>
          <w:sz w:val="20"/>
        </w:rPr>
        <w:t>personal AI accounts;</w:t>
      </w:r>
    </w:p>
    <w:p>
      <w:pPr>
        <w:pStyle w:val="ListBullet"/>
      </w:pPr>
      <w:r>
        <w:rPr>
          <w:rFonts w:ascii="Liberation Serif" w:hAnsi="Liberation Serif"/>
          <w:color w:val="232734"/>
          <w:sz w:val="20"/>
        </w:rPr>
        <w:t>unapproved messaging;</w:t>
      </w:r>
    </w:p>
    <w:p>
      <w:pPr>
        <w:pStyle w:val="ListBullet"/>
      </w:pPr>
      <w:r>
        <w:rPr>
          <w:rFonts w:ascii="Liberation Serif" w:hAnsi="Liberation Serif"/>
          <w:color w:val="232734"/>
          <w:sz w:val="20"/>
        </w:rPr>
        <w:t>unapproved analytics;</w:t>
      </w:r>
    </w:p>
    <w:p>
      <w:pPr>
        <w:pStyle w:val="ListBullet"/>
      </w:pPr>
      <w:r>
        <w:rPr>
          <w:rFonts w:ascii="Liberation Serif" w:hAnsi="Liberation Serif"/>
          <w:color w:val="232734"/>
          <w:sz w:val="20"/>
        </w:rPr>
        <w:t>personal code repositories;</w:t>
      </w:r>
    </w:p>
    <w:p>
      <w:pPr>
        <w:pStyle w:val="ListBullet"/>
      </w:pPr>
      <w:r>
        <w:rPr>
          <w:rFonts w:ascii="Liberation Serif" w:hAnsi="Liberation Serif"/>
          <w:color w:val="232734"/>
          <w:sz w:val="20"/>
        </w:rPr>
        <w:t>unapproved browser extensions;</w:t>
      </w:r>
    </w:p>
    <w:p>
      <w:pPr>
        <w:pStyle w:val="ListBullet"/>
      </w:pPr>
      <w:r>
        <w:rPr>
          <w:rFonts w:ascii="Liberation Serif" w:hAnsi="Liberation Serif"/>
          <w:color w:val="232734"/>
          <w:sz w:val="20"/>
        </w:rPr>
        <w:t>unapproved automation platforms;</w:t>
      </w:r>
    </w:p>
    <w:p>
      <w:pPr>
        <w:pStyle w:val="ListBullet"/>
      </w:pPr>
      <w:r>
        <w:rPr>
          <w:rFonts w:ascii="Liberation Serif" w:hAnsi="Liberation Serif"/>
          <w:color w:val="232734"/>
          <w:sz w:val="20"/>
        </w:rPr>
        <w:t>personal email for protected records.</w:t>
      </w:r>
    </w:p>
    <w:p>
      <w:pPr>
        <w:spacing w:after="120" w:line="252" w:lineRule="auto"/>
      </w:pPr>
      <w:r>
        <w:rPr>
          <w:rFonts w:ascii="Liberation Serif" w:hAnsi="Liberation Serif"/>
          <w:color w:val="232734"/>
          <w:sz w:val="20"/>
        </w:rPr>
        <w:t>EquineSync shall provide practical approved alternatives so security does not become a maze that invites side doors.</w:t>
      </w:r>
    </w:p>
    <w:p>
      <w:pPr>
        <w:pStyle w:val="Heading1"/>
        <w:keepNext/>
        <w:pBdr>
          <w:bottom w:val="single" w:sz="6" w:space="4" w:color="E3E6EB"/>
        </w:pBdr>
      </w:pPr>
      <w:r>
        <w:t>59. Open-Source Software</w:t>
      </w:r>
    </w:p>
    <w:p>
      <w:pPr>
        <w:spacing w:after="120" w:line="252" w:lineRule="auto"/>
      </w:pPr>
      <w:r>
        <w:rPr>
          <w:rFonts w:ascii="Liberation Serif" w:hAnsi="Liberation Serif"/>
          <w:color w:val="232734"/>
          <w:sz w:val="20"/>
        </w:rPr>
        <w:t>Open-source software is part of the supply chain.</w:t>
      </w:r>
    </w:p>
    <w:p>
      <w:pPr>
        <w:spacing w:after="120" w:line="252" w:lineRule="auto"/>
      </w:pPr>
      <w:r>
        <w:rPr>
          <w:rFonts w:ascii="Liberation Serif" w:hAnsi="Liberation Serif"/>
          <w:color w:val="232734"/>
          <w:sz w:val="20"/>
        </w:rPr>
        <w:t>Review shall consider:</w:t>
      </w:r>
    </w:p>
    <w:p>
      <w:pPr>
        <w:pStyle w:val="ListBullet"/>
      </w:pPr>
      <w:r>
        <w:rPr>
          <w:rFonts w:ascii="Liberation Serif" w:hAnsi="Liberation Serif"/>
          <w:color w:val="232734"/>
          <w:sz w:val="20"/>
        </w:rPr>
        <w:t>maintainer health;</w:t>
      </w:r>
    </w:p>
    <w:p>
      <w:pPr>
        <w:pStyle w:val="ListBullet"/>
      </w:pPr>
      <w:r>
        <w:rPr>
          <w:rFonts w:ascii="Liberation Serif" w:hAnsi="Liberation Serif"/>
          <w:color w:val="232734"/>
          <w:sz w:val="20"/>
        </w:rPr>
        <w:t>release activity;</w:t>
      </w:r>
    </w:p>
    <w:p>
      <w:pPr>
        <w:pStyle w:val="ListBullet"/>
      </w:pPr>
      <w:r>
        <w:rPr>
          <w:rFonts w:ascii="Liberation Serif" w:hAnsi="Liberation Serif"/>
          <w:color w:val="232734"/>
          <w:sz w:val="20"/>
        </w:rPr>
        <w:t>licensing;</w:t>
      </w:r>
    </w:p>
    <w:p>
      <w:pPr>
        <w:pStyle w:val="ListBullet"/>
      </w:pPr>
      <w:r>
        <w:rPr>
          <w:rFonts w:ascii="Liberation Serif" w:hAnsi="Liberation Serif"/>
          <w:color w:val="232734"/>
          <w:sz w:val="20"/>
        </w:rPr>
        <w:t>vulnerability history;</w:t>
      </w:r>
    </w:p>
    <w:p>
      <w:pPr>
        <w:pStyle w:val="ListBullet"/>
      </w:pPr>
      <w:r>
        <w:rPr>
          <w:rFonts w:ascii="Liberation Serif" w:hAnsi="Liberation Serif"/>
          <w:color w:val="232734"/>
          <w:sz w:val="20"/>
        </w:rPr>
        <w:t>dependency depth;</w:t>
      </w:r>
    </w:p>
    <w:p>
      <w:pPr>
        <w:pStyle w:val="ListBullet"/>
      </w:pPr>
      <w:r>
        <w:rPr>
          <w:rFonts w:ascii="Liberation Serif" w:hAnsi="Liberation Serif"/>
          <w:color w:val="232734"/>
          <w:sz w:val="20"/>
        </w:rPr>
        <w:t>package authenticity;</w:t>
      </w:r>
    </w:p>
    <w:p>
      <w:pPr>
        <w:pStyle w:val="ListBullet"/>
      </w:pPr>
      <w:r>
        <w:rPr>
          <w:rFonts w:ascii="Liberation Serif" w:hAnsi="Liberation Serif"/>
          <w:color w:val="232734"/>
          <w:sz w:val="20"/>
        </w:rPr>
        <w:t>download source;</w:t>
      </w:r>
    </w:p>
    <w:p>
      <w:pPr>
        <w:pStyle w:val="ListBullet"/>
      </w:pPr>
      <w:r>
        <w:rPr>
          <w:rFonts w:ascii="Liberation Serif" w:hAnsi="Liberation Serif"/>
          <w:color w:val="232734"/>
          <w:sz w:val="20"/>
        </w:rPr>
        <w:t>replacement options;</w:t>
      </w:r>
    </w:p>
    <w:p>
      <w:pPr>
        <w:pStyle w:val="ListBullet"/>
      </w:pPr>
      <w:r>
        <w:rPr>
          <w:rFonts w:ascii="Liberation Serif" w:hAnsi="Liberation Serif"/>
          <w:color w:val="232734"/>
          <w:sz w:val="20"/>
        </w:rPr>
        <w:t>transitive dependencies;</w:t>
      </w:r>
    </w:p>
    <w:p>
      <w:pPr>
        <w:pStyle w:val="ListBullet"/>
      </w:pPr>
      <w:r>
        <w:rPr>
          <w:rFonts w:ascii="Liberation Serif" w:hAnsi="Liberation Serif"/>
          <w:color w:val="232734"/>
          <w:sz w:val="20"/>
        </w:rPr>
        <w:t>abandonment risk.</w:t>
      </w:r>
    </w:p>
    <w:p>
      <w:pPr>
        <w:spacing w:after="120" w:line="252" w:lineRule="auto"/>
      </w:pPr>
      <w:r>
        <w:rPr>
          <w:rFonts w:ascii="Liberation Serif" w:hAnsi="Liberation Serif"/>
          <w:color w:val="232734"/>
          <w:sz w:val="20"/>
        </w:rPr>
        <w:t>Open source shall not be treated as automatically safer or automatically riskier than commercial software.</w:t>
      </w:r>
    </w:p>
    <w:p>
      <w:pPr>
        <w:pStyle w:val="Heading1"/>
        <w:keepNext/>
        <w:pBdr>
          <w:bottom w:val="single" w:sz="6" w:space="4" w:color="E3E6EB"/>
        </w:pBdr>
      </w:pPr>
      <w:r>
        <w:t>60. Software Bill of Materials</w:t>
      </w:r>
    </w:p>
    <w:p>
      <w:pPr>
        <w:spacing w:after="120" w:line="252" w:lineRule="auto"/>
      </w:pPr>
      <w:r>
        <w:rPr>
          <w:rFonts w:ascii="Liberation Serif" w:hAnsi="Liberation Serif"/>
          <w:color w:val="232734"/>
          <w:sz w:val="20"/>
        </w:rPr>
        <w:t>EquineSync shall maintain or be able to produce an appropriate inventory of material software components and dependencies.</w:t>
      </w:r>
    </w:p>
    <w:p>
      <w:pPr>
        <w:spacing w:after="120" w:line="252" w:lineRule="auto"/>
      </w:pPr>
      <w:r>
        <w:rPr>
          <w:rFonts w:ascii="Liberation Serif" w:hAnsi="Liberation Serif"/>
          <w:color w:val="232734"/>
          <w:sz w:val="20"/>
        </w:rPr>
        <w:t>The inventory should identify:</w:t>
      </w:r>
    </w:p>
    <w:p>
      <w:pPr>
        <w:pStyle w:val="ListBullet"/>
      </w:pPr>
      <w:r>
        <w:rPr>
          <w:rFonts w:ascii="Liberation Serif" w:hAnsi="Liberation Serif"/>
          <w:color w:val="232734"/>
          <w:sz w:val="20"/>
        </w:rPr>
        <w:t>component;</w:t>
      </w:r>
    </w:p>
    <w:p>
      <w:pPr>
        <w:pStyle w:val="ListBullet"/>
      </w:pPr>
      <w:r>
        <w:rPr>
          <w:rFonts w:ascii="Liberation Serif" w:hAnsi="Liberation Serif"/>
          <w:color w:val="232734"/>
          <w:sz w:val="20"/>
        </w:rPr>
        <w:t>version;</w:t>
      </w:r>
    </w:p>
    <w:p>
      <w:pPr>
        <w:pStyle w:val="ListBullet"/>
      </w:pPr>
      <w:r>
        <w:rPr>
          <w:rFonts w:ascii="Liberation Serif" w:hAnsi="Liberation Serif"/>
          <w:color w:val="232734"/>
          <w:sz w:val="20"/>
        </w:rPr>
        <w:t>source;</w:t>
      </w:r>
    </w:p>
    <w:p>
      <w:pPr>
        <w:pStyle w:val="ListBullet"/>
      </w:pPr>
      <w:r>
        <w:rPr>
          <w:rFonts w:ascii="Liberation Serif" w:hAnsi="Liberation Serif"/>
          <w:color w:val="232734"/>
          <w:sz w:val="20"/>
        </w:rPr>
        <w:t>license;</w:t>
      </w:r>
    </w:p>
    <w:p>
      <w:pPr>
        <w:pStyle w:val="ListBullet"/>
      </w:pPr>
      <w:r>
        <w:rPr>
          <w:rFonts w:ascii="Liberation Serif" w:hAnsi="Liberation Serif"/>
          <w:color w:val="232734"/>
          <w:sz w:val="20"/>
        </w:rPr>
        <w:t>direct or transitive status;</w:t>
      </w:r>
    </w:p>
    <w:p>
      <w:pPr>
        <w:pStyle w:val="ListBullet"/>
      </w:pPr>
      <w:r>
        <w:rPr>
          <w:rFonts w:ascii="Liberation Serif" w:hAnsi="Liberation Serif"/>
          <w:color w:val="232734"/>
          <w:sz w:val="20"/>
        </w:rPr>
        <w:t>affected systems;</w:t>
      </w:r>
    </w:p>
    <w:p>
      <w:pPr>
        <w:pStyle w:val="ListBullet"/>
      </w:pPr>
      <w:r>
        <w:rPr>
          <w:rFonts w:ascii="Liberation Serif" w:hAnsi="Liberation Serif"/>
          <w:color w:val="232734"/>
          <w:sz w:val="20"/>
        </w:rPr>
        <w:t>known vulnerabilities;</w:t>
      </w:r>
    </w:p>
    <w:p>
      <w:pPr>
        <w:pStyle w:val="ListBullet"/>
      </w:pPr>
      <w:r>
        <w:rPr>
          <w:rFonts w:ascii="Liberation Serif" w:hAnsi="Liberation Serif"/>
          <w:color w:val="232734"/>
          <w:sz w:val="20"/>
        </w:rPr>
        <w:t>owner;</w:t>
      </w:r>
    </w:p>
    <w:p>
      <w:pPr>
        <w:pStyle w:val="ListBullet"/>
      </w:pPr>
      <w:r>
        <w:rPr>
          <w:rFonts w:ascii="Liberation Serif" w:hAnsi="Liberation Serif"/>
          <w:color w:val="232734"/>
          <w:sz w:val="20"/>
        </w:rPr>
        <w:t>replacement path.</w:t>
      </w:r>
    </w:p>
    <w:p>
      <w:pPr>
        <w:spacing w:after="120" w:line="252" w:lineRule="auto"/>
      </w:pPr>
      <w:r>
        <w:rPr>
          <w:rFonts w:ascii="Liberation Serif" w:hAnsi="Liberation Serif"/>
          <w:color w:val="232734"/>
          <w:sz w:val="20"/>
        </w:rPr>
        <w:t>A software bill of materials may support this requirement.</w:t>
      </w:r>
    </w:p>
    <w:p>
      <w:pPr>
        <w:pStyle w:val="Heading1"/>
        <w:keepNext/>
        <w:pBdr>
          <w:bottom w:val="single" w:sz="6" w:space="4" w:color="E3E6EB"/>
        </w:pBdr>
      </w:pPr>
      <w:r>
        <w:t>61. Dependency Management</w:t>
      </w:r>
    </w:p>
    <w:p>
      <w:pPr>
        <w:spacing w:after="120" w:line="252" w:lineRule="auto"/>
      </w:pPr>
      <w:r>
        <w:rPr>
          <w:rFonts w:ascii="Liberation Serif" w:hAnsi="Liberation Serif"/>
          <w:color w:val="232734"/>
          <w:sz w:val="20"/>
        </w:rPr>
        <w:t>Dependencies shall be:</w:t>
      </w:r>
    </w:p>
    <w:p>
      <w:pPr>
        <w:pStyle w:val="ListBullet"/>
      </w:pPr>
      <w:r>
        <w:rPr>
          <w:rFonts w:ascii="Liberation Serif" w:hAnsi="Liberation Serif"/>
          <w:color w:val="232734"/>
          <w:sz w:val="20"/>
        </w:rPr>
        <w:t>version controlled;</w:t>
      </w:r>
    </w:p>
    <w:p>
      <w:pPr>
        <w:pStyle w:val="ListBullet"/>
      </w:pPr>
      <w:r>
        <w:rPr>
          <w:rFonts w:ascii="Liberation Serif" w:hAnsi="Liberation Serif"/>
          <w:color w:val="232734"/>
          <w:sz w:val="20"/>
        </w:rPr>
        <w:t>reviewed;</w:t>
      </w:r>
    </w:p>
    <w:p>
      <w:pPr>
        <w:pStyle w:val="ListBullet"/>
      </w:pPr>
      <w:r>
        <w:rPr>
          <w:rFonts w:ascii="Liberation Serif" w:hAnsi="Liberation Serif"/>
          <w:color w:val="232734"/>
          <w:sz w:val="20"/>
        </w:rPr>
        <w:t>scanned;</w:t>
      </w:r>
    </w:p>
    <w:p>
      <w:pPr>
        <w:pStyle w:val="ListBullet"/>
      </w:pPr>
      <w:r>
        <w:rPr>
          <w:rFonts w:ascii="Liberation Serif" w:hAnsi="Liberation Serif"/>
          <w:color w:val="232734"/>
          <w:sz w:val="20"/>
        </w:rPr>
        <w:t>updated through governed changes;</w:t>
      </w:r>
    </w:p>
    <w:p>
      <w:pPr>
        <w:pStyle w:val="ListBullet"/>
      </w:pPr>
      <w:r>
        <w:rPr>
          <w:rFonts w:ascii="Liberation Serif" w:hAnsi="Liberation Serif"/>
          <w:color w:val="232734"/>
          <w:sz w:val="20"/>
        </w:rPr>
        <w:t>removed when unused;</w:t>
      </w:r>
    </w:p>
    <w:p>
      <w:pPr>
        <w:pStyle w:val="ListBullet"/>
      </w:pPr>
      <w:r>
        <w:rPr>
          <w:rFonts w:ascii="Liberation Serif" w:hAnsi="Liberation Serif"/>
          <w:color w:val="232734"/>
          <w:sz w:val="20"/>
        </w:rPr>
        <w:t>monitored for vulnerabilities.</w:t>
      </w:r>
    </w:p>
    <w:p>
      <w:pPr>
        <w:spacing w:after="120" w:line="252" w:lineRule="auto"/>
      </w:pPr>
      <w:r>
        <w:rPr>
          <w:rFonts w:ascii="Liberation Serif" w:hAnsi="Liberation Serif"/>
          <w:color w:val="232734"/>
          <w:sz w:val="20"/>
        </w:rPr>
        <w:t>Unpinned, abandoned, or untrusted dependencies require heightened review.</w:t>
      </w:r>
    </w:p>
    <w:p>
      <w:pPr>
        <w:pStyle w:val="Heading1"/>
        <w:keepNext/>
        <w:pBdr>
          <w:bottom w:val="single" w:sz="6" w:space="4" w:color="E3E6EB"/>
        </w:pBdr>
      </w:pPr>
      <w:r>
        <w:t>62. Package Registries</w:t>
      </w:r>
    </w:p>
    <w:p>
      <w:pPr>
        <w:spacing w:after="120" w:line="252" w:lineRule="auto"/>
      </w:pPr>
      <w:r>
        <w:rPr>
          <w:rFonts w:ascii="Liberation Serif" w:hAnsi="Liberation Serif"/>
          <w:color w:val="232734"/>
          <w:sz w:val="20"/>
        </w:rPr>
        <w:t>Package registries shall be governed for:</w:t>
      </w:r>
    </w:p>
    <w:p>
      <w:pPr>
        <w:pStyle w:val="ListBullet"/>
      </w:pPr>
      <w:r>
        <w:rPr>
          <w:rFonts w:ascii="Liberation Serif" w:hAnsi="Liberation Serif"/>
          <w:color w:val="232734"/>
          <w:sz w:val="20"/>
        </w:rPr>
        <w:t>account security;</w:t>
      </w:r>
    </w:p>
    <w:p>
      <w:pPr>
        <w:pStyle w:val="ListBullet"/>
      </w:pPr>
      <w:r>
        <w:rPr>
          <w:rFonts w:ascii="Liberation Serif" w:hAnsi="Liberation Serif"/>
          <w:color w:val="232734"/>
          <w:sz w:val="20"/>
        </w:rPr>
        <w:t>namespace protection;</w:t>
      </w:r>
    </w:p>
    <w:p>
      <w:pPr>
        <w:pStyle w:val="ListBullet"/>
      </w:pPr>
      <w:r>
        <w:rPr>
          <w:rFonts w:ascii="Liberation Serif" w:hAnsi="Liberation Serif"/>
          <w:color w:val="232734"/>
          <w:sz w:val="20"/>
        </w:rPr>
        <w:t>package authenticity;</w:t>
      </w:r>
    </w:p>
    <w:p>
      <w:pPr>
        <w:pStyle w:val="ListBullet"/>
      </w:pPr>
      <w:r>
        <w:rPr>
          <w:rFonts w:ascii="Liberation Serif" w:hAnsi="Liberation Serif"/>
          <w:color w:val="232734"/>
          <w:sz w:val="20"/>
        </w:rPr>
        <w:t>typosquatting risk;</w:t>
      </w:r>
    </w:p>
    <w:p>
      <w:pPr>
        <w:pStyle w:val="ListBullet"/>
      </w:pPr>
      <w:r>
        <w:rPr>
          <w:rFonts w:ascii="Liberation Serif" w:hAnsi="Liberation Serif"/>
          <w:color w:val="232734"/>
          <w:sz w:val="20"/>
        </w:rPr>
        <w:t>dependency confusion;</w:t>
      </w:r>
    </w:p>
    <w:p>
      <w:pPr>
        <w:pStyle w:val="ListBullet"/>
      </w:pPr>
      <w:r>
        <w:rPr>
          <w:rFonts w:ascii="Liberation Serif" w:hAnsi="Liberation Serif"/>
          <w:color w:val="232734"/>
          <w:sz w:val="20"/>
        </w:rPr>
        <w:t>token protection;</w:t>
      </w:r>
    </w:p>
    <w:p>
      <w:pPr>
        <w:pStyle w:val="ListBullet"/>
      </w:pPr>
      <w:r>
        <w:rPr>
          <w:rFonts w:ascii="Liberation Serif" w:hAnsi="Liberation Serif"/>
          <w:color w:val="232734"/>
          <w:sz w:val="20"/>
        </w:rPr>
        <w:t>publishing authority;</w:t>
      </w:r>
    </w:p>
    <w:p>
      <w:pPr>
        <w:pStyle w:val="ListBullet"/>
      </w:pPr>
      <w:r>
        <w:rPr>
          <w:rFonts w:ascii="Liberation Serif" w:hAnsi="Liberation Serif"/>
          <w:color w:val="232734"/>
          <w:sz w:val="20"/>
        </w:rPr>
        <w:t>retention;</w:t>
      </w:r>
    </w:p>
    <w:p>
      <w:pPr>
        <w:pStyle w:val="ListBullet"/>
      </w:pPr>
      <w:r>
        <w:rPr>
          <w:rFonts w:ascii="Liberation Serif" w:hAnsi="Liberation Serif"/>
          <w:color w:val="232734"/>
          <w:sz w:val="20"/>
        </w:rPr>
        <w:t>incident response.</w:t>
      </w:r>
    </w:p>
    <w:p>
      <w:pPr>
        <w:spacing w:after="120" w:line="252" w:lineRule="auto"/>
      </w:pPr>
      <w:r>
        <w:rPr>
          <w:rFonts w:ascii="Liberation Serif" w:hAnsi="Liberation Serif"/>
          <w:color w:val="232734"/>
          <w:sz w:val="20"/>
        </w:rPr>
        <w:t>Production builds shall not rely on uncontrolled package sources without validation.</w:t>
      </w:r>
    </w:p>
    <w:p>
      <w:pPr>
        <w:pStyle w:val="Heading1"/>
        <w:keepNext/>
        <w:pBdr>
          <w:bottom w:val="single" w:sz="6" w:space="4" w:color="E3E6EB"/>
        </w:pBdr>
      </w:pPr>
      <w:r>
        <w:t>63. Source-Code Repositories</w:t>
      </w:r>
    </w:p>
    <w:p>
      <w:pPr>
        <w:spacing w:after="120" w:line="252" w:lineRule="auto"/>
      </w:pPr>
      <w:r>
        <w:rPr>
          <w:rFonts w:ascii="Liberation Serif" w:hAnsi="Liberation Serif"/>
          <w:color w:val="232734"/>
          <w:sz w:val="20"/>
        </w:rPr>
        <w:t>Source-code platforms shall receive Critical or High-risk review.</w:t>
      </w:r>
    </w:p>
    <w:p>
      <w:pPr>
        <w:spacing w:after="120" w:line="252" w:lineRule="auto"/>
      </w:pPr>
      <w:r>
        <w:rPr>
          <w:rFonts w:ascii="Liberation Serif" w:hAnsi="Liberation Serif"/>
          <w:color w:val="232734"/>
          <w:sz w:val="20"/>
        </w:rPr>
        <w:t>Controls shall include:</w:t>
      </w:r>
    </w:p>
    <w:p>
      <w:pPr>
        <w:pStyle w:val="ListBullet"/>
      </w:pPr>
      <w:r>
        <w:rPr>
          <w:rFonts w:ascii="Liberation Serif" w:hAnsi="Liberation Serif"/>
          <w:color w:val="232734"/>
          <w:sz w:val="20"/>
        </w:rPr>
        <w:t>multifactor authentication;</w:t>
      </w:r>
    </w:p>
    <w:p>
      <w:pPr>
        <w:pStyle w:val="ListBullet"/>
      </w:pPr>
      <w:r>
        <w:rPr>
          <w:rFonts w:ascii="Liberation Serif" w:hAnsi="Liberation Serif"/>
          <w:color w:val="232734"/>
          <w:sz w:val="20"/>
        </w:rPr>
        <w:t>least privilege;</w:t>
      </w:r>
    </w:p>
    <w:p>
      <w:pPr>
        <w:pStyle w:val="ListBullet"/>
      </w:pPr>
      <w:r>
        <w:rPr>
          <w:rFonts w:ascii="Liberation Serif" w:hAnsi="Liberation Serif"/>
          <w:color w:val="232734"/>
          <w:sz w:val="20"/>
        </w:rPr>
        <w:t>branch protection;</w:t>
      </w:r>
    </w:p>
    <w:p>
      <w:pPr>
        <w:pStyle w:val="ListBullet"/>
      </w:pPr>
      <w:r>
        <w:rPr>
          <w:rFonts w:ascii="Liberation Serif" w:hAnsi="Liberation Serif"/>
          <w:color w:val="232734"/>
          <w:sz w:val="20"/>
        </w:rPr>
        <w:t>audit logs;</w:t>
      </w:r>
    </w:p>
    <w:p>
      <w:pPr>
        <w:pStyle w:val="ListBullet"/>
      </w:pPr>
      <w:r>
        <w:rPr>
          <w:rFonts w:ascii="Liberation Serif" w:hAnsi="Liberation Serif"/>
          <w:color w:val="232734"/>
          <w:sz w:val="20"/>
        </w:rPr>
        <w:t>secret scanning;</w:t>
      </w:r>
    </w:p>
    <w:p>
      <w:pPr>
        <w:pStyle w:val="ListBullet"/>
      </w:pPr>
      <w:r>
        <w:rPr>
          <w:rFonts w:ascii="Liberation Serif" w:hAnsi="Liberation Serif"/>
          <w:color w:val="232734"/>
          <w:sz w:val="20"/>
        </w:rPr>
        <w:t>review requirements;</w:t>
      </w:r>
    </w:p>
    <w:p>
      <w:pPr>
        <w:pStyle w:val="ListBullet"/>
      </w:pPr>
      <w:r>
        <w:rPr>
          <w:rFonts w:ascii="Liberation Serif" w:hAnsi="Liberation Serif"/>
          <w:color w:val="232734"/>
          <w:sz w:val="20"/>
        </w:rPr>
        <w:t>account revocation;</w:t>
      </w:r>
    </w:p>
    <w:p>
      <w:pPr>
        <w:pStyle w:val="ListBullet"/>
      </w:pPr>
      <w:r>
        <w:rPr>
          <w:rFonts w:ascii="Liberation Serif" w:hAnsi="Liberation Serif"/>
          <w:color w:val="232734"/>
          <w:sz w:val="20"/>
        </w:rPr>
        <w:t>token management;</w:t>
      </w:r>
    </w:p>
    <w:p>
      <w:pPr>
        <w:pStyle w:val="ListBullet"/>
      </w:pPr>
      <w:r>
        <w:rPr>
          <w:rFonts w:ascii="Liberation Serif" w:hAnsi="Liberation Serif"/>
          <w:color w:val="232734"/>
          <w:sz w:val="20"/>
        </w:rPr>
        <w:t>backup or export capability.</w:t>
      </w:r>
    </w:p>
    <w:p>
      <w:pPr>
        <w:spacing w:after="120" w:line="252" w:lineRule="auto"/>
      </w:pPr>
      <w:r>
        <w:rPr>
          <w:rFonts w:ascii="Liberation Serif" w:hAnsi="Liberation Serif"/>
          <w:color w:val="232734"/>
          <w:sz w:val="20"/>
        </w:rPr>
        <w:t>Repository access shall not silently continue after employment or engagement ends.</w:t>
      </w:r>
    </w:p>
    <w:p>
      <w:pPr>
        <w:pStyle w:val="Heading1"/>
        <w:keepNext/>
        <w:pBdr>
          <w:bottom w:val="single" w:sz="6" w:space="4" w:color="E3E6EB"/>
        </w:pBdr>
      </w:pPr>
      <w:r>
        <w:t>64. Build and Deployment Pipelines</w:t>
      </w:r>
    </w:p>
    <w:p>
      <w:pPr>
        <w:spacing w:after="120" w:line="252" w:lineRule="auto"/>
      </w:pPr>
      <w:r>
        <w:rPr>
          <w:rFonts w:ascii="Liberation Serif" w:hAnsi="Liberation Serif"/>
          <w:color w:val="232734"/>
          <w:sz w:val="20"/>
        </w:rPr>
        <w:t>Build and deployment systems are part of the production trust boundary.</w:t>
      </w:r>
    </w:p>
    <w:p>
      <w:pPr>
        <w:spacing w:after="120" w:line="252" w:lineRule="auto"/>
      </w:pPr>
      <w:r>
        <w:rPr>
          <w:rFonts w:ascii="Liberation Serif" w:hAnsi="Liberation Serif"/>
          <w:color w:val="232734"/>
          <w:sz w:val="20"/>
        </w:rPr>
        <w:t>Controls shall address:</w:t>
      </w:r>
    </w:p>
    <w:p>
      <w:pPr>
        <w:pStyle w:val="ListBullet"/>
      </w:pPr>
      <w:r>
        <w:rPr>
          <w:rFonts w:ascii="Liberation Serif" w:hAnsi="Liberation Serif"/>
          <w:color w:val="232734"/>
          <w:sz w:val="20"/>
        </w:rPr>
        <w:t>source integrity;</w:t>
      </w:r>
    </w:p>
    <w:p>
      <w:pPr>
        <w:pStyle w:val="ListBullet"/>
      </w:pPr>
      <w:r>
        <w:rPr>
          <w:rFonts w:ascii="Liberation Serif" w:hAnsi="Liberation Serif"/>
          <w:color w:val="232734"/>
          <w:sz w:val="20"/>
        </w:rPr>
        <w:t>build identity;</w:t>
      </w:r>
    </w:p>
    <w:p>
      <w:pPr>
        <w:pStyle w:val="ListBullet"/>
      </w:pPr>
      <w:r>
        <w:rPr>
          <w:rFonts w:ascii="Liberation Serif" w:hAnsi="Liberation Serif"/>
          <w:color w:val="232734"/>
          <w:sz w:val="20"/>
        </w:rPr>
        <w:t>secrets;</w:t>
      </w:r>
    </w:p>
    <w:p>
      <w:pPr>
        <w:pStyle w:val="ListBullet"/>
      </w:pPr>
      <w:r>
        <w:rPr>
          <w:rFonts w:ascii="Liberation Serif" w:hAnsi="Liberation Serif"/>
          <w:color w:val="232734"/>
          <w:sz w:val="20"/>
        </w:rPr>
        <w:t>artifact provenance;</w:t>
      </w:r>
    </w:p>
    <w:p>
      <w:pPr>
        <w:pStyle w:val="ListBullet"/>
      </w:pPr>
      <w:r>
        <w:rPr>
          <w:rFonts w:ascii="Liberation Serif" w:hAnsi="Liberation Serif"/>
          <w:color w:val="232734"/>
          <w:sz w:val="20"/>
        </w:rPr>
        <w:t>approval;</w:t>
      </w:r>
    </w:p>
    <w:p>
      <w:pPr>
        <w:pStyle w:val="ListBullet"/>
      </w:pPr>
      <w:r>
        <w:rPr>
          <w:rFonts w:ascii="Liberation Serif" w:hAnsi="Liberation Serif"/>
          <w:color w:val="232734"/>
          <w:sz w:val="20"/>
        </w:rPr>
        <w:t>environment separation;</w:t>
      </w:r>
    </w:p>
    <w:p>
      <w:pPr>
        <w:pStyle w:val="ListBullet"/>
      </w:pPr>
      <w:r>
        <w:rPr>
          <w:rFonts w:ascii="Liberation Serif" w:hAnsi="Liberation Serif"/>
          <w:color w:val="232734"/>
          <w:sz w:val="20"/>
        </w:rPr>
        <w:t>logging;</w:t>
      </w:r>
    </w:p>
    <w:p>
      <w:pPr>
        <w:pStyle w:val="ListBullet"/>
      </w:pPr>
      <w:r>
        <w:rPr>
          <w:rFonts w:ascii="Liberation Serif" w:hAnsi="Liberation Serif"/>
          <w:color w:val="232734"/>
          <w:sz w:val="20"/>
        </w:rPr>
        <w:t>rollback;</w:t>
      </w:r>
    </w:p>
    <w:p>
      <w:pPr>
        <w:pStyle w:val="ListBullet"/>
      </w:pPr>
      <w:r>
        <w:rPr>
          <w:rFonts w:ascii="Liberation Serif" w:hAnsi="Liberation Serif"/>
          <w:color w:val="232734"/>
          <w:sz w:val="20"/>
        </w:rPr>
        <w:t>unauthorized pipeline change.</w:t>
      </w:r>
    </w:p>
    <w:p>
      <w:pPr>
        <w:spacing w:after="120" w:line="252" w:lineRule="auto"/>
      </w:pPr>
      <w:r>
        <w:rPr>
          <w:rFonts w:ascii="Liberation Serif" w:hAnsi="Liberation Serif"/>
          <w:color w:val="232734"/>
          <w:sz w:val="20"/>
        </w:rPr>
        <w:t>A compromised pipeline may create a security incident even where source code appears unchanged.</w:t>
      </w:r>
    </w:p>
    <w:p>
      <w:pPr>
        <w:pStyle w:val="Heading1"/>
        <w:keepNext/>
        <w:pBdr>
          <w:bottom w:val="single" w:sz="6" w:space="4" w:color="E3E6EB"/>
        </w:pBdr>
      </w:pPr>
      <w:r>
        <w:t>65. Build Artifact Provenance</w:t>
      </w:r>
    </w:p>
    <w:p>
      <w:pPr>
        <w:spacing w:after="120" w:line="252" w:lineRule="auto"/>
      </w:pPr>
      <w:r>
        <w:rPr>
          <w:rFonts w:ascii="Liberation Serif" w:hAnsi="Liberation Serif"/>
          <w:color w:val="232734"/>
          <w:sz w:val="20"/>
        </w:rPr>
        <w:t>EquineSync should preserve evidence linking production artifacts to:</w:t>
      </w:r>
    </w:p>
    <w:p>
      <w:pPr>
        <w:pStyle w:val="ListBullet"/>
      </w:pPr>
      <w:r>
        <w:rPr>
          <w:rFonts w:ascii="Liberation Serif" w:hAnsi="Liberation Serif"/>
          <w:color w:val="232734"/>
          <w:sz w:val="20"/>
        </w:rPr>
        <w:t>source revision;</w:t>
      </w:r>
    </w:p>
    <w:p>
      <w:pPr>
        <w:pStyle w:val="ListBullet"/>
      </w:pPr>
      <w:r>
        <w:rPr>
          <w:rFonts w:ascii="Liberation Serif" w:hAnsi="Liberation Serif"/>
          <w:color w:val="232734"/>
          <w:sz w:val="20"/>
        </w:rPr>
        <w:t>build process;</w:t>
      </w:r>
    </w:p>
    <w:p>
      <w:pPr>
        <w:pStyle w:val="ListBullet"/>
      </w:pPr>
      <w:r>
        <w:rPr>
          <w:rFonts w:ascii="Liberation Serif" w:hAnsi="Liberation Serif"/>
          <w:color w:val="232734"/>
          <w:sz w:val="20"/>
        </w:rPr>
        <w:t>dependency versions;</w:t>
      </w:r>
    </w:p>
    <w:p>
      <w:pPr>
        <w:pStyle w:val="ListBullet"/>
      </w:pPr>
      <w:r>
        <w:rPr>
          <w:rFonts w:ascii="Liberation Serif" w:hAnsi="Liberation Serif"/>
          <w:color w:val="232734"/>
          <w:sz w:val="20"/>
        </w:rPr>
        <w:t>build environment;</w:t>
      </w:r>
    </w:p>
    <w:p>
      <w:pPr>
        <w:pStyle w:val="ListBullet"/>
      </w:pPr>
      <w:r>
        <w:rPr>
          <w:rFonts w:ascii="Liberation Serif" w:hAnsi="Liberation Serif"/>
          <w:color w:val="232734"/>
          <w:sz w:val="20"/>
        </w:rPr>
        <w:t>approving release;</w:t>
      </w:r>
    </w:p>
    <w:p>
      <w:pPr>
        <w:pStyle w:val="ListBullet"/>
      </w:pPr>
      <w:r>
        <w:rPr>
          <w:rFonts w:ascii="Liberation Serif" w:hAnsi="Liberation Serif"/>
          <w:color w:val="232734"/>
          <w:sz w:val="20"/>
        </w:rPr>
        <w:t>signing identity;</w:t>
      </w:r>
    </w:p>
    <w:p>
      <w:pPr>
        <w:pStyle w:val="ListBullet"/>
      </w:pPr>
      <w:r>
        <w:rPr>
          <w:rFonts w:ascii="Liberation Serif" w:hAnsi="Liberation Serif"/>
          <w:color w:val="232734"/>
          <w:sz w:val="20"/>
        </w:rPr>
        <w:t>deployment.</w:t>
      </w:r>
    </w:p>
    <w:p>
      <w:pPr>
        <w:spacing w:after="120" w:line="252" w:lineRule="auto"/>
      </w:pPr>
      <w:r>
        <w:rPr>
          <w:rFonts w:ascii="Liberation Serif" w:hAnsi="Liberation Serif"/>
          <w:color w:val="232734"/>
          <w:sz w:val="20"/>
        </w:rPr>
        <w:t>Unverifiable artifacts shall not be promoted to production without explicit exception and validation.</w:t>
      </w:r>
    </w:p>
    <w:p>
      <w:pPr>
        <w:pStyle w:val="Heading1"/>
        <w:keepNext/>
        <w:pBdr>
          <w:bottom w:val="single" w:sz="6" w:space="4" w:color="E3E6EB"/>
        </w:pBdr>
      </w:pPr>
      <w:r>
        <w:t>66. Artifact Signing</w:t>
      </w:r>
    </w:p>
    <w:p>
      <w:pPr>
        <w:spacing w:after="120" w:line="252" w:lineRule="auto"/>
      </w:pPr>
      <w:r>
        <w:rPr>
          <w:rFonts w:ascii="Liberation Serif" w:hAnsi="Liberation Serif"/>
          <w:color w:val="232734"/>
          <w:sz w:val="20"/>
        </w:rPr>
        <w:t>Signing or equivalent integrity controls should be considered for:</w:t>
      </w:r>
    </w:p>
    <w:p>
      <w:pPr>
        <w:pStyle w:val="ListBullet"/>
      </w:pPr>
      <w:r>
        <w:rPr>
          <w:rFonts w:ascii="Liberation Serif" w:hAnsi="Liberation Serif"/>
          <w:color w:val="232734"/>
          <w:sz w:val="20"/>
        </w:rPr>
        <w:t>application packages;</w:t>
      </w:r>
    </w:p>
    <w:p>
      <w:pPr>
        <w:pStyle w:val="ListBullet"/>
      </w:pPr>
      <w:r>
        <w:rPr>
          <w:rFonts w:ascii="Liberation Serif" w:hAnsi="Liberation Serif"/>
          <w:color w:val="232734"/>
          <w:sz w:val="20"/>
        </w:rPr>
        <w:t>containers;</w:t>
      </w:r>
    </w:p>
    <w:p>
      <w:pPr>
        <w:pStyle w:val="ListBullet"/>
      </w:pPr>
      <w:r>
        <w:rPr>
          <w:rFonts w:ascii="Liberation Serif" w:hAnsi="Liberation Serif"/>
          <w:color w:val="232734"/>
          <w:sz w:val="20"/>
        </w:rPr>
        <w:t>release artifacts;</w:t>
      </w:r>
    </w:p>
    <w:p>
      <w:pPr>
        <w:pStyle w:val="ListBullet"/>
      </w:pPr>
      <w:r>
        <w:rPr>
          <w:rFonts w:ascii="Liberation Serif" w:hAnsi="Liberation Serif"/>
          <w:color w:val="232734"/>
          <w:sz w:val="20"/>
        </w:rPr>
        <w:t>mobile builds;</w:t>
      </w:r>
    </w:p>
    <w:p>
      <w:pPr>
        <w:pStyle w:val="ListBullet"/>
      </w:pPr>
      <w:r>
        <w:rPr>
          <w:rFonts w:ascii="Liberation Serif" w:hAnsi="Liberation Serif"/>
          <w:color w:val="232734"/>
          <w:sz w:val="20"/>
        </w:rPr>
        <w:t>updates;</w:t>
      </w:r>
    </w:p>
    <w:p>
      <w:pPr>
        <w:pStyle w:val="ListBullet"/>
      </w:pPr>
      <w:r>
        <w:rPr>
          <w:rFonts w:ascii="Liberation Serif" w:hAnsi="Liberation Serif"/>
          <w:color w:val="232734"/>
          <w:sz w:val="20"/>
        </w:rPr>
        <w:t>critical configuration.</w:t>
      </w:r>
    </w:p>
    <w:p>
      <w:pPr>
        <w:spacing w:after="120" w:line="252" w:lineRule="auto"/>
      </w:pPr>
      <w:r>
        <w:rPr>
          <w:rFonts w:ascii="Liberation Serif" w:hAnsi="Liberation Serif"/>
          <w:color w:val="232734"/>
          <w:sz w:val="20"/>
        </w:rPr>
        <w:t>Signing keys shall follow controlling encryption and key-management canon.</w:t>
      </w:r>
    </w:p>
    <w:p>
      <w:pPr>
        <w:pStyle w:val="Heading1"/>
        <w:keepNext/>
        <w:pBdr>
          <w:bottom w:val="single" w:sz="6" w:space="4" w:color="E3E6EB"/>
        </w:pBdr>
      </w:pPr>
      <w:r>
        <w:t>67. Container and Image Sources</w:t>
      </w:r>
    </w:p>
    <w:p>
      <w:pPr>
        <w:spacing w:after="120" w:line="252" w:lineRule="auto"/>
      </w:pPr>
      <w:r>
        <w:rPr>
          <w:rFonts w:ascii="Liberation Serif" w:hAnsi="Liberation Serif"/>
          <w:color w:val="232734"/>
          <w:sz w:val="20"/>
        </w:rPr>
        <w:t>Container images shall come from approved sources.</w:t>
      </w:r>
    </w:p>
    <w:p>
      <w:pPr>
        <w:spacing w:after="120" w:line="252" w:lineRule="auto"/>
      </w:pPr>
      <w:r>
        <w:rPr>
          <w:rFonts w:ascii="Liberation Serif" w:hAnsi="Liberation Serif"/>
          <w:color w:val="232734"/>
          <w:sz w:val="20"/>
        </w:rPr>
        <w:t>Controls shall address:</w:t>
      </w:r>
    </w:p>
    <w:p>
      <w:pPr>
        <w:pStyle w:val="ListBullet"/>
      </w:pPr>
      <w:r>
        <w:rPr>
          <w:rFonts w:ascii="Liberation Serif" w:hAnsi="Liberation Serif"/>
          <w:color w:val="232734"/>
          <w:sz w:val="20"/>
        </w:rPr>
        <w:t>base-image provenance;</w:t>
      </w:r>
    </w:p>
    <w:p>
      <w:pPr>
        <w:pStyle w:val="ListBullet"/>
      </w:pPr>
      <w:r>
        <w:rPr>
          <w:rFonts w:ascii="Liberation Serif" w:hAnsi="Liberation Serif"/>
          <w:color w:val="232734"/>
          <w:sz w:val="20"/>
        </w:rPr>
        <w:t>vulnerability scanning;</w:t>
      </w:r>
    </w:p>
    <w:p>
      <w:pPr>
        <w:pStyle w:val="ListBullet"/>
      </w:pPr>
      <w:r>
        <w:rPr>
          <w:rFonts w:ascii="Liberation Serif" w:hAnsi="Liberation Serif"/>
          <w:color w:val="232734"/>
          <w:sz w:val="20"/>
        </w:rPr>
        <w:t>immutability;</w:t>
      </w:r>
    </w:p>
    <w:p>
      <w:pPr>
        <w:pStyle w:val="ListBullet"/>
      </w:pPr>
      <w:r>
        <w:rPr>
          <w:rFonts w:ascii="Liberation Serif" w:hAnsi="Liberation Serif"/>
          <w:color w:val="232734"/>
          <w:sz w:val="20"/>
        </w:rPr>
        <w:t>registry access;</w:t>
      </w:r>
    </w:p>
    <w:p>
      <w:pPr>
        <w:pStyle w:val="ListBullet"/>
      </w:pPr>
      <w:r>
        <w:rPr>
          <w:rFonts w:ascii="Liberation Serif" w:hAnsi="Liberation Serif"/>
          <w:color w:val="232734"/>
          <w:sz w:val="20"/>
        </w:rPr>
        <w:t>signing;</w:t>
      </w:r>
    </w:p>
    <w:p>
      <w:pPr>
        <w:pStyle w:val="ListBullet"/>
      </w:pPr>
      <w:r>
        <w:rPr>
          <w:rFonts w:ascii="Liberation Serif" w:hAnsi="Liberation Serif"/>
          <w:color w:val="232734"/>
          <w:sz w:val="20"/>
        </w:rPr>
        <w:t>tag mutability;</w:t>
      </w:r>
    </w:p>
    <w:p>
      <w:pPr>
        <w:pStyle w:val="ListBullet"/>
      </w:pPr>
      <w:r>
        <w:rPr>
          <w:rFonts w:ascii="Liberation Serif" w:hAnsi="Liberation Serif"/>
          <w:color w:val="232734"/>
          <w:sz w:val="20"/>
        </w:rPr>
        <w:t>secrets;</w:t>
      </w:r>
    </w:p>
    <w:p>
      <w:pPr>
        <w:pStyle w:val="ListBullet"/>
      </w:pPr>
      <w:r>
        <w:rPr>
          <w:rFonts w:ascii="Liberation Serif" w:hAnsi="Liberation Serif"/>
          <w:color w:val="232734"/>
          <w:sz w:val="20"/>
        </w:rPr>
        <w:t>unsupported packages.</w:t>
      </w:r>
    </w:p>
    <w:p>
      <w:pPr>
        <w:spacing w:after="120" w:line="252" w:lineRule="auto"/>
      </w:pPr>
      <w:r>
        <w:rPr>
          <w:rFonts w:ascii="Liberation Serif" w:hAnsi="Liberation Serif"/>
          <w:color w:val="232734"/>
          <w:sz w:val="20"/>
        </w:rPr>
        <w:t>Mutable tags shall not be treated as reliable evidence of exact production content.</w:t>
      </w:r>
    </w:p>
    <w:p>
      <w:pPr>
        <w:pStyle w:val="Heading1"/>
        <w:keepNext/>
        <w:pBdr>
          <w:bottom w:val="single" w:sz="6" w:space="4" w:color="E3E6EB"/>
        </w:pBdr>
      </w:pPr>
      <w:r>
        <w:t>68. Mobile Application Supply Chain</w:t>
      </w:r>
    </w:p>
    <w:p>
      <w:pPr>
        <w:spacing w:after="120" w:line="252" w:lineRule="auto"/>
      </w:pPr>
      <w:r>
        <w:rPr>
          <w:rFonts w:ascii="Liberation Serif" w:hAnsi="Liberation Serif"/>
          <w:color w:val="232734"/>
          <w:sz w:val="20"/>
        </w:rPr>
        <w:t>Mobile application distribution shall address:</w:t>
      </w:r>
    </w:p>
    <w:p>
      <w:pPr>
        <w:pStyle w:val="ListBullet"/>
      </w:pPr>
      <w:r>
        <w:rPr>
          <w:rFonts w:ascii="Liberation Serif" w:hAnsi="Liberation Serif"/>
          <w:color w:val="232734"/>
          <w:sz w:val="20"/>
        </w:rPr>
        <w:t>developer accounts;</w:t>
      </w:r>
    </w:p>
    <w:p>
      <w:pPr>
        <w:pStyle w:val="ListBullet"/>
      </w:pPr>
      <w:r>
        <w:rPr>
          <w:rFonts w:ascii="Liberation Serif" w:hAnsi="Liberation Serif"/>
          <w:color w:val="232734"/>
          <w:sz w:val="20"/>
        </w:rPr>
        <w:t>signing certificates;</w:t>
      </w:r>
    </w:p>
    <w:p>
      <w:pPr>
        <w:pStyle w:val="ListBullet"/>
      </w:pPr>
      <w:r>
        <w:rPr>
          <w:rFonts w:ascii="Liberation Serif" w:hAnsi="Liberation Serif"/>
          <w:color w:val="232734"/>
          <w:sz w:val="20"/>
        </w:rPr>
        <w:t>provisioning;</w:t>
      </w:r>
    </w:p>
    <w:p>
      <w:pPr>
        <w:pStyle w:val="ListBullet"/>
      </w:pPr>
      <w:r>
        <w:rPr>
          <w:rFonts w:ascii="Liberation Serif" w:hAnsi="Liberation Serif"/>
          <w:color w:val="232734"/>
          <w:sz w:val="20"/>
        </w:rPr>
        <w:t>store access;</w:t>
      </w:r>
    </w:p>
    <w:p>
      <w:pPr>
        <w:pStyle w:val="ListBullet"/>
      </w:pPr>
      <w:r>
        <w:rPr>
          <w:rFonts w:ascii="Liberation Serif" w:hAnsi="Liberation Serif"/>
          <w:color w:val="232734"/>
          <w:sz w:val="20"/>
        </w:rPr>
        <w:t>release approval;</w:t>
      </w:r>
    </w:p>
    <w:p>
      <w:pPr>
        <w:pStyle w:val="ListBullet"/>
      </w:pPr>
      <w:r>
        <w:rPr>
          <w:rFonts w:ascii="Liberation Serif" w:hAnsi="Liberation Serif"/>
          <w:color w:val="232734"/>
          <w:sz w:val="20"/>
        </w:rPr>
        <w:t>account recovery;</w:t>
      </w:r>
    </w:p>
    <w:p>
      <w:pPr>
        <w:pStyle w:val="ListBullet"/>
      </w:pPr>
      <w:r>
        <w:rPr>
          <w:rFonts w:ascii="Liberation Serif" w:hAnsi="Liberation Serif"/>
          <w:color w:val="232734"/>
          <w:sz w:val="20"/>
        </w:rPr>
        <w:t>compromised credentials;</w:t>
      </w:r>
    </w:p>
    <w:p>
      <w:pPr>
        <w:pStyle w:val="ListBullet"/>
      </w:pPr>
      <w:r>
        <w:rPr>
          <w:rFonts w:ascii="Liberation Serif" w:hAnsi="Liberation Serif"/>
          <w:color w:val="232734"/>
          <w:sz w:val="20"/>
        </w:rPr>
        <w:t>emergency release;</w:t>
      </w:r>
    </w:p>
    <w:p>
      <w:pPr>
        <w:pStyle w:val="ListBullet"/>
      </w:pPr>
      <w:r>
        <w:rPr>
          <w:rFonts w:ascii="Liberation Serif" w:hAnsi="Liberation Serif"/>
          <w:color w:val="232734"/>
          <w:sz w:val="20"/>
        </w:rPr>
        <w:t>rollback limitations.</w:t>
      </w:r>
    </w:p>
    <w:p>
      <w:pPr>
        <w:spacing w:after="120" w:line="252" w:lineRule="auto"/>
      </w:pPr>
      <w:r>
        <w:rPr>
          <w:rFonts w:ascii="Liberation Serif" w:hAnsi="Liberation Serif"/>
          <w:color w:val="232734"/>
          <w:sz w:val="20"/>
        </w:rPr>
        <w:t>Mobile distribution credentials shall be treated as Critical.</w:t>
      </w:r>
    </w:p>
    <w:p>
      <w:pPr>
        <w:pStyle w:val="Heading1"/>
        <w:keepNext/>
        <w:pBdr>
          <w:bottom w:val="single" w:sz="6" w:space="4" w:color="E3E6EB"/>
        </w:pBdr>
      </w:pPr>
      <w:r>
        <w:t>69. Browser Extensions and Client-Side Dependencies</w:t>
      </w:r>
    </w:p>
    <w:p>
      <w:pPr>
        <w:spacing w:after="120" w:line="252" w:lineRule="auto"/>
      </w:pPr>
      <w:r>
        <w:rPr>
          <w:rFonts w:ascii="Liberation Serif" w:hAnsi="Liberation Serif"/>
          <w:color w:val="232734"/>
          <w:sz w:val="20"/>
        </w:rPr>
        <w:t>Browser extensions and client-side third-party scripts may access sensitive page content.</w:t>
      </w:r>
    </w:p>
    <w:p>
      <w:pPr>
        <w:spacing w:after="120" w:line="252" w:lineRule="auto"/>
      </w:pPr>
      <w:r>
        <w:rPr>
          <w:rFonts w:ascii="Liberation Serif" w:hAnsi="Liberation Serif"/>
          <w:color w:val="232734"/>
          <w:sz w:val="20"/>
        </w:rPr>
        <w:t>Their use shall be minimized and reviewed for:</w:t>
      </w:r>
    </w:p>
    <w:p>
      <w:pPr>
        <w:pStyle w:val="ListBullet"/>
      </w:pPr>
      <w:r>
        <w:rPr>
          <w:rFonts w:ascii="Liberation Serif" w:hAnsi="Liberation Serif"/>
          <w:color w:val="232734"/>
          <w:sz w:val="20"/>
        </w:rPr>
        <w:t>data collection;</w:t>
      </w:r>
    </w:p>
    <w:p>
      <w:pPr>
        <w:pStyle w:val="ListBullet"/>
      </w:pPr>
      <w:r>
        <w:rPr>
          <w:rFonts w:ascii="Liberation Serif" w:hAnsi="Liberation Serif"/>
          <w:color w:val="232734"/>
          <w:sz w:val="20"/>
        </w:rPr>
        <w:t>script integrity;</w:t>
      </w:r>
    </w:p>
    <w:p>
      <w:pPr>
        <w:pStyle w:val="ListBullet"/>
      </w:pPr>
      <w:r>
        <w:rPr>
          <w:rFonts w:ascii="Liberation Serif" w:hAnsi="Liberation Serif"/>
          <w:color w:val="232734"/>
          <w:sz w:val="20"/>
        </w:rPr>
        <w:t>update control;</w:t>
      </w:r>
    </w:p>
    <w:p>
      <w:pPr>
        <w:pStyle w:val="ListBullet"/>
      </w:pPr>
      <w:r>
        <w:rPr>
          <w:rFonts w:ascii="Liberation Serif" w:hAnsi="Liberation Serif"/>
          <w:color w:val="232734"/>
          <w:sz w:val="20"/>
        </w:rPr>
        <w:t>content access;</w:t>
      </w:r>
    </w:p>
    <w:p>
      <w:pPr>
        <w:pStyle w:val="ListBullet"/>
      </w:pPr>
      <w:r>
        <w:rPr>
          <w:rFonts w:ascii="Liberation Serif" w:hAnsi="Liberation Serif"/>
          <w:color w:val="232734"/>
          <w:sz w:val="20"/>
        </w:rPr>
        <w:t>supply-chain compromise;</w:t>
      </w:r>
    </w:p>
    <w:p>
      <w:pPr>
        <w:pStyle w:val="ListBullet"/>
      </w:pPr>
      <w:r>
        <w:rPr>
          <w:rFonts w:ascii="Liberation Serif" w:hAnsi="Liberation Serif"/>
          <w:color w:val="232734"/>
          <w:sz w:val="20"/>
        </w:rPr>
        <w:t>retention;</w:t>
      </w:r>
    </w:p>
    <w:p>
      <w:pPr>
        <w:pStyle w:val="ListBullet"/>
      </w:pPr>
      <w:r>
        <w:rPr>
          <w:rFonts w:ascii="Liberation Serif" w:hAnsi="Liberation Serif"/>
          <w:color w:val="232734"/>
          <w:sz w:val="20"/>
        </w:rPr>
        <w:t>advertising behavior.</w:t>
      </w:r>
    </w:p>
    <w:p>
      <w:pPr>
        <w:spacing w:after="120" w:line="252" w:lineRule="auto"/>
      </w:pPr>
      <w:r>
        <w:rPr>
          <w:rFonts w:ascii="Liberation Serif" w:hAnsi="Liberation Serif"/>
          <w:color w:val="232734"/>
          <w:sz w:val="20"/>
        </w:rPr>
        <w:t>Third-party scripts shall not receive authenticated customer data without governed necessity.</w:t>
      </w:r>
    </w:p>
    <w:p>
      <w:pPr>
        <w:pStyle w:val="Heading1"/>
        <w:keepNext/>
        <w:pBdr>
          <w:bottom w:val="single" w:sz="6" w:space="4" w:color="E3E6EB"/>
        </w:pBdr>
      </w:pPr>
      <w:r>
        <w:t>70. Telemetry and Analytics Vendors</w:t>
      </w:r>
    </w:p>
    <w:p>
      <w:pPr>
        <w:spacing w:after="120" w:line="252" w:lineRule="auto"/>
      </w:pPr>
      <w:r>
        <w:rPr>
          <w:rFonts w:ascii="Liberation Serif" w:hAnsi="Liberation Serif"/>
          <w:color w:val="232734"/>
          <w:sz w:val="20"/>
        </w:rPr>
        <w:t>Telemetry vendors shall receive only the data necessary for:</w:t>
      </w:r>
    </w:p>
    <w:p>
      <w:pPr>
        <w:pStyle w:val="ListBullet"/>
      </w:pPr>
      <w:r>
        <w:rPr>
          <w:rFonts w:ascii="Liberation Serif" w:hAnsi="Liberation Serif"/>
          <w:color w:val="232734"/>
          <w:sz w:val="20"/>
        </w:rPr>
        <w:t>security;</w:t>
      </w:r>
    </w:p>
    <w:p>
      <w:pPr>
        <w:pStyle w:val="ListBullet"/>
      </w:pPr>
      <w:r>
        <w:rPr>
          <w:rFonts w:ascii="Liberation Serif" w:hAnsi="Liberation Serif"/>
          <w:color w:val="232734"/>
          <w:sz w:val="20"/>
        </w:rPr>
        <w:t>performance;</w:t>
      </w:r>
    </w:p>
    <w:p>
      <w:pPr>
        <w:pStyle w:val="ListBullet"/>
      </w:pPr>
      <w:r>
        <w:rPr>
          <w:rFonts w:ascii="Liberation Serif" w:hAnsi="Liberation Serif"/>
          <w:color w:val="232734"/>
          <w:sz w:val="20"/>
        </w:rPr>
        <w:t>reliability;</w:t>
      </w:r>
    </w:p>
    <w:p>
      <w:pPr>
        <w:pStyle w:val="ListBullet"/>
      </w:pPr>
      <w:r>
        <w:rPr>
          <w:rFonts w:ascii="Liberation Serif" w:hAnsi="Liberation Serif"/>
          <w:color w:val="232734"/>
          <w:sz w:val="20"/>
        </w:rPr>
        <w:t>governed product analysis.</w:t>
      </w:r>
    </w:p>
    <w:p>
      <w:pPr>
        <w:spacing w:after="120" w:line="252" w:lineRule="auto"/>
      </w:pPr>
      <w:r>
        <w:rPr>
          <w:rFonts w:ascii="Liberation Serif" w:hAnsi="Liberation Serif"/>
          <w:color w:val="232734"/>
          <w:sz w:val="20"/>
        </w:rPr>
        <w:t>Telemetry shall not expose:</w:t>
      </w:r>
    </w:p>
    <w:p>
      <w:pPr>
        <w:pStyle w:val="ListBullet"/>
      </w:pPr>
      <w:r>
        <w:rPr>
          <w:rFonts w:ascii="Liberation Serif" w:hAnsi="Liberation Serif"/>
          <w:color w:val="232734"/>
          <w:sz w:val="20"/>
        </w:rPr>
        <w:t>passwords;</w:t>
      </w:r>
    </w:p>
    <w:p>
      <w:pPr>
        <w:pStyle w:val="ListBullet"/>
      </w:pPr>
      <w:r>
        <w:rPr>
          <w:rFonts w:ascii="Liberation Serif" w:hAnsi="Liberation Serif"/>
          <w:color w:val="232734"/>
          <w:sz w:val="20"/>
        </w:rPr>
        <w:t>secrets;</w:t>
      </w:r>
    </w:p>
    <w:p>
      <w:pPr>
        <w:pStyle w:val="ListBullet"/>
      </w:pPr>
      <w:r>
        <w:rPr>
          <w:rFonts w:ascii="Liberation Serif" w:hAnsi="Liberation Serif"/>
          <w:color w:val="232734"/>
          <w:sz w:val="20"/>
        </w:rPr>
        <w:t>full payment data;</w:t>
      </w:r>
    </w:p>
    <w:p>
      <w:pPr>
        <w:pStyle w:val="ListBullet"/>
      </w:pPr>
      <w:r>
        <w:rPr>
          <w:rFonts w:ascii="Liberation Serif" w:hAnsi="Liberation Serif"/>
          <w:color w:val="232734"/>
          <w:sz w:val="20"/>
        </w:rPr>
        <w:t>safeguarding content;</w:t>
      </w:r>
    </w:p>
    <w:p>
      <w:pPr>
        <w:pStyle w:val="ListBullet"/>
      </w:pPr>
      <w:r>
        <w:rPr>
          <w:rFonts w:ascii="Liberation Serif" w:hAnsi="Liberation Serif"/>
          <w:color w:val="232734"/>
          <w:sz w:val="20"/>
        </w:rPr>
        <w:t>unnecessary horse or person details;</w:t>
      </w:r>
    </w:p>
    <w:p>
      <w:pPr>
        <w:pStyle w:val="ListBullet"/>
      </w:pPr>
      <w:r>
        <w:rPr>
          <w:rFonts w:ascii="Liberation Serif" w:hAnsi="Liberation Serif"/>
          <w:color w:val="232734"/>
          <w:sz w:val="20"/>
        </w:rPr>
        <w:t>unrestricted message content.</w:t>
      </w:r>
    </w:p>
    <w:p>
      <w:pPr>
        <w:spacing w:after="120" w:line="252" w:lineRule="auto"/>
      </w:pPr>
      <w:r>
        <w:rPr>
          <w:rFonts w:ascii="Liberation Serif" w:hAnsi="Liberation Serif"/>
          <w:color w:val="232734"/>
          <w:sz w:val="20"/>
        </w:rPr>
        <w:t>Security telemetry shall not be repurposed for advertising.</w:t>
      </w:r>
    </w:p>
    <w:p>
      <w:pPr>
        <w:pStyle w:val="Heading1"/>
        <w:keepNext/>
        <w:pBdr>
          <w:bottom w:val="single" w:sz="6" w:space="4" w:color="E3E6EB"/>
        </w:pBdr>
      </w:pPr>
      <w:r>
        <w:t>71. Data Brokers and Advertising Vendors</w:t>
      </w:r>
    </w:p>
    <w:p>
      <w:pPr>
        <w:spacing w:after="120" w:line="252" w:lineRule="auto"/>
      </w:pPr>
      <w:r>
        <w:rPr>
          <w:rFonts w:ascii="Liberation Serif" w:hAnsi="Liberation Serif"/>
          <w:color w:val="232734"/>
          <w:sz w:val="20"/>
        </w:rPr>
        <w:t>EquineSync prohibits vendor relationships whose purpose is:</w:t>
      </w:r>
    </w:p>
    <w:p>
      <w:pPr>
        <w:pStyle w:val="ListBullet"/>
      </w:pPr>
      <w:r>
        <w:rPr>
          <w:rFonts w:ascii="Liberation Serif" w:hAnsi="Liberation Serif"/>
          <w:color w:val="232734"/>
          <w:sz w:val="20"/>
        </w:rPr>
        <w:t>sale of personal data;</w:t>
      </w:r>
    </w:p>
    <w:p>
      <w:pPr>
        <w:pStyle w:val="ListBullet"/>
      </w:pPr>
      <w:r>
        <w:rPr>
          <w:rFonts w:ascii="Liberation Serif" w:hAnsi="Liberation Serif"/>
          <w:color w:val="232734"/>
          <w:sz w:val="20"/>
        </w:rPr>
        <w:t>behavioral advertising;</w:t>
      </w:r>
    </w:p>
    <w:p>
      <w:pPr>
        <w:pStyle w:val="ListBullet"/>
      </w:pPr>
      <w:r>
        <w:rPr>
          <w:rFonts w:ascii="Liberation Serif" w:hAnsi="Liberation Serif"/>
          <w:color w:val="232734"/>
          <w:sz w:val="20"/>
        </w:rPr>
        <w:t>cross-context profiling;</w:t>
      </w:r>
    </w:p>
    <w:p>
      <w:pPr>
        <w:pStyle w:val="ListBullet"/>
      </w:pPr>
      <w:r>
        <w:rPr>
          <w:rFonts w:ascii="Liberation Serif" w:hAnsi="Liberation Serif"/>
          <w:color w:val="232734"/>
          <w:sz w:val="20"/>
        </w:rPr>
        <w:t>unrelated data monetization;</w:t>
      </w:r>
    </w:p>
    <w:p>
      <w:pPr>
        <w:pStyle w:val="ListBullet"/>
      </w:pPr>
      <w:r>
        <w:rPr>
          <w:rFonts w:ascii="Liberation Serif" w:hAnsi="Liberation Serif"/>
          <w:color w:val="232734"/>
          <w:sz w:val="20"/>
        </w:rPr>
        <w:t>data brokerage.</w:t>
      </w:r>
    </w:p>
    <w:p>
      <w:pPr>
        <w:spacing w:after="120" w:line="252" w:lineRule="auto"/>
      </w:pPr>
      <w:r>
        <w:rPr>
          <w:rFonts w:ascii="Liberation Serif" w:hAnsi="Liberation Serif"/>
          <w:color w:val="232734"/>
          <w:sz w:val="20"/>
        </w:rPr>
        <w:t>This prohibition applies even where consent language could arguably be drafted to permit such use.</w:t>
      </w:r>
    </w:p>
    <w:p>
      <w:pPr>
        <w:pStyle w:val="Heading1"/>
        <w:keepNext/>
        <w:pBdr>
          <w:bottom w:val="single" w:sz="6" w:space="4" w:color="E3E6EB"/>
        </w:pBdr>
      </w:pPr>
      <w:r>
        <w:t>72. Vendor Incident Response</w:t>
      </w:r>
    </w:p>
    <w:p>
      <w:pPr>
        <w:spacing w:after="120" w:line="252" w:lineRule="auto"/>
      </w:pPr>
      <w:r>
        <w:rPr>
          <w:rFonts w:ascii="Liberation Serif" w:hAnsi="Liberation Serif"/>
          <w:color w:val="232734"/>
          <w:sz w:val="20"/>
        </w:rPr>
        <w:t>Vendor incidents shall be managed under the Master Security Incident Response and Disclosure Model.</w:t>
      </w:r>
    </w:p>
    <w:p>
      <w:pPr>
        <w:spacing w:after="120" w:line="252" w:lineRule="auto"/>
      </w:pPr>
      <w:r>
        <w:rPr>
          <w:rFonts w:ascii="Liberation Serif" w:hAnsi="Liberation Serif"/>
          <w:color w:val="232734"/>
          <w:sz w:val="20"/>
        </w:rPr>
        <w:t>EquineSync shall independently assess:</w:t>
      </w:r>
    </w:p>
    <w:p>
      <w:pPr>
        <w:pStyle w:val="ListBullet"/>
      </w:pPr>
      <w:r>
        <w:rPr>
          <w:rFonts w:ascii="Liberation Serif" w:hAnsi="Liberation Serif"/>
          <w:color w:val="232734"/>
          <w:sz w:val="20"/>
        </w:rPr>
        <w:t>scope;</w:t>
      </w:r>
    </w:p>
    <w:p>
      <w:pPr>
        <w:pStyle w:val="ListBullet"/>
      </w:pPr>
      <w:r>
        <w:rPr>
          <w:rFonts w:ascii="Liberation Serif" w:hAnsi="Liberation Serif"/>
          <w:color w:val="232734"/>
          <w:sz w:val="20"/>
        </w:rPr>
        <w:t>data affected;</w:t>
      </w:r>
    </w:p>
    <w:p>
      <w:pPr>
        <w:pStyle w:val="ListBullet"/>
      </w:pPr>
      <w:r>
        <w:rPr>
          <w:rFonts w:ascii="Liberation Serif" w:hAnsi="Liberation Serif"/>
          <w:color w:val="232734"/>
          <w:sz w:val="20"/>
        </w:rPr>
        <w:t>tenant impact;</w:t>
      </w:r>
    </w:p>
    <w:p>
      <w:pPr>
        <w:pStyle w:val="ListBullet"/>
      </w:pPr>
      <w:r>
        <w:rPr>
          <w:rFonts w:ascii="Liberation Serif" w:hAnsi="Liberation Serif"/>
          <w:color w:val="232734"/>
          <w:sz w:val="20"/>
        </w:rPr>
        <w:t>ongoing access;</w:t>
      </w:r>
    </w:p>
    <w:p>
      <w:pPr>
        <w:pStyle w:val="ListBullet"/>
      </w:pPr>
      <w:r>
        <w:rPr>
          <w:rFonts w:ascii="Liberation Serif" w:hAnsi="Liberation Serif"/>
          <w:color w:val="232734"/>
          <w:sz w:val="20"/>
        </w:rPr>
        <w:t>vendor credibility;</w:t>
      </w:r>
    </w:p>
    <w:p>
      <w:pPr>
        <w:pStyle w:val="ListBullet"/>
      </w:pPr>
      <w:r>
        <w:rPr>
          <w:rFonts w:ascii="Liberation Serif" w:hAnsi="Liberation Serif"/>
          <w:color w:val="232734"/>
          <w:sz w:val="20"/>
        </w:rPr>
        <w:t>containment;</w:t>
      </w:r>
    </w:p>
    <w:p>
      <w:pPr>
        <w:pStyle w:val="ListBullet"/>
      </w:pPr>
      <w:r>
        <w:rPr>
          <w:rFonts w:ascii="Liberation Serif" w:hAnsi="Liberation Serif"/>
          <w:color w:val="232734"/>
          <w:sz w:val="20"/>
        </w:rPr>
        <w:t>customer notice;</w:t>
      </w:r>
    </w:p>
    <w:p>
      <w:pPr>
        <w:pStyle w:val="ListBullet"/>
      </w:pPr>
      <w:r>
        <w:rPr>
          <w:rFonts w:ascii="Liberation Serif" w:hAnsi="Liberation Serif"/>
          <w:color w:val="232734"/>
          <w:sz w:val="20"/>
        </w:rPr>
        <w:t>regulator notice;</w:t>
      </w:r>
    </w:p>
    <w:p>
      <w:pPr>
        <w:pStyle w:val="ListBullet"/>
      </w:pPr>
      <w:r>
        <w:rPr>
          <w:rFonts w:ascii="Liberation Serif" w:hAnsi="Liberation Serif"/>
          <w:color w:val="232734"/>
          <w:sz w:val="20"/>
        </w:rPr>
        <w:t>credential rotation;</w:t>
      </w:r>
    </w:p>
    <w:p>
      <w:pPr>
        <w:pStyle w:val="ListBullet"/>
      </w:pPr>
      <w:r>
        <w:rPr>
          <w:rFonts w:ascii="Liberation Serif" w:hAnsi="Liberation Serif"/>
          <w:color w:val="232734"/>
          <w:sz w:val="20"/>
        </w:rPr>
        <w:t>service suspension;</w:t>
      </w:r>
    </w:p>
    <w:p>
      <w:pPr>
        <w:pStyle w:val="ListBullet"/>
      </w:pPr>
      <w:r>
        <w:rPr>
          <w:rFonts w:ascii="Liberation Serif" w:hAnsi="Liberation Serif"/>
          <w:color w:val="232734"/>
          <w:sz w:val="20"/>
        </w:rPr>
        <w:t>exit need.</w:t>
      </w:r>
    </w:p>
    <w:p>
      <w:pPr>
        <w:spacing w:after="120" w:line="252" w:lineRule="auto"/>
      </w:pPr>
      <w:r>
        <w:rPr>
          <w:rFonts w:ascii="Liberation Serif" w:hAnsi="Liberation Serif"/>
          <w:color w:val="232734"/>
          <w:sz w:val="20"/>
        </w:rPr>
        <w:t>Vendor assurance does not remove EquineSync’s responsibility to protect customers.</w:t>
      </w:r>
    </w:p>
    <w:p>
      <w:pPr>
        <w:pStyle w:val="Heading1"/>
        <w:keepNext/>
        <w:pBdr>
          <w:bottom w:val="single" w:sz="6" w:space="4" w:color="E3E6EB"/>
        </w:pBdr>
      </w:pPr>
      <w:r>
        <w:t>73. Vendor Suspension</w:t>
      </w:r>
    </w:p>
    <w:p>
      <w:pPr>
        <w:spacing w:after="120" w:line="252" w:lineRule="auto"/>
      </w:pPr>
      <w:r>
        <w:rPr>
          <w:rFonts w:ascii="Liberation Serif" w:hAnsi="Liberation Serif"/>
          <w:color w:val="232734"/>
          <w:sz w:val="20"/>
        </w:rPr>
        <w:t>Vendor access or service may be suspended where:</w:t>
      </w:r>
    </w:p>
    <w:p>
      <w:pPr>
        <w:pStyle w:val="ListBullet"/>
      </w:pPr>
      <w:r>
        <w:rPr>
          <w:rFonts w:ascii="Liberation Serif" w:hAnsi="Liberation Serif"/>
          <w:color w:val="232734"/>
          <w:sz w:val="20"/>
        </w:rPr>
        <w:t>compromise is suspected;</w:t>
      </w:r>
    </w:p>
    <w:p>
      <w:pPr>
        <w:pStyle w:val="ListBullet"/>
      </w:pPr>
      <w:r>
        <w:rPr>
          <w:rFonts w:ascii="Liberation Serif" w:hAnsi="Liberation Serif"/>
          <w:color w:val="232734"/>
          <w:sz w:val="20"/>
        </w:rPr>
        <w:t>material controls fail;</w:t>
      </w:r>
    </w:p>
    <w:p>
      <w:pPr>
        <w:pStyle w:val="ListBullet"/>
      </w:pPr>
      <w:r>
        <w:rPr>
          <w:rFonts w:ascii="Liberation Serif" w:hAnsi="Liberation Serif"/>
          <w:color w:val="232734"/>
          <w:sz w:val="20"/>
        </w:rPr>
        <w:t>data use exceeds authority;</w:t>
      </w:r>
    </w:p>
    <w:p>
      <w:pPr>
        <w:pStyle w:val="ListBullet"/>
      </w:pPr>
      <w:r>
        <w:rPr>
          <w:rFonts w:ascii="Liberation Serif" w:hAnsi="Liberation Serif"/>
          <w:color w:val="232734"/>
          <w:sz w:val="20"/>
        </w:rPr>
        <w:t>notice obligations are breached;</w:t>
      </w:r>
    </w:p>
    <w:p>
      <w:pPr>
        <w:pStyle w:val="ListBullet"/>
      </w:pPr>
      <w:r>
        <w:rPr>
          <w:rFonts w:ascii="Liberation Serif" w:hAnsi="Liberation Serif"/>
          <w:color w:val="232734"/>
          <w:sz w:val="20"/>
        </w:rPr>
        <w:t>continued operation creates greater risk;</w:t>
      </w:r>
    </w:p>
    <w:p>
      <w:pPr>
        <w:pStyle w:val="ListBullet"/>
      </w:pPr>
      <w:r>
        <w:rPr>
          <w:rFonts w:ascii="Liberation Serif" w:hAnsi="Liberation Serif"/>
          <w:color w:val="232734"/>
          <w:sz w:val="20"/>
        </w:rPr>
        <w:t>contractual terms expire;</w:t>
      </w:r>
    </w:p>
    <w:p>
      <w:pPr>
        <w:pStyle w:val="ListBullet"/>
      </w:pPr>
      <w:r>
        <w:rPr>
          <w:rFonts w:ascii="Liberation Serif" w:hAnsi="Liberation Serif"/>
          <w:color w:val="232734"/>
          <w:sz w:val="20"/>
        </w:rPr>
        <w:t>the vendor refuses necessary cooperation.</w:t>
      </w:r>
    </w:p>
    <w:p>
      <w:pPr>
        <w:spacing w:after="120" w:line="252" w:lineRule="auto"/>
      </w:pPr>
      <w:r>
        <w:rPr>
          <w:rFonts w:ascii="Liberation Serif" w:hAnsi="Liberation Serif"/>
          <w:color w:val="232734"/>
          <w:sz w:val="20"/>
        </w:rPr>
        <w:t>Suspension must be:</w:t>
      </w:r>
    </w:p>
    <w:p>
      <w:pPr>
        <w:pStyle w:val="ListBullet"/>
      </w:pPr>
      <w:r>
        <w:rPr>
          <w:rFonts w:ascii="Liberation Serif" w:hAnsi="Liberation Serif"/>
          <w:color w:val="232734"/>
          <w:sz w:val="20"/>
        </w:rPr>
        <w:t>proportionate;</w:t>
      </w:r>
    </w:p>
    <w:p>
      <w:pPr>
        <w:pStyle w:val="ListBullet"/>
      </w:pPr>
      <w:r>
        <w:rPr>
          <w:rFonts w:ascii="Liberation Serif" w:hAnsi="Liberation Serif"/>
          <w:color w:val="232734"/>
          <w:sz w:val="20"/>
        </w:rPr>
        <w:t>documented;</w:t>
      </w:r>
    </w:p>
    <w:p>
      <w:pPr>
        <w:pStyle w:val="ListBullet"/>
      </w:pPr>
      <w:r>
        <w:rPr>
          <w:rFonts w:ascii="Liberation Serif" w:hAnsi="Liberation Serif"/>
          <w:color w:val="232734"/>
          <w:sz w:val="20"/>
        </w:rPr>
        <w:t>reviewable;</w:t>
      </w:r>
    </w:p>
    <w:p>
      <w:pPr>
        <w:pStyle w:val="ListBullet"/>
      </w:pPr>
      <w:r>
        <w:rPr>
          <w:rFonts w:ascii="Liberation Serif" w:hAnsi="Liberation Serif"/>
          <w:color w:val="232734"/>
          <w:sz w:val="20"/>
        </w:rPr>
        <w:t>coordinated with continuity planning.</w:t>
      </w:r>
    </w:p>
    <w:p>
      <w:pPr>
        <w:pStyle w:val="Heading1"/>
        <w:keepNext/>
        <w:pBdr>
          <w:bottom w:val="single" w:sz="6" w:space="4" w:color="E3E6EB"/>
        </w:pBdr>
      </w:pPr>
      <w:r>
        <w:t>74. Vendor Termination</w:t>
      </w:r>
    </w:p>
    <w:p>
      <w:pPr>
        <w:spacing w:after="120" w:line="252" w:lineRule="auto"/>
      </w:pPr>
      <w:r>
        <w:rPr>
          <w:rFonts w:ascii="Liberation Serif" w:hAnsi="Liberation Serif"/>
          <w:color w:val="232734"/>
          <w:sz w:val="20"/>
        </w:rPr>
        <w:t>Termination authority must be formally assigned.</w:t>
      </w:r>
    </w:p>
    <w:p>
      <w:pPr>
        <w:spacing w:after="120" w:line="252" w:lineRule="auto"/>
      </w:pPr>
      <w:r>
        <w:rPr>
          <w:rFonts w:ascii="Liberation Serif" w:hAnsi="Liberation Serif"/>
          <w:color w:val="232734"/>
          <w:sz w:val="20"/>
        </w:rPr>
        <w:t>Termination planning shall address:</w:t>
      </w:r>
    </w:p>
    <w:p>
      <w:pPr>
        <w:pStyle w:val="ListBullet"/>
      </w:pPr>
      <w:r>
        <w:rPr>
          <w:rFonts w:ascii="Liberation Serif" w:hAnsi="Liberation Serif"/>
          <w:color w:val="232734"/>
          <w:sz w:val="20"/>
        </w:rPr>
        <w:t>customer impact;</w:t>
      </w:r>
    </w:p>
    <w:p>
      <w:pPr>
        <w:pStyle w:val="ListBullet"/>
      </w:pPr>
      <w:r>
        <w:rPr>
          <w:rFonts w:ascii="Liberation Serif" w:hAnsi="Liberation Serif"/>
          <w:color w:val="232734"/>
          <w:sz w:val="20"/>
        </w:rPr>
        <w:t>service continuity;</w:t>
      </w:r>
    </w:p>
    <w:p>
      <w:pPr>
        <w:pStyle w:val="ListBullet"/>
      </w:pPr>
      <w:r>
        <w:rPr>
          <w:rFonts w:ascii="Liberation Serif" w:hAnsi="Liberation Serif"/>
          <w:color w:val="232734"/>
          <w:sz w:val="20"/>
        </w:rPr>
        <w:t>data return;</w:t>
      </w:r>
    </w:p>
    <w:p>
      <w:pPr>
        <w:pStyle w:val="ListBullet"/>
      </w:pPr>
      <w:r>
        <w:rPr>
          <w:rFonts w:ascii="Liberation Serif" w:hAnsi="Liberation Serif"/>
          <w:color w:val="232734"/>
          <w:sz w:val="20"/>
        </w:rPr>
        <w:t>data deletion;</w:t>
      </w:r>
    </w:p>
    <w:p>
      <w:pPr>
        <w:pStyle w:val="ListBullet"/>
      </w:pPr>
      <w:r>
        <w:rPr>
          <w:rFonts w:ascii="Liberation Serif" w:hAnsi="Liberation Serif"/>
          <w:color w:val="232734"/>
          <w:sz w:val="20"/>
        </w:rPr>
        <w:t>credential revocation;</w:t>
      </w:r>
    </w:p>
    <w:p>
      <w:pPr>
        <w:pStyle w:val="ListBullet"/>
      </w:pPr>
      <w:r>
        <w:rPr>
          <w:rFonts w:ascii="Liberation Serif" w:hAnsi="Liberation Serif"/>
          <w:color w:val="232734"/>
          <w:sz w:val="20"/>
        </w:rPr>
        <w:t>key transition;</w:t>
      </w:r>
    </w:p>
    <w:p>
      <w:pPr>
        <w:pStyle w:val="ListBullet"/>
      </w:pPr>
      <w:r>
        <w:rPr>
          <w:rFonts w:ascii="Liberation Serif" w:hAnsi="Liberation Serif"/>
          <w:color w:val="232734"/>
          <w:sz w:val="20"/>
        </w:rPr>
        <w:t>contract obligations;</w:t>
      </w:r>
    </w:p>
    <w:p>
      <w:pPr>
        <w:pStyle w:val="ListBullet"/>
      </w:pPr>
      <w:r>
        <w:rPr>
          <w:rFonts w:ascii="Liberation Serif" w:hAnsi="Liberation Serif"/>
          <w:color w:val="232734"/>
          <w:sz w:val="20"/>
        </w:rPr>
        <w:t>legal hold;</w:t>
      </w:r>
    </w:p>
    <w:p>
      <w:pPr>
        <w:pStyle w:val="ListBullet"/>
      </w:pPr>
      <w:r>
        <w:rPr>
          <w:rFonts w:ascii="Liberation Serif" w:hAnsi="Liberation Serif"/>
          <w:color w:val="232734"/>
          <w:sz w:val="20"/>
        </w:rPr>
        <w:t>evidence preservation;</w:t>
      </w:r>
    </w:p>
    <w:p>
      <w:pPr>
        <w:pStyle w:val="ListBullet"/>
      </w:pPr>
      <w:r>
        <w:rPr>
          <w:rFonts w:ascii="Liberation Serif" w:hAnsi="Liberation Serif"/>
          <w:color w:val="232734"/>
          <w:sz w:val="20"/>
        </w:rPr>
        <w:t>subprocessor access;</w:t>
      </w:r>
    </w:p>
    <w:p>
      <w:pPr>
        <w:pStyle w:val="ListBullet"/>
      </w:pPr>
      <w:r>
        <w:rPr>
          <w:rFonts w:ascii="Liberation Serif" w:hAnsi="Liberation Serif"/>
          <w:color w:val="232734"/>
          <w:sz w:val="20"/>
        </w:rPr>
        <w:t>public claims;</w:t>
      </w:r>
    </w:p>
    <w:p>
      <w:pPr>
        <w:pStyle w:val="ListBullet"/>
      </w:pPr>
      <w:r>
        <w:rPr>
          <w:rFonts w:ascii="Liberation Serif" w:hAnsi="Liberation Serif"/>
          <w:color w:val="232734"/>
          <w:sz w:val="20"/>
        </w:rPr>
        <w:t>replacement.</w:t>
      </w:r>
    </w:p>
    <w:p>
      <w:pPr>
        <w:spacing w:after="120" w:line="252" w:lineRule="auto"/>
      </w:pPr>
      <w:r>
        <w:rPr>
          <w:rFonts w:ascii="Liberation Serif" w:hAnsi="Liberation Serif"/>
          <w:color w:val="232734"/>
          <w:sz w:val="20"/>
        </w:rPr>
        <w:t>Vendor termination shall not be considered complete until residual access and data obligations are addressed.</w:t>
      </w:r>
    </w:p>
    <w:p>
      <w:pPr>
        <w:pStyle w:val="Heading1"/>
        <w:keepNext/>
        <w:pBdr>
          <w:bottom w:val="single" w:sz="6" w:space="4" w:color="E3E6EB"/>
        </w:pBdr>
      </w:pPr>
      <w:r>
        <w:t>75. Offboarding</w:t>
      </w:r>
    </w:p>
    <w:p>
      <w:pPr>
        <w:spacing w:after="120" w:line="252" w:lineRule="auto"/>
      </w:pPr>
      <w:r>
        <w:rPr>
          <w:rFonts w:ascii="Liberation Serif" w:hAnsi="Liberation Serif"/>
          <w:color w:val="232734"/>
          <w:sz w:val="20"/>
        </w:rPr>
        <w:t>Vendor offboarding shall include:</w:t>
      </w:r>
    </w:p>
    <w:p>
      <w:pPr>
        <w:pStyle w:val="ListBullet"/>
      </w:pPr>
      <w:r>
        <w:rPr>
          <w:rFonts w:ascii="Liberation Serif" w:hAnsi="Liberation Serif"/>
          <w:color w:val="232734"/>
          <w:sz w:val="20"/>
        </w:rPr>
        <w:t>disable integrations;</w:t>
      </w:r>
    </w:p>
    <w:p>
      <w:pPr>
        <w:pStyle w:val="ListBullet"/>
      </w:pPr>
      <w:r>
        <w:rPr>
          <w:rFonts w:ascii="Liberation Serif" w:hAnsi="Liberation Serif"/>
          <w:color w:val="232734"/>
          <w:sz w:val="20"/>
        </w:rPr>
        <w:t>revoke tokens;</w:t>
      </w:r>
    </w:p>
    <w:p>
      <w:pPr>
        <w:pStyle w:val="ListBullet"/>
      </w:pPr>
      <w:r>
        <w:rPr>
          <w:rFonts w:ascii="Liberation Serif" w:hAnsi="Liberation Serif"/>
          <w:color w:val="232734"/>
          <w:sz w:val="20"/>
        </w:rPr>
        <w:t>remove accounts;</w:t>
      </w:r>
    </w:p>
    <w:p>
      <w:pPr>
        <w:pStyle w:val="ListBullet"/>
      </w:pPr>
      <w:r>
        <w:rPr>
          <w:rFonts w:ascii="Liberation Serif" w:hAnsi="Liberation Serif"/>
          <w:color w:val="232734"/>
          <w:sz w:val="20"/>
        </w:rPr>
        <w:t>rotate shared secrets;</w:t>
      </w:r>
    </w:p>
    <w:p>
      <w:pPr>
        <w:pStyle w:val="ListBullet"/>
      </w:pPr>
      <w:r>
        <w:rPr>
          <w:rFonts w:ascii="Liberation Serif" w:hAnsi="Liberation Serif"/>
          <w:color w:val="232734"/>
          <w:sz w:val="20"/>
        </w:rPr>
        <w:t>recover data;</w:t>
      </w:r>
    </w:p>
    <w:p>
      <w:pPr>
        <w:pStyle w:val="ListBullet"/>
      </w:pPr>
      <w:r>
        <w:rPr>
          <w:rFonts w:ascii="Liberation Serif" w:hAnsi="Liberation Serif"/>
          <w:color w:val="232734"/>
          <w:sz w:val="20"/>
        </w:rPr>
        <w:t>confirm deletion;</w:t>
      </w:r>
    </w:p>
    <w:p>
      <w:pPr>
        <w:pStyle w:val="ListBullet"/>
      </w:pPr>
      <w:r>
        <w:rPr>
          <w:rFonts w:ascii="Liberation Serif" w:hAnsi="Liberation Serif"/>
          <w:color w:val="232734"/>
          <w:sz w:val="20"/>
        </w:rPr>
        <w:t>update inventories;</w:t>
      </w:r>
    </w:p>
    <w:p>
      <w:pPr>
        <w:pStyle w:val="ListBullet"/>
      </w:pPr>
      <w:r>
        <w:rPr>
          <w:rFonts w:ascii="Liberation Serif" w:hAnsi="Liberation Serif"/>
          <w:color w:val="232734"/>
          <w:sz w:val="20"/>
        </w:rPr>
        <w:t>update dependency maps;</w:t>
      </w:r>
    </w:p>
    <w:p>
      <w:pPr>
        <w:pStyle w:val="ListBullet"/>
      </w:pPr>
      <w:r>
        <w:rPr>
          <w:rFonts w:ascii="Liberation Serif" w:hAnsi="Liberation Serif"/>
          <w:color w:val="232734"/>
          <w:sz w:val="20"/>
        </w:rPr>
        <w:t>preserve required evidence;</w:t>
      </w:r>
    </w:p>
    <w:p>
      <w:pPr>
        <w:pStyle w:val="ListBullet"/>
      </w:pPr>
      <w:r>
        <w:rPr>
          <w:rFonts w:ascii="Liberation Serif" w:hAnsi="Liberation Serif"/>
          <w:color w:val="232734"/>
          <w:sz w:val="20"/>
        </w:rPr>
        <w:t>notify affected owners;</w:t>
      </w:r>
    </w:p>
    <w:p>
      <w:pPr>
        <w:pStyle w:val="ListBullet"/>
      </w:pPr>
      <w:r>
        <w:rPr>
          <w:rFonts w:ascii="Liberation Serif" w:hAnsi="Liberation Serif"/>
          <w:color w:val="232734"/>
          <w:sz w:val="20"/>
        </w:rPr>
        <w:t>terminate support access.</w:t>
      </w:r>
    </w:p>
    <w:p>
      <w:pPr>
        <w:spacing w:after="120" w:line="252" w:lineRule="auto"/>
      </w:pPr>
      <w:r>
        <w:rPr>
          <w:rFonts w:ascii="Liberation Serif" w:hAnsi="Liberation Serif"/>
          <w:color w:val="232734"/>
          <w:sz w:val="20"/>
        </w:rPr>
        <w:t>A contract end date alone does not terminate technical access.</w:t>
      </w:r>
    </w:p>
    <w:p>
      <w:pPr>
        <w:pStyle w:val="Heading1"/>
        <w:keepNext/>
        <w:pBdr>
          <w:bottom w:val="single" w:sz="6" w:space="4" w:color="E3E6EB"/>
        </w:pBdr>
      </w:pPr>
      <w:r>
        <w:t>76. Data Exit Validation</w:t>
      </w:r>
    </w:p>
    <w:p>
      <w:pPr>
        <w:spacing w:after="120" w:line="252" w:lineRule="auto"/>
      </w:pPr>
      <w:r>
        <w:rPr>
          <w:rFonts w:ascii="Liberation Serif" w:hAnsi="Liberation Serif"/>
          <w:color w:val="232734"/>
          <w:sz w:val="20"/>
        </w:rPr>
        <w:t>Returned or migrated data shall be validated for:</w:t>
      </w:r>
    </w:p>
    <w:p>
      <w:pPr>
        <w:pStyle w:val="ListBullet"/>
      </w:pPr>
      <w:r>
        <w:rPr>
          <w:rFonts w:ascii="Liberation Serif" w:hAnsi="Liberation Serif"/>
          <w:color w:val="232734"/>
          <w:sz w:val="20"/>
        </w:rPr>
        <w:t>completeness;</w:t>
      </w:r>
    </w:p>
    <w:p>
      <w:pPr>
        <w:pStyle w:val="ListBullet"/>
      </w:pPr>
      <w:r>
        <w:rPr>
          <w:rFonts w:ascii="Liberation Serif" w:hAnsi="Liberation Serif"/>
          <w:color w:val="232734"/>
          <w:sz w:val="20"/>
        </w:rPr>
        <w:t>format;</w:t>
      </w:r>
    </w:p>
    <w:p>
      <w:pPr>
        <w:pStyle w:val="ListBullet"/>
      </w:pPr>
      <w:r>
        <w:rPr>
          <w:rFonts w:ascii="Liberation Serif" w:hAnsi="Liberation Serif"/>
          <w:color w:val="232734"/>
          <w:sz w:val="20"/>
        </w:rPr>
        <w:t>integrity;</w:t>
      </w:r>
    </w:p>
    <w:p>
      <w:pPr>
        <w:pStyle w:val="ListBullet"/>
      </w:pPr>
      <w:r>
        <w:rPr>
          <w:rFonts w:ascii="Liberation Serif" w:hAnsi="Liberation Serif"/>
          <w:color w:val="232734"/>
          <w:sz w:val="20"/>
        </w:rPr>
        <w:t>tenant mapping;</w:t>
      </w:r>
    </w:p>
    <w:p>
      <w:pPr>
        <w:pStyle w:val="ListBullet"/>
      </w:pPr>
      <w:r>
        <w:rPr>
          <w:rFonts w:ascii="Liberation Serif" w:hAnsi="Liberation Serif"/>
          <w:color w:val="232734"/>
          <w:sz w:val="20"/>
        </w:rPr>
        <w:t>record history;</w:t>
      </w:r>
    </w:p>
    <w:p>
      <w:pPr>
        <w:pStyle w:val="ListBullet"/>
      </w:pPr>
      <w:r>
        <w:rPr>
          <w:rFonts w:ascii="Liberation Serif" w:hAnsi="Liberation Serif"/>
          <w:color w:val="232734"/>
          <w:sz w:val="20"/>
        </w:rPr>
        <w:t>attachments;</w:t>
      </w:r>
    </w:p>
    <w:p>
      <w:pPr>
        <w:pStyle w:val="ListBullet"/>
      </w:pPr>
      <w:r>
        <w:rPr>
          <w:rFonts w:ascii="Liberation Serif" w:hAnsi="Liberation Serif"/>
          <w:color w:val="232734"/>
          <w:sz w:val="20"/>
        </w:rPr>
        <w:t>audit evidence;</w:t>
      </w:r>
    </w:p>
    <w:p>
      <w:pPr>
        <w:pStyle w:val="ListBullet"/>
      </w:pPr>
      <w:r>
        <w:rPr>
          <w:rFonts w:ascii="Liberation Serif" w:hAnsi="Liberation Serif"/>
          <w:color w:val="232734"/>
          <w:sz w:val="20"/>
        </w:rPr>
        <w:t>financial reconciliation;</w:t>
      </w:r>
    </w:p>
    <w:p>
      <w:pPr>
        <w:pStyle w:val="ListBullet"/>
      </w:pPr>
      <w:r>
        <w:rPr>
          <w:rFonts w:ascii="Liberation Serif" w:hAnsi="Liberation Serif"/>
          <w:color w:val="232734"/>
          <w:sz w:val="20"/>
        </w:rPr>
        <w:t>access controls.</w:t>
      </w:r>
    </w:p>
    <w:p>
      <w:pPr>
        <w:spacing w:after="120" w:line="252" w:lineRule="auto"/>
      </w:pPr>
      <w:r>
        <w:rPr>
          <w:rFonts w:ascii="Liberation Serif" w:hAnsi="Liberation Serif"/>
          <w:color w:val="232734"/>
          <w:sz w:val="20"/>
        </w:rPr>
        <w:t>A successful download does not automatically prove successful exit.</w:t>
      </w:r>
    </w:p>
    <w:p>
      <w:pPr>
        <w:pStyle w:val="Heading1"/>
        <w:keepNext/>
        <w:pBdr>
          <w:bottom w:val="single" w:sz="6" w:space="4" w:color="E3E6EB"/>
        </w:pBdr>
      </w:pPr>
      <w:r>
        <w:t>77. Vendor Bankruptcy or Disappearance</w:t>
      </w:r>
    </w:p>
    <w:p>
      <w:pPr>
        <w:spacing w:after="120" w:line="252" w:lineRule="auto"/>
      </w:pPr>
      <w:r>
        <w:rPr>
          <w:rFonts w:ascii="Liberation Serif" w:hAnsi="Liberation Serif"/>
          <w:color w:val="232734"/>
          <w:sz w:val="20"/>
        </w:rPr>
        <w:t>Critical vendor planning shall consider:</w:t>
      </w:r>
    </w:p>
    <w:p>
      <w:pPr>
        <w:pStyle w:val="ListBullet"/>
      </w:pPr>
      <w:r>
        <w:rPr>
          <w:rFonts w:ascii="Liberation Serif" w:hAnsi="Liberation Serif"/>
          <w:color w:val="232734"/>
          <w:sz w:val="20"/>
        </w:rPr>
        <w:t>insolvency;</w:t>
      </w:r>
    </w:p>
    <w:p>
      <w:pPr>
        <w:pStyle w:val="ListBullet"/>
      </w:pPr>
      <w:r>
        <w:rPr>
          <w:rFonts w:ascii="Liberation Serif" w:hAnsi="Liberation Serif"/>
          <w:color w:val="232734"/>
          <w:sz w:val="20"/>
        </w:rPr>
        <w:t>acquisition;</w:t>
      </w:r>
    </w:p>
    <w:p>
      <w:pPr>
        <w:pStyle w:val="ListBullet"/>
      </w:pPr>
      <w:r>
        <w:rPr>
          <w:rFonts w:ascii="Liberation Serif" w:hAnsi="Liberation Serif"/>
          <w:color w:val="232734"/>
          <w:sz w:val="20"/>
        </w:rPr>
        <w:t>abrupt shutdown;</w:t>
      </w:r>
    </w:p>
    <w:p>
      <w:pPr>
        <w:pStyle w:val="ListBullet"/>
      </w:pPr>
      <w:r>
        <w:rPr>
          <w:rFonts w:ascii="Liberation Serif" w:hAnsi="Liberation Serif"/>
          <w:color w:val="232734"/>
          <w:sz w:val="20"/>
        </w:rPr>
        <w:t>employee abandonment;</w:t>
      </w:r>
    </w:p>
    <w:p>
      <w:pPr>
        <w:pStyle w:val="ListBullet"/>
      </w:pPr>
      <w:r>
        <w:rPr>
          <w:rFonts w:ascii="Liberation Serif" w:hAnsi="Liberation Serif"/>
          <w:color w:val="232734"/>
          <w:sz w:val="20"/>
        </w:rPr>
        <w:t>inaccessible support;</w:t>
      </w:r>
    </w:p>
    <w:p>
      <w:pPr>
        <w:pStyle w:val="ListBullet"/>
      </w:pPr>
      <w:r>
        <w:rPr>
          <w:rFonts w:ascii="Liberation Serif" w:hAnsi="Liberation Serif"/>
          <w:color w:val="232734"/>
          <w:sz w:val="20"/>
        </w:rPr>
        <w:t>frozen accounts;</w:t>
      </w:r>
    </w:p>
    <w:p>
      <w:pPr>
        <w:pStyle w:val="ListBullet"/>
      </w:pPr>
      <w:r>
        <w:rPr>
          <w:rFonts w:ascii="Liberation Serif" w:hAnsi="Liberation Serif"/>
          <w:color w:val="232734"/>
          <w:sz w:val="20"/>
        </w:rPr>
        <w:t>loss of hosted data;</w:t>
      </w:r>
    </w:p>
    <w:p>
      <w:pPr>
        <w:pStyle w:val="ListBullet"/>
      </w:pPr>
      <w:r>
        <w:rPr>
          <w:rFonts w:ascii="Liberation Serif" w:hAnsi="Liberation Serif"/>
          <w:color w:val="232734"/>
          <w:sz w:val="20"/>
        </w:rPr>
        <w:t>source-code unavailability;</w:t>
      </w:r>
    </w:p>
    <w:p>
      <w:pPr>
        <w:pStyle w:val="ListBullet"/>
      </w:pPr>
      <w:r>
        <w:rPr>
          <w:rFonts w:ascii="Liberation Serif" w:hAnsi="Liberation Serif"/>
          <w:color w:val="232734"/>
          <w:sz w:val="20"/>
        </w:rPr>
        <w:t>expired certificates.</w:t>
      </w:r>
    </w:p>
    <w:p>
      <w:pPr>
        <w:spacing w:after="120" w:line="252" w:lineRule="auto"/>
      </w:pPr>
      <w:r>
        <w:rPr>
          <w:rFonts w:ascii="Liberation Serif" w:hAnsi="Liberation Serif"/>
          <w:color w:val="232734"/>
          <w:sz w:val="20"/>
        </w:rPr>
        <w:t>Exit plans shall not depend entirely on vendor cooperation during collapse.</w:t>
      </w:r>
    </w:p>
    <w:p>
      <w:pPr>
        <w:pStyle w:val="Heading1"/>
        <w:keepNext/>
        <w:pBdr>
          <w:bottom w:val="single" w:sz="6" w:space="4" w:color="E3E6EB"/>
        </w:pBdr>
      </w:pPr>
      <w:r>
        <w:t>78. Mergers and Ownership Changes</w:t>
      </w:r>
    </w:p>
    <w:p>
      <w:pPr>
        <w:spacing w:after="120" w:line="252" w:lineRule="auto"/>
      </w:pPr>
      <w:r>
        <w:rPr>
          <w:rFonts w:ascii="Liberation Serif" w:hAnsi="Liberation Serif"/>
          <w:color w:val="232734"/>
          <w:sz w:val="20"/>
        </w:rPr>
        <w:t>Material vendor ownership changes may trigger reassessment.</w:t>
      </w:r>
    </w:p>
    <w:p>
      <w:pPr>
        <w:spacing w:after="120" w:line="252" w:lineRule="auto"/>
      </w:pPr>
      <w:r>
        <w:rPr>
          <w:rFonts w:ascii="Liberation Serif" w:hAnsi="Liberation Serif"/>
          <w:color w:val="232734"/>
          <w:sz w:val="20"/>
        </w:rPr>
        <w:t>Review shall consider:</w:t>
      </w:r>
    </w:p>
    <w:p>
      <w:pPr>
        <w:pStyle w:val="ListBullet"/>
      </w:pPr>
      <w:r>
        <w:rPr>
          <w:rFonts w:ascii="Liberation Serif" w:hAnsi="Liberation Serif"/>
          <w:color w:val="232734"/>
          <w:sz w:val="20"/>
        </w:rPr>
        <w:t>new parent company;</w:t>
      </w:r>
    </w:p>
    <w:p>
      <w:pPr>
        <w:pStyle w:val="ListBullet"/>
      </w:pPr>
      <w:r>
        <w:rPr>
          <w:rFonts w:ascii="Liberation Serif" w:hAnsi="Liberation Serif"/>
          <w:color w:val="232734"/>
          <w:sz w:val="20"/>
        </w:rPr>
        <w:t>changed jurisdiction;</w:t>
      </w:r>
    </w:p>
    <w:p>
      <w:pPr>
        <w:pStyle w:val="ListBullet"/>
      </w:pPr>
      <w:r>
        <w:rPr>
          <w:rFonts w:ascii="Liberation Serif" w:hAnsi="Liberation Serif"/>
          <w:color w:val="232734"/>
          <w:sz w:val="20"/>
        </w:rPr>
        <w:t>revised privacy practices;</w:t>
      </w:r>
    </w:p>
    <w:p>
      <w:pPr>
        <w:pStyle w:val="ListBullet"/>
      </w:pPr>
      <w:r>
        <w:rPr>
          <w:rFonts w:ascii="Liberation Serif" w:hAnsi="Liberation Serif"/>
          <w:color w:val="232734"/>
          <w:sz w:val="20"/>
        </w:rPr>
        <w:t>changed subprocessors;</w:t>
      </w:r>
    </w:p>
    <w:p>
      <w:pPr>
        <w:pStyle w:val="ListBullet"/>
      </w:pPr>
      <w:r>
        <w:rPr>
          <w:rFonts w:ascii="Liberation Serif" w:hAnsi="Liberation Serif"/>
          <w:color w:val="232734"/>
          <w:sz w:val="20"/>
        </w:rPr>
        <w:t>competitive conflicts;</w:t>
      </w:r>
    </w:p>
    <w:p>
      <w:pPr>
        <w:pStyle w:val="ListBullet"/>
      </w:pPr>
      <w:r>
        <w:rPr>
          <w:rFonts w:ascii="Liberation Serif" w:hAnsi="Liberation Serif"/>
          <w:color w:val="232734"/>
          <w:sz w:val="20"/>
        </w:rPr>
        <w:t>financial stability;</w:t>
      </w:r>
    </w:p>
    <w:p>
      <w:pPr>
        <w:pStyle w:val="ListBullet"/>
      </w:pPr>
      <w:r>
        <w:rPr>
          <w:rFonts w:ascii="Liberation Serif" w:hAnsi="Liberation Serif"/>
          <w:color w:val="232734"/>
          <w:sz w:val="20"/>
        </w:rPr>
        <w:t>data use;</w:t>
      </w:r>
    </w:p>
    <w:p>
      <w:pPr>
        <w:pStyle w:val="ListBullet"/>
      </w:pPr>
      <w:r>
        <w:rPr>
          <w:rFonts w:ascii="Liberation Serif" w:hAnsi="Liberation Serif"/>
          <w:color w:val="232734"/>
          <w:sz w:val="20"/>
        </w:rPr>
        <w:t>contract assignment;</w:t>
      </w:r>
    </w:p>
    <w:p>
      <w:pPr>
        <w:pStyle w:val="ListBullet"/>
      </w:pPr>
      <w:r>
        <w:rPr>
          <w:rFonts w:ascii="Liberation Serif" w:hAnsi="Liberation Serif"/>
          <w:color w:val="232734"/>
          <w:sz w:val="20"/>
        </w:rPr>
        <w:t>exit rights.</w:t>
      </w:r>
    </w:p>
    <w:p>
      <w:pPr>
        <w:spacing w:after="120" w:line="252" w:lineRule="auto"/>
      </w:pPr>
      <w:r>
        <w:rPr>
          <w:rFonts w:ascii="Liberation Serif" w:hAnsi="Liberation Serif"/>
          <w:color w:val="232734"/>
          <w:sz w:val="20"/>
        </w:rPr>
        <w:t>Continued use shall not be automatic where the trust boundary materially changes.</w:t>
      </w:r>
    </w:p>
    <w:p>
      <w:pPr>
        <w:pStyle w:val="Heading1"/>
        <w:keepNext/>
        <w:pBdr>
          <w:bottom w:val="single" w:sz="6" w:space="4" w:color="E3E6EB"/>
        </w:pBdr>
      </w:pPr>
      <w:r>
        <w:t>79. Vendor Records and Evidence</w:t>
      </w:r>
    </w:p>
    <w:p>
      <w:pPr>
        <w:spacing w:after="120" w:line="252" w:lineRule="auto"/>
      </w:pPr>
      <w:r>
        <w:rPr>
          <w:rFonts w:ascii="Liberation Serif" w:hAnsi="Liberation Serif"/>
          <w:color w:val="232734"/>
          <w:sz w:val="20"/>
        </w:rPr>
        <w:t>EquineSync shall preserve appropriate evidence of:</w:t>
      </w:r>
    </w:p>
    <w:p>
      <w:pPr>
        <w:pStyle w:val="ListBullet"/>
      </w:pPr>
      <w:r>
        <w:rPr>
          <w:rFonts w:ascii="Liberation Serif" w:hAnsi="Liberation Serif"/>
          <w:color w:val="232734"/>
          <w:sz w:val="20"/>
        </w:rPr>
        <w:t>due diligence;</w:t>
      </w:r>
    </w:p>
    <w:p>
      <w:pPr>
        <w:pStyle w:val="ListBullet"/>
      </w:pPr>
      <w:r>
        <w:rPr>
          <w:rFonts w:ascii="Liberation Serif" w:hAnsi="Liberation Serif"/>
          <w:color w:val="232734"/>
          <w:sz w:val="20"/>
        </w:rPr>
        <w:t>approvals;</w:t>
      </w:r>
    </w:p>
    <w:p>
      <w:pPr>
        <w:pStyle w:val="ListBullet"/>
      </w:pPr>
      <w:r>
        <w:rPr>
          <w:rFonts w:ascii="Liberation Serif" w:hAnsi="Liberation Serif"/>
          <w:color w:val="232734"/>
          <w:sz w:val="20"/>
        </w:rPr>
        <w:t>contracts;</w:t>
      </w:r>
    </w:p>
    <w:p>
      <w:pPr>
        <w:pStyle w:val="ListBullet"/>
      </w:pPr>
      <w:r>
        <w:rPr>
          <w:rFonts w:ascii="Liberation Serif" w:hAnsi="Liberation Serif"/>
          <w:color w:val="232734"/>
          <w:sz w:val="20"/>
        </w:rPr>
        <w:t>data flows;</w:t>
      </w:r>
    </w:p>
    <w:p>
      <w:pPr>
        <w:pStyle w:val="ListBullet"/>
      </w:pPr>
      <w:r>
        <w:rPr>
          <w:rFonts w:ascii="Liberation Serif" w:hAnsi="Liberation Serif"/>
          <w:color w:val="232734"/>
          <w:sz w:val="20"/>
        </w:rPr>
        <w:t>access;</w:t>
      </w:r>
    </w:p>
    <w:p>
      <w:pPr>
        <w:pStyle w:val="ListBullet"/>
      </w:pPr>
      <w:r>
        <w:rPr>
          <w:rFonts w:ascii="Liberation Serif" w:hAnsi="Liberation Serif"/>
          <w:color w:val="232734"/>
          <w:sz w:val="20"/>
        </w:rPr>
        <w:t>incidents;</w:t>
      </w:r>
    </w:p>
    <w:p>
      <w:pPr>
        <w:pStyle w:val="ListBullet"/>
      </w:pPr>
      <w:r>
        <w:rPr>
          <w:rFonts w:ascii="Liberation Serif" w:hAnsi="Liberation Serif"/>
          <w:color w:val="232734"/>
          <w:sz w:val="20"/>
        </w:rPr>
        <w:t>reassessments;</w:t>
      </w:r>
    </w:p>
    <w:p>
      <w:pPr>
        <w:pStyle w:val="ListBullet"/>
      </w:pPr>
      <w:r>
        <w:rPr>
          <w:rFonts w:ascii="Liberation Serif" w:hAnsi="Liberation Serif"/>
          <w:color w:val="232734"/>
          <w:sz w:val="20"/>
        </w:rPr>
        <w:t>exceptions;</w:t>
      </w:r>
    </w:p>
    <w:p>
      <w:pPr>
        <w:pStyle w:val="ListBullet"/>
      </w:pPr>
      <w:r>
        <w:rPr>
          <w:rFonts w:ascii="Liberation Serif" w:hAnsi="Liberation Serif"/>
          <w:color w:val="232734"/>
          <w:sz w:val="20"/>
        </w:rPr>
        <w:t>termination;</w:t>
      </w:r>
    </w:p>
    <w:p>
      <w:pPr>
        <w:pStyle w:val="ListBullet"/>
      </w:pPr>
      <w:r>
        <w:rPr>
          <w:rFonts w:ascii="Liberation Serif" w:hAnsi="Liberation Serif"/>
          <w:color w:val="232734"/>
          <w:sz w:val="20"/>
        </w:rPr>
        <w:t>deletion;</w:t>
      </w:r>
    </w:p>
    <w:p>
      <w:pPr>
        <w:pStyle w:val="ListBullet"/>
      </w:pPr>
      <w:r>
        <w:rPr>
          <w:rFonts w:ascii="Liberation Serif" w:hAnsi="Liberation Serif"/>
          <w:color w:val="232734"/>
          <w:sz w:val="20"/>
        </w:rPr>
        <w:t>exit validation.</w:t>
      </w:r>
    </w:p>
    <w:p>
      <w:pPr>
        <w:spacing w:after="120" w:line="252" w:lineRule="auto"/>
      </w:pPr>
      <w:r>
        <w:rPr>
          <w:rFonts w:ascii="Liberation Serif" w:hAnsi="Liberation Serif"/>
          <w:color w:val="232734"/>
          <w:sz w:val="20"/>
        </w:rPr>
        <w:t>Vendor records shall follow controlling retention and legal-hold governance.</w:t>
      </w:r>
    </w:p>
    <w:p>
      <w:pPr>
        <w:pStyle w:val="Heading1"/>
        <w:keepNext/>
        <w:pBdr>
          <w:bottom w:val="single" w:sz="6" w:space="4" w:color="E3E6EB"/>
        </w:pBdr>
      </w:pPr>
      <w:r>
        <w:t>80. Vendor Metrics</w:t>
      </w:r>
    </w:p>
    <w:p>
      <w:pPr>
        <w:spacing w:after="120" w:line="252" w:lineRule="auto"/>
      </w:pPr>
      <w:r>
        <w:rPr>
          <w:rFonts w:ascii="Liberation Serif" w:hAnsi="Liberation Serif"/>
          <w:color w:val="232734"/>
          <w:sz w:val="20"/>
        </w:rPr>
        <w:t>Governance metrics may include:</w:t>
      </w:r>
    </w:p>
    <w:p>
      <w:pPr>
        <w:pStyle w:val="ListBullet"/>
      </w:pPr>
      <w:r>
        <w:rPr>
          <w:rFonts w:ascii="Liberation Serif" w:hAnsi="Liberation Serif"/>
          <w:color w:val="232734"/>
          <w:sz w:val="20"/>
        </w:rPr>
        <w:t>vendors by tier;</w:t>
      </w:r>
    </w:p>
    <w:p>
      <w:pPr>
        <w:pStyle w:val="ListBullet"/>
      </w:pPr>
      <w:r>
        <w:rPr>
          <w:rFonts w:ascii="Liberation Serif" w:hAnsi="Liberation Serif"/>
          <w:color w:val="232734"/>
          <w:sz w:val="20"/>
        </w:rPr>
        <w:t>overdue reviews;</w:t>
      </w:r>
    </w:p>
    <w:p>
      <w:pPr>
        <w:pStyle w:val="ListBullet"/>
      </w:pPr>
      <w:r>
        <w:rPr>
          <w:rFonts w:ascii="Liberation Serif" w:hAnsi="Liberation Serif"/>
          <w:color w:val="232734"/>
          <w:sz w:val="20"/>
        </w:rPr>
        <w:t>expired contracts;</w:t>
      </w:r>
    </w:p>
    <w:p>
      <w:pPr>
        <w:pStyle w:val="ListBullet"/>
      </w:pPr>
      <w:r>
        <w:rPr>
          <w:rFonts w:ascii="Liberation Serif" w:hAnsi="Liberation Serif"/>
          <w:color w:val="232734"/>
          <w:sz w:val="20"/>
        </w:rPr>
        <w:t>expired assurance reports;</w:t>
      </w:r>
    </w:p>
    <w:p>
      <w:pPr>
        <w:pStyle w:val="ListBullet"/>
      </w:pPr>
      <w:r>
        <w:rPr>
          <w:rFonts w:ascii="Liberation Serif" w:hAnsi="Liberation Serif"/>
          <w:color w:val="232734"/>
          <w:sz w:val="20"/>
        </w:rPr>
        <w:t>unresolved vendor findings;</w:t>
      </w:r>
    </w:p>
    <w:p>
      <w:pPr>
        <w:pStyle w:val="ListBullet"/>
      </w:pPr>
      <w:r>
        <w:rPr>
          <w:rFonts w:ascii="Liberation Serif" w:hAnsi="Liberation Serif"/>
          <w:color w:val="232734"/>
          <w:sz w:val="20"/>
        </w:rPr>
        <w:t>unapproved subprocessors;</w:t>
      </w:r>
    </w:p>
    <w:p>
      <w:pPr>
        <w:pStyle w:val="ListBullet"/>
      </w:pPr>
      <w:r>
        <w:rPr>
          <w:rFonts w:ascii="Liberation Serif" w:hAnsi="Liberation Serif"/>
          <w:color w:val="232734"/>
          <w:sz w:val="20"/>
        </w:rPr>
        <w:t>vendor incidents;</w:t>
      </w:r>
    </w:p>
    <w:p>
      <w:pPr>
        <w:pStyle w:val="ListBullet"/>
      </w:pPr>
      <w:r>
        <w:rPr>
          <w:rFonts w:ascii="Liberation Serif" w:hAnsi="Liberation Serif"/>
          <w:color w:val="232734"/>
          <w:sz w:val="20"/>
        </w:rPr>
        <w:t>overdue deletion confirmations;</w:t>
      </w:r>
    </w:p>
    <w:p>
      <w:pPr>
        <w:pStyle w:val="ListBullet"/>
      </w:pPr>
      <w:r>
        <w:rPr>
          <w:rFonts w:ascii="Liberation Serif" w:hAnsi="Liberation Serif"/>
          <w:color w:val="232734"/>
          <w:sz w:val="20"/>
        </w:rPr>
        <w:t>dormant integrations;</w:t>
      </w:r>
    </w:p>
    <w:p>
      <w:pPr>
        <w:pStyle w:val="ListBullet"/>
      </w:pPr>
      <w:r>
        <w:rPr>
          <w:rFonts w:ascii="Liberation Serif" w:hAnsi="Liberation Serif"/>
          <w:color w:val="232734"/>
          <w:sz w:val="20"/>
        </w:rPr>
        <w:t>shared credentials;</w:t>
      </w:r>
    </w:p>
    <w:p>
      <w:pPr>
        <w:pStyle w:val="ListBullet"/>
      </w:pPr>
      <w:r>
        <w:rPr>
          <w:rFonts w:ascii="Liberation Serif" w:hAnsi="Liberation Serif"/>
          <w:color w:val="232734"/>
          <w:sz w:val="20"/>
        </w:rPr>
        <w:t>missing exit plans;</w:t>
      </w:r>
    </w:p>
    <w:p>
      <w:pPr>
        <w:pStyle w:val="ListBullet"/>
      </w:pPr>
      <w:r>
        <w:rPr>
          <w:rFonts w:ascii="Liberation Serif" w:hAnsi="Liberation Serif"/>
          <w:color w:val="232734"/>
          <w:sz w:val="20"/>
        </w:rPr>
        <w:t>concentration exposure;</w:t>
      </w:r>
    </w:p>
    <w:p>
      <w:pPr>
        <w:pStyle w:val="ListBullet"/>
      </w:pPr>
      <w:r>
        <w:rPr>
          <w:rFonts w:ascii="Liberation Serif" w:hAnsi="Liberation Serif"/>
          <w:color w:val="232734"/>
          <w:sz w:val="20"/>
        </w:rPr>
        <w:t>shadow IT reports;</w:t>
      </w:r>
    </w:p>
    <w:p>
      <w:pPr>
        <w:pStyle w:val="ListBullet"/>
      </w:pPr>
      <w:r>
        <w:rPr>
          <w:rFonts w:ascii="Liberation Serif" w:hAnsi="Liberation Serif"/>
          <w:color w:val="232734"/>
          <w:sz w:val="20"/>
        </w:rPr>
        <w:t>open-source vulnerabilities;</w:t>
      </w:r>
    </w:p>
    <w:p>
      <w:pPr>
        <w:pStyle w:val="ListBullet"/>
      </w:pPr>
      <w:r>
        <w:rPr>
          <w:rFonts w:ascii="Liberation Serif" w:hAnsi="Liberation Serif"/>
          <w:color w:val="232734"/>
          <w:sz w:val="20"/>
        </w:rPr>
        <w:t>unsupported dependencies.</w:t>
      </w:r>
    </w:p>
    <w:p>
      <w:pPr>
        <w:spacing w:after="120" w:line="252" w:lineRule="auto"/>
      </w:pPr>
      <w:r>
        <w:rPr>
          <w:rFonts w:ascii="Liberation Serif" w:hAnsi="Liberation Serif"/>
          <w:color w:val="232734"/>
          <w:sz w:val="20"/>
        </w:rPr>
        <w:t>Metrics shall not substitute for substantive review.</w:t>
      </w:r>
    </w:p>
    <w:p>
      <w:pPr>
        <w:pStyle w:val="Heading1"/>
        <w:keepNext/>
        <w:pBdr>
          <w:bottom w:val="single" w:sz="6" w:space="4" w:color="E3E6EB"/>
        </w:pBdr>
      </w:pPr>
      <w:r>
        <w:t>81. Vendor Risk Acceptance</w:t>
      </w:r>
    </w:p>
    <w:p>
      <w:pPr>
        <w:spacing w:after="120" w:line="252" w:lineRule="auto"/>
      </w:pPr>
      <w:r>
        <w:rPr>
          <w:rFonts w:ascii="Liberation Serif" w:hAnsi="Liberation Serif"/>
          <w:color w:val="232734"/>
          <w:sz w:val="20"/>
        </w:rPr>
        <w:t>Material retained vendor risk must identify:</w:t>
      </w:r>
    </w:p>
    <w:p>
      <w:pPr>
        <w:pStyle w:val="ListBullet"/>
      </w:pPr>
      <w:r>
        <w:rPr>
          <w:rFonts w:ascii="Liberation Serif" w:hAnsi="Liberation Serif"/>
          <w:color w:val="232734"/>
          <w:sz w:val="20"/>
        </w:rPr>
        <w:t>risk;</w:t>
      </w:r>
    </w:p>
    <w:p>
      <w:pPr>
        <w:pStyle w:val="ListBullet"/>
      </w:pPr>
      <w:r>
        <w:rPr>
          <w:rFonts w:ascii="Liberation Serif" w:hAnsi="Liberation Serif"/>
          <w:color w:val="232734"/>
          <w:sz w:val="20"/>
        </w:rPr>
        <w:t>business justification;</w:t>
      </w:r>
    </w:p>
    <w:p>
      <w:pPr>
        <w:pStyle w:val="ListBullet"/>
      </w:pPr>
      <w:r>
        <w:rPr>
          <w:rFonts w:ascii="Liberation Serif" w:hAnsi="Liberation Serif"/>
          <w:color w:val="232734"/>
          <w:sz w:val="20"/>
        </w:rPr>
        <w:t>affected systems;</w:t>
      </w:r>
    </w:p>
    <w:p>
      <w:pPr>
        <w:pStyle w:val="ListBullet"/>
      </w:pPr>
      <w:r>
        <w:rPr>
          <w:rFonts w:ascii="Liberation Serif" w:hAnsi="Liberation Serif"/>
          <w:color w:val="232734"/>
          <w:sz w:val="20"/>
        </w:rPr>
        <w:t>affected data;</w:t>
      </w:r>
    </w:p>
    <w:p>
      <w:pPr>
        <w:pStyle w:val="ListBullet"/>
      </w:pPr>
      <w:r>
        <w:rPr>
          <w:rFonts w:ascii="Liberation Serif" w:hAnsi="Liberation Serif"/>
          <w:color w:val="232734"/>
          <w:sz w:val="20"/>
        </w:rPr>
        <w:t>compensating controls;</w:t>
      </w:r>
    </w:p>
    <w:p>
      <w:pPr>
        <w:pStyle w:val="ListBullet"/>
      </w:pPr>
      <w:r>
        <w:rPr>
          <w:rFonts w:ascii="Liberation Serif" w:hAnsi="Liberation Serif"/>
          <w:color w:val="232734"/>
          <w:sz w:val="20"/>
        </w:rPr>
        <w:t>owner;</w:t>
      </w:r>
    </w:p>
    <w:p>
      <w:pPr>
        <w:pStyle w:val="ListBullet"/>
      </w:pPr>
      <w:r>
        <w:rPr>
          <w:rFonts w:ascii="Liberation Serif" w:hAnsi="Liberation Serif"/>
          <w:color w:val="232734"/>
          <w:sz w:val="20"/>
        </w:rPr>
        <w:t>approver;</w:t>
      </w:r>
    </w:p>
    <w:p>
      <w:pPr>
        <w:pStyle w:val="ListBullet"/>
      </w:pPr>
      <w:r>
        <w:rPr>
          <w:rFonts w:ascii="Liberation Serif" w:hAnsi="Liberation Serif"/>
          <w:color w:val="232734"/>
          <w:sz w:val="20"/>
        </w:rPr>
        <w:t>duration;</w:t>
      </w:r>
    </w:p>
    <w:p>
      <w:pPr>
        <w:pStyle w:val="ListBullet"/>
      </w:pPr>
      <w:r>
        <w:rPr>
          <w:rFonts w:ascii="Liberation Serif" w:hAnsi="Liberation Serif"/>
          <w:color w:val="232734"/>
          <w:sz w:val="20"/>
        </w:rPr>
        <w:t>review date;</w:t>
      </w:r>
    </w:p>
    <w:p>
      <w:pPr>
        <w:pStyle w:val="ListBullet"/>
      </w:pPr>
      <w:r>
        <w:rPr>
          <w:rFonts w:ascii="Liberation Serif" w:hAnsi="Liberation Serif"/>
          <w:color w:val="232734"/>
          <w:sz w:val="20"/>
        </w:rPr>
        <w:t>exit trigger.</w:t>
      </w:r>
    </w:p>
    <w:p>
      <w:pPr>
        <w:spacing w:after="120" w:line="252" w:lineRule="auto"/>
      </w:pPr>
      <w:r>
        <w:rPr>
          <w:rFonts w:ascii="Liberation Serif" w:hAnsi="Liberation Serif"/>
          <w:color w:val="232734"/>
          <w:sz w:val="20"/>
        </w:rPr>
        <w:t>High residual risk involving tenant isolation, safeguarding, encryption keys, payment authority, or customer-data training requires Founder review unless expressly delegated.</w:t>
      </w:r>
    </w:p>
    <w:p>
      <w:pPr>
        <w:pStyle w:val="Heading1"/>
        <w:keepNext/>
        <w:pBdr>
          <w:bottom w:val="single" w:sz="6" w:space="4" w:color="E3E6EB"/>
        </w:pBdr>
      </w:pPr>
      <w:r>
        <w:t>82. Customer Disclosure</w:t>
      </w:r>
    </w:p>
    <w:p>
      <w:pPr>
        <w:spacing w:after="120" w:line="252" w:lineRule="auto"/>
      </w:pPr>
      <w:r>
        <w:rPr>
          <w:rFonts w:ascii="Liberation Serif" w:hAnsi="Liberation Serif"/>
          <w:color w:val="232734"/>
          <w:sz w:val="20"/>
        </w:rPr>
        <w:t>EquineSync shall disclose vendors or subprocessors to customers where required by:</w:t>
      </w:r>
    </w:p>
    <w:p>
      <w:pPr>
        <w:pStyle w:val="ListBullet"/>
      </w:pPr>
      <w:r>
        <w:rPr>
          <w:rFonts w:ascii="Liberation Serif" w:hAnsi="Liberation Serif"/>
          <w:color w:val="232734"/>
          <w:sz w:val="20"/>
        </w:rPr>
        <w:t>law;</w:t>
      </w:r>
    </w:p>
    <w:p>
      <w:pPr>
        <w:pStyle w:val="ListBullet"/>
      </w:pPr>
      <w:r>
        <w:rPr>
          <w:rFonts w:ascii="Liberation Serif" w:hAnsi="Liberation Serif"/>
          <w:color w:val="232734"/>
          <w:sz w:val="20"/>
        </w:rPr>
        <w:t>contract;</w:t>
      </w:r>
    </w:p>
    <w:p>
      <w:pPr>
        <w:pStyle w:val="ListBullet"/>
      </w:pPr>
      <w:r>
        <w:rPr>
          <w:rFonts w:ascii="Liberation Serif" w:hAnsi="Liberation Serif"/>
          <w:color w:val="232734"/>
          <w:sz w:val="20"/>
        </w:rPr>
        <w:t>privacy notice;</w:t>
      </w:r>
    </w:p>
    <w:p>
      <w:pPr>
        <w:pStyle w:val="ListBullet"/>
      </w:pPr>
      <w:r>
        <w:rPr>
          <w:rFonts w:ascii="Liberation Serif" w:hAnsi="Liberation Serif"/>
          <w:color w:val="232734"/>
          <w:sz w:val="20"/>
        </w:rPr>
        <w:t>data-processing terms;</w:t>
      </w:r>
    </w:p>
    <w:p>
      <w:pPr>
        <w:pStyle w:val="ListBullet"/>
      </w:pPr>
      <w:r>
        <w:rPr>
          <w:rFonts w:ascii="Liberation Serif" w:hAnsi="Liberation Serif"/>
          <w:color w:val="232734"/>
          <w:sz w:val="20"/>
        </w:rPr>
        <w:t>enterprise commitments.</w:t>
      </w:r>
    </w:p>
    <w:p>
      <w:pPr>
        <w:spacing w:after="120" w:line="252" w:lineRule="auto"/>
      </w:pPr>
      <w:r>
        <w:rPr>
          <w:rFonts w:ascii="Liberation Serif" w:hAnsi="Liberation Serif"/>
          <w:color w:val="232734"/>
          <w:sz w:val="20"/>
        </w:rPr>
        <w:t>Disclosures must be:</w:t>
      </w:r>
    </w:p>
    <w:p>
      <w:pPr>
        <w:pStyle w:val="ListBullet"/>
      </w:pPr>
      <w:r>
        <w:rPr>
          <w:rFonts w:ascii="Liberation Serif" w:hAnsi="Liberation Serif"/>
          <w:color w:val="232734"/>
          <w:sz w:val="20"/>
        </w:rPr>
        <w:t>accurate;</w:t>
      </w:r>
    </w:p>
    <w:p>
      <w:pPr>
        <w:pStyle w:val="ListBullet"/>
      </w:pPr>
      <w:r>
        <w:rPr>
          <w:rFonts w:ascii="Liberation Serif" w:hAnsi="Liberation Serif"/>
          <w:color w:val="232734"/>
          <w:sz w:val="20"/>
        </w:rPr>
        <w:t>current;</w:t>
      </w:r>
    </w:p>
    <w:p>
      <w:pPr>
        <w:pStyle w:val="ListBullet"/>
      </w:pPr>
      <w:r>
        <w:rPr>
          <w:rFonts w:ascii="Liberation Serif" w:hAnsi="Liberation Serif"/>
          <w:color w:val="232734"/>
          <w:sz w:val="20"/>
        </w:rPr>
        <w:t>appropriately scoped;</w:t>
      </w:r>
    </w:p>
    <w:p>
      <w:pPr>
        <w:pStyle w:val="ListBullet"/>
      </w:pPr>
      <w:r>
        <w:rPr>
          <w:rFonts w:ascii="Liberation Serif" w:hAnsi="Liberation Serif"/>
          <w:color w:val="232734"/>
          <w:sz w:val="20"/>
        </w:rPr>
        <w:t>corrected when vendor use changes.</w:t>
      </w:r>
    </w:p>
    <w:p>
      <w:pPr>
        <w:spacing w:after="120" w:line="252" w:lineRule="auto"/>
      </w:pPr>
      <w:r>
        <w:rPr>
          <w:rFonts w:ascii="Liberation Serif" w:hAnsi="Liberation Serif"/>
          <w:color w:val="232734"/>
          <w:sz w:val="20"/>
        </w:rPr>
        <w:t>Vendor lists shall not imply that every listed vendor accesses every customer’s data.</w:t>
      </w:r>
    </w:p>
    <w:p>
      <w:pPr>
        <w:pStyle w:val="Heading1"/>
        <w:keepNext/>
        <w:pBdr>
          <w:bottom w:val="single" w:sz="6" w:space="4" w:color="E3E6EB"/>
        </w:pBdr>
      </w:pPr>
      <w:r>
        <w:t>83. Trust Claims Involving Vendors</w:t>
      </w:r>
    </w:p>
    <w:p>
      <w:pPr>
        <w:spacing w:after="120" w:line="252" w:lineRule="auto"/>
      </w:pPr>
      <w:r>
        <w:rPr>
          <w:rFonts w:ascii="Liberation Serif" w:hAnsi="Liberation Serif"/>
          <w:color w:val="232734"/>
          <w:sz w:val="20"/>
        </w:rPr>
        <w:t>EquineSync shall not claim that it is:</w:t>
      </w:r>
    </w:p>
    <w:p>
      <w:pPr>
        <w:pStyle w:val="ListBullet"/>
      </w:pPr>
      <w:r>
        <w:rPr>
          <w:rFonts w:ascii="Liberation Serif" w:hAnsi="Liberation Serif"/>
          <w:color w:val="232734"/>
          <w:sz w:val="20"/>
        </w:rPr>
        <w:t>secure because a vendor is secure;</w:t>
      </w:r>
    </w:p>
    <w:p>
      <w:pPr>
        <w:pStyle w:val="ListBullet"/>
      </w:pPr>
      <w:r>
        <w:rPr>
          <w:rFonts w:ascii="Liberation Serif" w:hAnsi="Liberation Serif"/>
          <w:color w:val="232734"/>
          <w:sz w:val="20"/>
        </w:rPr>
        <w:t>compliant solely because a vendor is certified;</w:t>
      </w:r>
    </w:p>
    <w:p>
      <w:pPr>
        <w:pStyle w:val="ListBullet"/>
      </w:pPr>
      <w:r>
        <w:rPr>
          <w:rFonts w:ascii="Liberation Serif" w:hAnsi="Liberation Serif"/>
          <w:color w:val="232734"/>
          <w:sz w:val="20"/>
        </w:rPr>
        <w:t>multi-region without complete supporting architecture;</w:t>
      </w:r>
    </w:p>
    <w:p>
      <w:pPr>
        <w:pStyle w:val="ListBullet"/>
      </w:pPr>
      <w:r>
        <w:rPr>
          <w:rFonts w:ascii="Liberation Serif" w:hAnsi="Liberation Serif"/>
          <w:color w:val="232734"/>
          <w:sz w:val="20"/>
        </w:rPr>
        <w:t>end-to-end encrypted based solely on vendor encryption;</w:t>
      </w:r>
    </w:p>
    <w:p>
      <w:pPr>
        <w:pStyle w:val="ListBullet"/>
      </w:pPr>
      <w:r>
        <w:rPr>
          <w:rFonts w:ascii="Liberation Serif" w:hAnsi="Liberation Serif"/>
          <w:color w:val="232734"/>
          <w:sz w:val="20"/>
        </w:rPr>
        <w:t>resilient based solely on vendor uptime claims;</w:t>
      </w:r>
    </w:p>
    <w:p>
      <w:pPr>
        <w:pStyle w:val="ListBullet"/>
      </w:pPr>
      <w:r>
        <w:rPr>
          <w:rFonts w:ascii="Liberation Serif" w:hAnsi="Liberation Serif"/>
          <w:color w:val="232734"/>
          <w:sz w:val="20"/>
        </w:rPr>
        <w:t>private where vendor reuse contradicts the claim.</w:t>
      </w:r>
    </w:p>
    <w:p>
      <w:pPr>
        <w:spacing w:after="120" w:line="252" w:lineRule="auto"/>
      </w:pPr>
      <w:r>
        <w:rPr>
          <w:rFonts w:ascii="Liberation Serif" w:hAnsi="Liberation Serif"/>
          <w:color w:val="232734"/>
          <w:sz w:val="20"/>
        </w:rPr>
        <w:t>Vendor-backed trust claims require evidence covering EquineSync’s actual configuration and use.</w:t>
      </w:r>
    </w:p>
    <w:p>
      <w:pPr>
        <w:pStyle w:val="Heading1"/>
        <w:keepNext/>
        <w:pBdr>
          <w:bottom w:val="single" w:sz="6" w:space="4" w:color="E3E6EB"/>
        </w:pBdr>
      </w:pPr>
      <w:r>
        <w:t>84. Customer Choice and Optional Integrations</w:t>
      </w:r>
    </w:p>
    <w:p>
      <w:pPr>
        <w:spacing w:after="120" w:line="252" w:lineRule="auto"/>
      </w:pPr>
      <w:r>
        <w:rPr>
          <w:rFonts w:ascii="Liberation Serif" w:hAnsi="Liberation Serif"/>
          <w:color w:val="232734"/>
          <w:sz w:val="20"/>
        </w:rPr>
        <w:t>Optional integrations shall be clearly distinguished from required platform providers.</w:t>
      </w:r>
    </w:p>
    <w:p>
      <w:pPr>
        <w:spacing w:after="120" w:line="252" w:lineRule="auto"/>
      </w:pPr>
      <w:r>
        <w:rPr>
          <w:rFonts w:ascii="Liberation Serif" w:hAnsi="Liberation Serif"/>
          <w:color w:val="232734"/>
          <w:sz w:val="20"/>
        </w:rPr>
        <w:t>Where customers activate optional integrations, EquineSync shall identify:</w:t>
      </w:r>
    </w:p>
    <w:p>
      <w:pPr>
        <w:pStyle w:val="ListBullet"/>
      </w:pPr>
      <w:r>
        <w:rPr>
          <w:rFonts w:ascii="Liberation Serif" w:hAnsi="Liberation Serif"/>
          <w:color w:val="232734"/>
          <w:sz w:val="20"/>
        </w:rPr>
        <w:t>information shared;</w:t>
      </w:r>
    </w:p>
    <w:p>
      <w:pPr>
        <w:pStyle w:val="ListBullet"/>
      </w:pPr>
      <w:r>
        <w:rPr>
          <w:rFonts w:ascii="Liberation Serif" w:hAnsi="Liberation Serif"/>
          <w:color w:val="232734"/>
          <w:sz w:val="20"/>
        </w:rPr>
        <w:t>permissions granted;</w:t>
      </w:r>
    </w:p>
    <w:p>
      <w:pPr>
        <w:pStyle w:val="ListBullet"/>
      </w:pPr>
      <w:r>
        <w:rPr>
          <w:rFonts w:ascii="Liberation Serif" w:hAnsi="Liberation Serif"/>
          <w:color w:val="232734"/>
          <w:sz w:val="20"/>
        </w:rPr>
        <w:t>vendor relationship;</w:t>
      </w:r>
    </w:p>
    <w:p>
      <w:pPr>
        <w:pStyle w:val="ListBullet"/>
      </w:pPr>
      <w:r>
        <w:rPr>
          <w:rFonts w:ascii="Liberation Serif" w:hAnsi="Liberation Serif"/>
          <w:color w:val="232734"/>
          <w:sz w:val="20"/>
        </w:rPr>
        <w:t>revocation method;</w:t>
      </w:r>
    </w:p>
    <w:p>
      <w:pPr>
        <w:pStyle w:val="ListBullet"/>
      </w:pPr>
      <w:r>
        <w:rPr>
          <w:rFonts w:ascii="Liberation Serif" w:hAnsi="Liberation Serif"/>
          <w:color w:val="232734"/>
          <w:sz w:val="20"/>
        </w:rPr>
        <w:t>customer responsibilities;</w:t>
      </w:r>
    </w:p>
    <w:p>
      <w:pPr>
        <w:pStyle w:val="ListBullet"/>
      </w:pPr>
      <w:r>
        <w:rPr>
          <w:rFonts w:ascii="Liberation Serif" w:hAnsi="Liberation Serif"/>
          <w:color w:val="232734"/>
          <w:sz w:val="20"/>
        </w:rPr>
        <w:t>relevant privacy effects.</w:t>
      </w:r>
    </w:p>
    <w:p>
      <w:pPr>
        <w:spacing w:after="120" w:line="252" w:lineRule="auto"/>
      </w:pPr>
      <w:r>
        <w:rPr>
          <w:rFonts w:ascii="Liberation Serif" w:hAnsi="Liberation Serif"/>
          <w:color w:val="232734"/>
          <w:sz w:val="20"/>
        </w:rPr>
        <w:t>Customer activation shall not waive EquineSync’s duty to design a secure integration.</w:t>
      </w:r>
    </w:p>
    <w:p>
      <w:pPr>
        <w:pStyle w:val="Heading1"/>
        <w:keepNext/>
        <w:pBdr>
          <w:bottom w:val="single" w:sz="6" w:space="4" w:color="E3E6EB"/>
        </w:pBdr>
      </w:pPr>
      <w:r>
        <w:t>85. Prohibited Vendor Practices</w:t>
      </w:r>
    </w:p>
    <w:p>
      <w:pPr>
        <w:spacing w:after="120" w:line="252" w:lineRule="auto"/>
      </w:pPr>
      <w:r>
        <w:rPr>
          <w:rFonts w:ascii="Liberation Serif" w:hAnsi="Liberation Serif"/>
          <w:color w:val="232734"/>
          <w:sz w:val="20"/>
        </w:rPr>
        <w:t>EquineSync prohibits:</w:t>
      </w:r>
    </w:p>
    <w:p>
      <w:pPr>
        <w:spacing w:after="50"/>
        <w:ind w:left="346" w:hanging="346"/>
      </w:pPr>
      <w:r>
        <w:rPr>
          <w:rFonts w:ascii="Liberation Serif" w:hAnsi="Liberation Serif"/>
          <w:b w:val="0"/>
          <w:color w:val="232734"/>
          <w:sz w:val="20"/>
        </w:rPr>
        <w:t xml:space="preserve">1. </w:t>
      </w:r>
      <w:r>
        <w:rPr>
          <w:rFonts w:ascii="Liberation Serif" w:hAnsi="Liberation Serif"/>
          <w:color w:val="232734"/>
          <w:sz w:val="20"/>
        </w:rPr>
        <w:t>activating production vendors without approval;</w:t>
      </w:r>
    </w:p>
    <w:p>
      <w:pPr>
        <w:spacing w:after="50"/>
        <w:ind w:left="346" w:hanging="346"/>
      </w:pPr>
      <w:r>
        <w:rPr>
          <w:rFonts w:ascii="Liberation Serif" w:hAnsi="Liberation Serif"/>
          <w:b w:val="0"/>
          <w:color w:val="232734"/>
          <w:sz w:val="20"/>
        </w:rPr>
        <w:t xml:space="preserve">2. </w:t>
      </w:r>
      <w:r>
        <w:rPr>
          <w:rFonts w:ascii="Liberation Serif" w:hAnsi="Liberation Serif"/>
          <w:color w:val="232734"/>
          <w:sz w:val="20"/>
        </w:rPr>
        <w:t>unknown or ownerless production vendors;</w:t>
      </w:r>
    </w:p>
    <w:p>
      <w:pPr>
        <w:spacing w:after="50"/>
        <w:ind w:left="346" w:hanging="346"/>
      </w:pPr>
      <w:r>
        <w:rPr>
          <w:rFonts w:ascii="Liberation Serif" w:hAnsi="Liberation Serif"/>
          <w:b w:val="0"/>
          <w:color w:val="232734"/>
          <w:sz w:val="20"/>
        </w:rPr>
        <w:t xml:space="preserve">3. </w:t>
      </w:r>
      <w:r>
        <w:rPr>
          <w:rFonts w:ascii="Liberation Serif" w:hAnsi="Liberation Serif"/>
          <w:color w:val="232734"/>
          <w:sz w:val="20"/>
        </w:rPr>
        <w:t>granting unrestricted standing vendor access;</w:t>
      </w:r>
    </w:p>
    <w:p>
      <w:pPr>
        <w:spacing w:after="50"/>
        <w:ind w:left="346" w:hanging="346"/>
      </w:pPr>
      <w:r>
        <w:rPr>
          <w:rFonts w:ascii="Liberation Serif" w:hAnsi="Liberation Serif"/>
          <w:b w:val="0"/>
          <w:color w:val="232734"/>
          <w:sz w:val="20"/>
        </w:rPr>
        <w:t xml:space="preserve">4. </w:t>
      </w:r>
      <w:r>
        <w:rPr>
          <w:rFonts w:ascii="Liberation Serif" w:hAnsi="Liberation Serif"/>
          <w:color w:val="232734"/>
          <w:sz w:val="20"/>
        </w:rPr>
        <w:t>allowing vendors to train shared models on customer operational data;</w:t>
      </w:r>
    </w:p>
    <w:p>
      <w:pPr>
        <w:spacing w:after="50"/>
        <w:ind w:left="346" w:hanging="346"/>
      </w:pPr>
      <w:r>
        <w:rPr>
          <w:rFonts w:ascii="Liberation Serif" w:hAnsi="Liberation Serif"/>
          <w:b w:val="0"/>
          <w:color w:val="232734"/>
          <w:sz w:val="20"/>
        </w:rPr>
        <w:t xml:space="preserve">5. </w:t>
      </w:r>
      <w:r>
        <w:rPr>
          <w:rFonts w:ascii="Liberation Serif" w:hAnsi="Liberation Serif"/>
          <w:color w:val="232734"/>
          <w:sz w:val="20"/>
        </w:rPr>
        <w:t>selling or licensing customer data;</w:t>
      </w:r>
    </w:p>
    <w:p>
      <w:pPr>
        <w:spacing w:after="50"/>
        <w:ind w:left="346" w:hanging="346"/>
      </w:pPr>
      <w:r>
        <w:rPr>
          <w:rFonts w:ascii="Liberation Serif" w:hAnsi="Liberation Serif"/>
          <w:b w:val="0"/>
          <w:color w:val="232734"/>
          <w:sz w:val="20"/>
        </w:rPr>
        <w:t xml:space="preserve">6. </w:t>
      </w:r>
      <w:r>
        <w:rPr>
          <w:rFonts w:ascii="Liberation Serif" w:hAnsi="Liberation Serif"/>
          <w:color w:val="232734"/>
          <w:sz w:val="20"/>
        </w:rPr>
        <w:t>vendor behavioral advertising using customer data;</w:t>
      </w:r>
    </w:p>
    <w:p>
      <w:pPr>
        <w:spacing w:after="50"/>
        <w:ind w:left="346" w:hanging="346"/>
      </w:pPr>
      <w:r>
        <w:rPr>
          <w:rFonts w:ascii="Liberation Serif" w:hAnsi="Liberation Serif"/>
          <w:b w:val="0"/>
          <w:color w:val="232734"/>
          <w:sz w:val="20"/>
        </w:rPr>
        <w:t xml:space="preserve">7. </w:t>
      </w:r>
      <w:r>
        <w:rPr>
          <w:rFonts w:ascii="Liberation Serif" w:hAnsi="Liberation Serif"/>
          <w:color w:val="232734"/>
          <w:sz w:val="20"/>
        </w:rPr>
        <w:t>unapproved subprocessors with material access;</w:t>
      </w:r>
    </w:p>
    <w:p>
      <w:pPr>
        <w:spacing w:after="50"/>
        <w:ind w:left="346" w:hanging="346"/>
      </w:pPr>
      <w:r>
        <w:rPr>
          <w:rFonts w:ascii="Liberation Serif" w:hAnsi="Liberation Serif"/>
          <w:b w:val="0"/>
          <w:color w:val="232734"/>
          <w:sz w:val="20"/>
        </w:rPr>
        <w:t xml:space="preserve">8. </w:t>
      </w:r>
      <w:r>
        <w:rPr>
          <w:rFonts w:ascii="Liberation Serif" w:hAnsi="Liberation Serif"/>
          <w:color w:val="232734"/>
          <w:sz w:val="20"/>
        </w:rPr>
        <w:t>vendor credentials committed to source control;</w:t>
      </w:r>
    </w:p>
    <w:p>
      <w:pPr>
        <w:spacing w:after="50"/>
        <w:ind w:left="346" w:hanging="346"/>
      </w:pPr>
      <w:r>
        <w:rPr>
          <w:rFonts w:ascii="Liberation Serif" w:hAnsi="Liberation Serif"/>
          <w:b w:val="0"/>
          <w:color w:val="232734"/>
          <w:sz w:val="20"/>
        </w:rPr>
        <w:t xml:space="preserve">9. </w:t>
      </w:r>
      <w:r>
        <w:rPr>
          <w:rFonts w:ascii="Liberation Serif" w:hAnsi="Liberation Serif"/>
          <w:color w:val="232734"/>
          <w:sz w:val="20"/>
        </w:rPr>
        <w:t>shared vendor administrator accounts;</w:t>
      </w:r>
    </w:p>
    <w:p>
      <w:pPr>
        <w:spacing w:after="50"/>
        <w:ind w:left="346" w:hanging="346"/>
      </w:pPr>
      <w:r>
        <w:rPr>
          <w:rFonts w:ascii="Liberation Serif" w:hAnsi="Liberation Serif"/>
          <w:b w:val="0"/>
          <w:color w:val="232734"/>
          <w:sz w:val="20"/>
        </w:rPr>
        <w:t xml:space="preserve">10. </w:t>
      </w:r>
      <w:r>
        <w:rPr>
          <w:rFonts w:ascii="Liberation Serif" w:hAnsi="Liberation Serif"/>
          <w:color w:val="232734"/>
          <w:sz w:val="20"/>
        </w:rPr>
        <w:t>accepting marketing claims as sole security evidence;</w:t>
      </w:r>
    </w:p>
    <w:p>
      <w:pPr>
        <w:spacing w:after="50"/>
        <w:ind w:left="346" w:hanging="346"/>
      </w:pPr>
      <w:r>
        <w:rPr>
          <w:rFonts w:ascii="Liberation Serif" w:hAnsi="Liberation Serif"/>
          <w:b w:val="0"/>
          <w:color w:val="232734"/>
          <w:sz w:val="20"/>
        </w:rPr>
        <w:t xml:space="preserve">11. </w:t>
      </w:r>
      <w:r>
        <w:rPr>
          <w:rFonts w:ascii="Liberation Serif" w:hAnsi="Liberation Serif"/>
          <w:color w:val="232734"/>
          <w:sz w:val="20"/>
        </w:rPr>
        <w:t>relying solely on certification logos;</w:t>
      </w:r>
    </w:p>
    <w:p>
      <w:pPr>
        <w:spacing w:after="50"/>
        <w:ind w:left="346" w:hanging="346"/>
      </w:pPr>
      <w:r>
        <w:rPr>
          <w:rFonts w:ascii="Liberation Serif" w:hAnsi="Liberation Serif"/>
          <w:b w:val="0"/>
          <w:color w:val="232734"/>
          <w:sz w:val="20"/>
        </w:rPr>
        <w:t xml:space="preserve">12. </w:t>
      </w:r>
      <w:r>
        <w:rPr>
          <w:rFonts w:ascii="Liberation Serif" w:hAnsi="Liberation Serif"/>
          <w:color w:val="232734"/>
          <w:sz w:val="20"/>
        </w:rPr>
        <w:t>automatic renewal without required reassessment;</w:t>
      </w:r>
    </w:p>
    <w:p>
      <w:pPr>
        <w:spacing w:after="50"/>
        <w:ind w:left="346" w:hanging="346"/>
      </w:pPr>
      <w:r>
        <w:rPr>
          <w:rFonts w:ascii="Liberation Serif" w:hAnsi="Liberation Serif"/>
          <w:b w:val="0"/>
          <w:color w:val="232734"/>
          <w:sz w:val="20"/>
        </w:rPr>
        <w:t xml:space="preserve">13. </w:t>
      </w:r>
      <w:r>
        <w:rPr>
          <w:rFonts w:ascii="Liberation Serif" w:hAnsi="Liberation Serif"/>
          <w:color w:val="232734"/>
          <w:sz w:val="20"/>
        </w:rPr>
        <w:t>shadow IT involving protected data;</w:t>
      </w:r>
    </w:p>
    <w:p>
      <w:pPr>
        <w:spacing w:after="50"/>
        <w:ind w:left="346" w:hanging="346"/>
      </w:pPr>
      <w:r>
        <w:rPr>
          <w:rFonts w:ascii="Liberation Serif" w:hAnsi="Liberation Serif"/>
          <w:b w:val="0"/>
          <w:color w:val="232734"/>
          <w:sz w:val="20"/>
        </w:rPr>
        <w:t xml:space="preserve">14. </w:t>
      </w:r>
      <w:r>
        <w:rPr>
          <w:rFonts w:ascii="Liberation Serif" w:hAnsi="Liberation Serif"/>
          <w:color w:val="232734"/>
          <w:sz w:val="20"/>
        </w:rPr>
        <w:t>unreviewed production browser extensions;</w:t>
      </w:r>
    </w:p>
    <w:p>
      <w:pPr>
        <w:spacing w:after="50"/>
        <w:ind w:left="346" w:hanging="346"/>
      </w:pPr>
      <w:r>
        <w:rPr>
          <w:rFonts w:ascii="Liberation Serif" w:hAnsi="Liberation Serif"/>
          <w:b w:val="0"/>
          <w:color w:val="232734"/>
          <w:sz w:val="20"/>
        </w:rPr>
        <w:t xml:space="preserve">15. </w:t>
      </w:r>
      <w:r>
        <w:rPr>
          <w:rFonts w:ascii="Liberation Serif" w:hAnsi="Liberation Serif"/>
          <w:color w:val="232734"/>
          <w:sz w:val="20"/>
        </w:rPr>
        <w:t>using personal AI accounts for customer data;</w:t>
      </w:r>
    </w:p>
    <w:p>
      <w:pPr>
        <w:spacing w:after="50"/>
        <w:ind w:left="346" w:hanging="346"/>
      </w:pPr>
      <w:r>
        <w:rPr>
          <w:rFonts w:ascii="Liberation Serif" w:hAnsi="Liberation Serif"/>
          <w:b w:val="0"/>
          <w:color w:val="232734"/>
          <w:sz w:val="20"/>
        </w:rPr>
        <w:t xml:space="preserve">16. </w:t>
      </w:r>
      <w:r>
        <w:rPr>
          <w:rFonts w:ascii="Liberation Serif" w:hAnsi="Liberation Serif"/>
          <w:color w:val="232734"/>
          <w:sz w:val="20"/>
        </w:rPr>
        <w:t>package installation from untrusted sources;</w:t>
      </w:r>
    </w:p>
    <w:p>
      <w:pPr>
        <w:spacing w:after="50"/>
        <w:ind w:left="346" w:hanging="346"/>
      </w:pPr>
      <w:r>
        <w:rPr>
          <w:rFonts w:ascii="Liberation Serif" w:hAnsi="Liberation Serif"/>
          <w:b w:val="0"/>
          <w:color w:val="232734"/>
          <w:sz w:val="20"/>
        </w:rPr>
        <w:t xml:space="preserve">17. </w:t>
      </w:r>
      <w:r>
        <w:rPr>
          <w:rFonts w:ascii="Liberation Serif" w:hAnsi="Liberation Serif"/>
          <w:color w:val="232734"/>
          <w:sz w:val="20"/>
        </w:rPr>
        <w:t>unsigned or unverifiable production artifacts where integrity controls are required;</w:t>
      </w:r>
    </w:p>
    <w:p>
      <w:pPr>
        <w:spacing w:after="50"/>
        <w:ind w:left="346" w:hanging="346"/>
      </w:pPr>
      <w:r>
        <w:rPr>
          <w:rFonts w:ascii="Liberation Serif" w:hAnsi="Liberation Serif"/>
          <w:b w:val="0"/>
          <w:color w:val="232734"/>
          <w:sz w:val="20"/>
        </w:rPr>
        <w:t xml:space="preserve">18. </w:t>
      </w:r>
      <w:r>
        <w:rPr>
          <w:rFonts w:ascii="Liberation Serif" w:hAnsi="Liberation Serif"/>
          <w:color w:val="232734"/>
          <w:sz w:val="20"/>
        </w:rPr>
        <w:t>dependency updates outside release governance;</w:t>
      </w:r>
    </w:p>
    <w:p>
      <w:pPr>
        <w:spacing w:after="50"/>
        <w:ind w:left="346" w:hanging="346"/>
      </w:pPr>
      <w:r>
        <w:rPr>
          <w:rFonts w:ascii="Liberation Serif" w:hAnsi="Liberation Serif"/>
          <w:b w:val="0"/>
          <w:color w:val="232734"/>
          <w:sz w:val="20"/>
        </w:rPr>
        <w:t xml:space="preserve">19. </w:t>
      </w:r>
      <w:r>
        <w:rPr>
          <w:rFonts w:ascii="Liberation Serif" w:hAnsi="Liberation Serif"/>
          <w:color w:val="232734"/>
          <w:sz w:val="20"/>
        </w:rPr>
        <w:t>leaving vendor access active after termination;</w:t>
      </w:r>
    </w:p>
    <w:p>
      <w:pPr>
        <w:spacing w:after="50"/>
        <w:ind w:left="346" w:hanging="346"/>
      </w:pPr>
      <w:r>
        <w:rPr>
          <w:rFonts w:ascii="Liberation Serif" w:hAnsi="Liberation Serif"/>
          <w:b w:val="0"/>
          <w:color w:val="232734"/>
          <w:sz w:val="20"/>
        </w:rPr>
        <w:t xml:space="preserve">20. </w:t>
      </w:r>
      <w:r>
        <w:rPr>
          <w:rFonts w:ascii="Liberation Serif" w:hAnsi="Liberation Serif"/>
          <w:color w:val="232734"/>
          <w:sz w:val="20"/>
        </w:rPr>
        <w:t>claiming deletion without evaluating backups and subprocessors;</w:t>
      </w:r>
    </w:p>
    <w:p>
      <w:pPr>
        <w:spacing w:after="50"/>
        <w:ind w:left="346" w:hanging="346"/>
      </w:pPr>
      <w:r>
        <w:rPr>
          <w:rFonts w:ascii="Liberation Serif" w:hAnsi="Liberation Serif"/>
          <w:b w:val="0"/>
          <w:color w:val="232734"/>
          <w:sz w:val="20"/>
        </w:rPr>
        <w:t xml:space="preserve">21. </w:t>
      </w:r>
      <w:r>
        <w:rPr>
          <w:rFonts w:ascii="Liberation Serif" w:hAnsi="Liberation Serif"/>
          <w:color w:val="232734"/>
          <w:sz w:val="20"/>
        </w:rPr>
        <w:t>allowing vendor telemetry to become advertising data;</w:t>
      </w:r>
    </w:p>
    <w:p>
      <w:pPr>
        <w:spacing w:after="50"/>
        <w:ind w:left="346" w:hanging="346"/>
      </w:pPr>
      <w:r>
        <w:rPr>
          <w:rFonts w:ascii="Liberation Serif" w:hAnsi="Liberation Serif"/>
          <w:b w:val="0"/>
          <w:color w:val="232734"/>
          <w:sz w:val="20"/>
        </w:rPr>
        <w:t xml:space="preserve">22. </w:t>
      </w:r>
      <w:r>
        <w:rPr>
          <w:rFonts w:ascii="Liberation Serif" w:hAnsi="Liberation Serif"/>
          <w:color w:val="232734"/>
          <w:sz w:val="20"/>
        </w:rPr>
        <w:t>approving a vendor without considering exit risk;</w:t>
      </w:r>
    </w:p>
    <w:p>
      <w:pPr>
        <w:spacing w:after="50"/>
        <w:ind w:left="346" w:hanging="346"/>
      </w:pPr>
      <w:r>
        <w:rPr>
          <w:rFonts w:ascii="Liberation Serif" w:hAnsi="Liberation Serif"/>
          <w:b w:val="0"/>
          <w:color w:val="232734"/>
          <w:sz w:val="20"/>
        </w:rPr>
        <w:t xml:space="preserve">23. </w:t>
      </w:r>
      <w:r>
        <w:rPr>
          <w:rFonts w:ascii="Liberation Serif" w:hAnsi="Liberation Serif"/>
          <w:color w:val="232734"/>
          <w:sz w:val="20"/>
        </w:rPr>
        <w:t>treating vendor failure as solely the vendor’s responsibility;</w:t>
      </w:r>
    </w:p>
    <w:p>
      <w:pPr>
        <w:spacing w:after="50"/>
        <w:ind w:left="346" w:hanging="346"/>
      </w:pPr>
      <w:r>
        <w:rPr>
          <w:rFonts w:ascii="Liberation Serif" w:hAnsi="Liberation Serif"/>
          <w:b w:val="0"/>
          <w:color w:val="232734"/>
          <w:sz w:val="20"/>
        </w:rPr>
        <w:t xml:space="preserve">24. </w:t>
      </w:r>
      <w:r>
        <w:rPr>
          <w:rFonts w:ascii="Liberation Serif" w:hAnsi="Liberation Serif"/>
          <w:color w:val="232734"/>
          <w:sz w:val="20"/>
        </w:rPr>
        <w:t>allowing one vendor to hold irreplaceable data without an exit path;</w:t>
      </w:r>
    </w:p>
    <w:p>
      <w:pPr>
        <w:spacing w:after="50"/>
        <w:ind w:left="346" w:hanging="346"/>
      </w:pPr>
      <w:r>
        <w:rPr>
          <w:rFonts w:ascii="Liberation Serif" w:hAnsi="Liberation Serif"/>
          <w:b w:val="0"/>
          <w:color w:val="232734"/>
          <w:sz w:val="20"/>
        </w:rPr>
        <w:t xml:space="preserve">25. </w:t>
      </w:r>
      <w:r>
        <w:rPr>
          <w:rFonts w:ascii="Liberation Serif" w:hAnsi="Liberation Serif"/>
          <w:color w:val="232734"/>
          <w:sz w:val="20"/>
        </w:rPr>
        <w:t>allowing emergency vendor use to become permanent without review;</w:t>
      </w:r>
    </w:p>
    <w:p>
      <w:pPr>
        <w:spacing w:after="50"/>
        <w:ind w:left="346" w:hanging="346"/>
      </w:pPr>
      <w:r>
        <w:rPr>
          <w:rFonts w:ascii="Liberation Serif" w:hAnsi="Liberation Serif"/>
          <w:b w:val="0"/>
          <w:color w:val="232734"/>
          <w:sz w:val="20"/>
        </w:rPr>
        <w:t xml:space="preserve">26. </w:t>
      </w:r>
      <w:r>
        <w:rPr>
          <w:rFonts w:ascii="Liberation Serif" w:hAnsi="Liberation Serif"/>
          <w:color w:val="232734"/>
          <w:sz w:val="20"/>
        </w:rPr>
        <w:t>accepting unresolved contradictions in vendor evidence;</w:t>
      </w:r>
    </w:p>
    <w:p>
      <w:pPr>
        <w:spacing w:after="50"/>
        <w:ind w:left="346" w:hanging="346"/>
      </w:pPr>
      <w:r>
        <w:rPr>
          <w:rFonts w:ascii="Liberation Serif" w:hAnsi="Liberation Serif"/>
          <w:b w:val="0"/>
          <w:color w:val="232734"/>
          <w:sz w:val="20"/>
        </w:rPr>
        <w:t xml:space="preserve">27. </w:t>
      </w:r>
      <w:r>
        <w:rPr>
          <w:rFonts w:ascii="Liberation Serif" w:hAnsi="Liberation Serif"/>
          <w:color w:val="232734"/>
          <w:sz w:val="20"/>
        </w:rPr>
        <w:t>restoring vendor access after an incident without revalidation;</w:t>
      </w:r>
    </w:p>
    <w:p>
      <w:pPr>
        <w:spacing w:after="50"/>
        <w:ind w:left="346" w:hanging="346"/>
      </w:pPr>
      <w:r>
        <w:rPr>
          <w:rFonts w:ascii="Liberation Serif" w:hAnsi="Liberation Serif"/>
          <w:b w:val="0"/>
          <w:color w:val="232734"/>
          <w:sz w:val="20"/>
        </w:rPr>
        <w:t xml:space="preserve">28. </w:t>
      </w:r>
      <w:r>
        <w:rPr>
          <w:rFonts w:ascii="Liberation Serif" w:hAnsi="Liberation Serif"/>
          <w:color w:val="232734"/>
          <w:sz w:val="20"/>
        </w:rPr>
        <w:t>treating open-source components as outside supply-chain governance;</w:t>
      </w:r>
    </w:p>
    <w:p>
      <w:pPr>
        <w:spacing w:after="50"/>
        <w:ind w:left="346" w:hanging="346"/>
      </w:pPr>
      <w:r>
        <w:rPr>
          <w:rFonts w:ascii="Liberation Serif" w:hAnsi="Liberation Serif"/>
          <w:b w:val="0"/>
          <w:color w:val="232734"/>
          <w:sz w:val="20"/>
        </w:rPr>
        <w:t xml:space="preserve">29. </w:t>
      </w:r>
      <w:r>
        <w:rPr>
          <w:rFonts w:ascii="Liberation Serif" w:hAnsi="Liberation Serif"/>
          <w:color w:val="232734"/>
          <w:sz w:val="20"/>
        </w:rPr>
        <w:t>using production data in vendor demonstrations without authorization;</w:t>
      </w:r>
    </w:p>
    <w:p>
      <w:pPr>
        <w:spacing w:after="50"/>
        <w:ind w:left="346" w:hanging="346"/>
      </w:pPr>
      <w:r>
        <w:rPr>
          <w:rFonts w:ascii="Liberation Serif" w:hAnsi="Liberation Serif"/>
          <w:b w:val="0"/>
          <w:color w:val="232734"/>
          <w:sz w:val="20"/>
        </w:rPr>
        <w:t xml:space="preserve">30. </w:t>
      </w:r>
      <w:r>
        <w:rPr>
          <w:rFonts w:ascii="Liberation Serif" w:hAnsi="Liberation Serif"/>
          <w:color w:val="232734"/>
          <w:sz w:val="20"/>
        </w:rPr>
        <w:t>allowing vendors to modify authoritative records beyond their approved function.</w:t>
      </w:r>
    </w:p>
    <w:p>
      <w:pPr>
        <w:pStyle w:val="Heading1"/>
        <w:keepNext/>
        <w:pBdr>
          <w:bottom w:val="single" w:sz="6" w:space="4" w:color="E3E6EB"/>
        </w:pBdr>
      </w:pPr>
      <w:r>
        <w:t>86. Required Implementation Artifacts</w:t>
      </w:r>
    </w:p>
    <w:p>
      <w:pPr>
        <w:spacing w:after="120" w:line="252" w:lineRule="auto"/>
      </w:pPr>
      <w:r>
        <w:rPr>
          <w:rFonts w:ascii="Liberation Serif" w:hAnsi="Liberation Serif"/>
          <w:color w:val="232734"/>
          <w:sz w:val="20"/>
        </w:rPr>
        <w:t>Before production implementation, EquineSync shall produce at least:</w:t>
      </w:r>
    </w:p>
    <w:p>
      <w:pPr>
        <w:pStyle w:val="ListBullet"/>
      </w:pPr>
      <w:r>
        <w:rPr>
          <w:rFonts w:ascii="Liberation Serif" w:hAnsi="Liberation Serif"/>
          <w:color w:val="232734"/>
          <w:sz w:val="20"/>
        </w:rPr>
        <w:t>Vendor and Dependency Inventory;</w:t>
      </w:r>
    </w:p>
    <w:p>
      <w:pPr>
        <w:pStyle w:val="ListBullet"/>
      </w:pPr>
      <w:r>
        <w:rPr>
          <w:rFonts w:ascii="Liberation Serif" w:hAnsi="Liberation Serif"/>
          <w:color w:val="232734"/>
          <w:sz w:val="20"/>
        </w:rPr>
        <w:t>Vendor Risk Classification Standard;</w:t>
      </w:r>
    </w:p>
    <w:p>
      <w:pPr>
        <w:pStyle w:val="ListBullet"/>
      </w:pPr>
      <w:r>
        <w:rPr>
          <w:rFonts w:ascii="Liberation Serif" w:hAnsi="Liberation Serif"/>
          <w:color w:val="232734"/>
          <w:sz w:val="20"/>
        </w:rPr>
        <w:t>Vendor Due Diligence Standard;</w:t>
      </w:r>
    </w:p>
    <w:p>
      <w:pPr>
        <w:pStyle w:val="ListBullet"/>
      </w:pPr>
      <w:r>
        <w:rPr>
          <w:rFonts w:ascii="Liberation Serif" w:hAnsi="Liberation Serif"/>
          <w:color w:val="232734"/>
          <w:sz w:val="20"/>
        </w:rPr>
        <w:t>Vendor Security Questionnaire;</w:t>
      </w:r>
    </w:p>
    <w:p>
      <w:pPr>
        <w:pStyle w:val="ListBullet"/>
      </w:pPr>
      <w:r>
        <w:rPr>
          <w:rFonts w:ascii="Liberation Serif" w:hAnsi="Liberation Serif"/>
          <w:color w:val="232734"/>
          <w:sz w:val="20"/>
        </w:rPr>
        <w:t>Vendor Approval Matrix;</w:t>
      </w:r>
    </w:p>
    <w:p>
      <w:pPr>
        <w:pStyle w:val="ListBullet"/>
      </w:pPr>
      <w:r>
        <w:rPr>
          <w:rFonts w:ascii="Liberation Serif" w:hAnsi="Liberation Serif"/>
          <w:color w:val="232734"/>
          <w:sz w:val="20"/>
        </w:rPr>
        <w:t>Critical Vendor Review Checklist;</w:t>
      </w:r>
    </w:p>
    <w:p>
      <w:pPr>
        <w:pStyle w:val="ListBullet"/>
      </w:pPr>
      <w:r>
        <w:rPr>
          <w:rFonts w:ascii="Liberation Serif" w:hAnsi="Liberation Serif"/>
          <w:color w:val="232734"/>
          <w:sz w:val="20"/>
        </w:rPr>
        <w:t>Privacy and Data Flow Assessment;</w:t>
      </w:r>
    </w:p>
    <w:p>
      <w:pPr>
        <w:pStyle w:val="ListBullet"/>
      </w:pPr>
      <w:r>
        <w:rPr>
          <w:rFonts w:ascii="Liberation Serif" w:hAnsi="Liberation Serif"/>
          <w:color w:val="232734"/>
          <w:sz w:val="20"/>
        </w:rPr>
        <w:t>Subprocessor Register;</w:t>
      </w:r>
    </w:p>
    <w:p>
      <w:pPr>
        <w:pStyle w:val="ListBullet"/>
      </w:pPr>
      <w:r>
        <w:rPr>
          <w:rFonts w:ascii="Liberation Serif" w:hAnsi="Liberation Serif"/>
          <w:color w:val="232734"/>
          <w:sz w:val="20"/>
        </w:rPr>
        <w:t>Vendor Contract Requirement Matrix;</w:t>
      </w:r>
    </w:p>
    <w:p>
      <w:pPr>
        <w:pStyle w:val="ListBullet"/>
      </w:pPr>
      <w:r>
        <w:rPr>
          <w:rFonts w:ascii="Liberation Serif" w:hAnsi="Liberation Serif"/>
          <w:color w:val="232734"/>
          <w:sz w:val="20"/>
        </w:rPr>
        <w:t>Vendor Access Standard;</w:t>
      </w:r>
    </w:p>
    <w:p>
      <w:pPr>
        <w:pStyle w:val="ListBullet"/>
      </w:pPr>
      <w:r>
        <w:rPr>
          <w:rFonts w:ascii="Liberation Serif" w:hAnsi="Liberation Serif"/>
          <w:color w:val="232734"/>
          <w:sz w:val="20"/>
        </w:rPr>
        <w:t>Integration Permission Register;</w:t>
      </w:r>
    </w:p>
    <w:p>
      <w:pPr>
        <w:pStyle w:val="ListBullet"/>
      </w:pPr>
      <w:r>
        <w:rPr>
          <w:rFonts w:ascii="Liberation Serif" w:hAnsi="Liberation Serif"/>
          <w:color w:val="232734"/>
          <w:sz w:val="20"/>
        </w:rPr>
        <w:t>Vendor Credential Register;</w:t>
      </w:r>
    </w:p>
    <w:p>
      <w:pPr>
        <w:pStyle w:val="ListBullet"/>
      </w:pPr>
      <w:r>
        <w:rPr>
          <w:rFonts w:ascii="Liberation Serif" w:hAnsi="Liberation Serif"/>
          <w:color w:val="232734"/>
          <w:sz w:val="20"/>
        </w:rPr>
        <w:t>Vendor Monitoring Plan;</w:t>
      </w:r>
    </w:p>
    <w:p>
      <w:pPr>
        <w:pStyle w:val="ListBullet"/>
      </w:pPr>
      <w:r>
        <w:rPr>
          <w:rFonts w:ascii="Liberation Serif" w:hAnsi="Liberation Serif"/>
          <w:color w:val="232734"/>
          <w:sz w:val="20"/>
        </w:rPr>
        <w:t>Vendor Reassessment Schedule;</w:t>
      </w:r>
    </w:p>
    <w:p>
      <w:pPr>
        <w:pStyle w:val="ListBullet"/>
      </w:pPr>
      <w:r>
        <w:rPr>
          <w:rFonts w:ascii="Liberation Serif" w:hAnsi="Liberation Serif"/>
          <w:color w:val="232734"/>
          <w:sz w:val="20"/>
        </w:rPr>
        <w:t>Vendor Incident Playbook;</w:t>
      </w:r>
    </w:p>
    <w:p>
      <w:pPr>
        <w:pStyle w:val="ListBullet"/>
      </w:pPr>
      <w:r>
        <w:rPr>
          <w:rFonts w:ascii="Liberation Serif" w:hAnsi="Liberation Serif"/>
          <w:color w:val="232734"/>
          <w:sz w:val="20"/>
        </w:rPr>
        <w:t>Vendor Suspension Procedure;</w:t>
      </w:r>
    </w:p>
    <w:p>
      <w:pPr>
        <w:pStyle w:val="ListBullet"/>
      </w:pPr>
      <w:r>
        <w:rPr>
          <w:rFonts w:ascii="Liberation Serif" w:hAnsi="Liberation Serif"/>
          <w:color w:val="232734"/>
          <w:sz w:val="20"/>
        </w:rPr>
        <w:t>Vendor Exit and Offboarding Standard;</w:t>
      </w:r>
    </w:p>
    <w:p>
      <w:pPr>
        <w:pStyle w:val="ListBullet"/>
      </w:pPr>
      <w:r>
        <w:rPr>
          <w:rFonts w:ascii="Liberation Serif" w:hAnsi="Liberation Serif"/>
          <w:color w:val="232734"/>
          <w:sz w:val="20"/>
        </w:rPr>
        <w:t>Critical Vendor Exit Plans;</w:t>
      </w:r>
    </w:p>
    <w:p>
      <w:pPr>
        <w:pStyle w:val="ListBullet"/>
      </w:pPr>
      <w:r>
        <w:rPr>
          <w:rFonts w:ascii="Liberation Serif" w:hAnsi="Liberation Serif"/>
          <w:color w:val="232734"/>
          <w:sz w:val="20"/>
        </w:rPr>
        <w:t>Concentration Risk Register;</w:t>
      </w:r>
    </w:p>
    <w:p>
      <w:pPr>
        <w:pStyle w:val="ListBullet"/>
      </w:pPr>
      <w:r>
        <w:rPr>
          <w:rFonts w:ascii="Liberation Serif" w:hAnsi="Liberation Serif"/>
          <w:color w:val="232734"/>
          <w:sz w:val="20"/>
        </w:rPr>
        <w:t>Software Bill of Materials Procedure;</w:t>
      </w:r>
    </w:p>
    <w:p>
      <w:pPr>
        <w:pStyle w:val="ListBullet"/>
      </w:pPr>
      <w:r>
        <w:rPr>
          <w:rFonts w:ascii="Liberation Serif" w:hAnsi="Liberation Serif"/>
          <w:color w:val="232734"/>
          <w:sz w:val="20"/>
        </w:rPr>
        <w:t>Open-Source Dependency Standard;</w:t>
      </w:r>
    </w:p>
    <w:p>
      <w:pPr>
        <w:pStyle w:val="ListBullet"/>
      </w:pPr>
      <w:r>
        <w:rPr>
          <w:rFonts w:ascii="Liberation Serif" w:hAnsi="Liberation Serif"/>
          <w:color w:val="232734"/>
          <w:sz w:val="20"/>
        </w:rPr>
        <w:t>Source Repository Security Standard;</w:t>
      </w:r>
    </w:p>
    <w:p>
      <w:pPr>
        <w:pStyle w:val="ListBullet"/>
      </w:pPr>
      <w:r>
        <w:rPr>
          <w:rFonts w:ascii="Liberation Serif" w:hAnsi="Liberation Serif"/>
          <w:color w:val="232734"/>
          <w:sz w:val="20"/>
        </w:rPr>
        <w:t>Build and Artifact Provenance Standard;</w:t>
      </w:r>
    </w:p>
    <w:p>
      <w:pPr>
        <w:pStyle w:val="ListBullet"/>
      </w:pPr>
      <w:r>
        <w:rPr>
          <w:rFonts w:ascii="Liberation Serif" w:hAnsi="Liberation Serif"/>
          <w:color w:val="232734"/>
          <w:sz w:val="20"/>
        </w:rPr>
        <w:t>Package Registry Standard;</w:t>
      </w:r>
    </w:p>
    <w:p>
      <w:pPr>
        <w:pStyle w:val="ListBullet"/>
      </w:pPr>
      <w:r>
        <w:rPr>
          <w:rFonts w:ascii="Liberation Serif" w:hAnsi="Liberation Serif"/>
          <w:color w:val="232734"/>
          <w:sz w:val="20"/>
        </w:rPr>
        <w:t>Supply-Chain Incident Playbook;</w:t>
      </w:r>
    </w:p>
    <w:p>
      <w:pPr>
        <w:pStyle w:val="ListBullet"/>
      </w:pPr>
      <w:r>
        <w:rPr>
          <w:rFonts w:ascii="Liberation Serif" w:hAnsi="Liberation Serif"/>
          <w:color w:val="232734"/>
          <w:sz w:val="20"/>
        </w:rPr>
        <w:t>Shadow IT Standard;</w:t>
      </w:r>
    </w:p>
    <w:p>
      <w:pPr>
        <w:pStyle w:val="ListBullet"/>
      </w:pPr>
      <w:r>
        <w:rPr>
          <w:rFonts w:ascii="Liberation Serif" w:hAnsi="Liberation Serif"/>
          <w:color w:val="232734"/>
          <w:sz w:val="20"/>
        </w:rPr>
        <w:t>Emergency Vendor Procedure;</w:t>
      </w:r>
    </w:p>
    <w:p>
      <w:pPr>
        <w:pStyle w:val="ListBullet"/>
      </w:pPr>
      <w:r>
        <w:rPr>
          <w:rFonts w:ascii="Liberation Serif" w:hAnsi="Liberation Serif"/>
          <w:color w:val="232734"/>
          <w:sz w:val="20"/>
        </w:rPr>
        <w:t>Vendor Exception Register.</w:t>
      </w:r>
    </w:p>
    <w:p>
      <w:pPr>
        <w:pStyle w:val="Heading1"/>
        <w:keepNext/>
        <w:pBdr>
          <w:bottom w:val="single" w:sz="6" w:space="4" w:color="E3E6EB"/>
        </w:pBdr>
      </w:pPr>
      <w:r>
        <w:t>87. Required Validation</w:t>
      </w:r>
    </w:p>
    <w:p>
      <w:pPr>
        <w:spacing w:after="120" w:line="252" w:lineRule="auto"/>
      </w:pPr>
      <w:r>
        <w:rPr>
          <w:rFonts w:ascii="Liberation Serif" w:hAnsi="Liberation Serif"/>
          <w:color w:val="232734"/>
          <w:sz w:val="20"/>
        </w:rPr>
        <w:t>Before production activation, EquineSync shall validate:</w:t>
      </w:r>
    </w:p>
    <w:p>
      <w:pPr>
        <w:pStyle w:val="ListBullet"/>
      </w:pPr>
      <w:r>
        <w:rPr>
          <w:rFonts w:ascii="Liberation Serif" w:hAnsi="Liberation Serif"/>
          <w:color w:val="232734"/>
          <w:sz w:val="20"/>
        </w:rPr>
        <w:t>vendor approval status;</w:t>
      </w:r>
    </w:p>
    <w:p>
      <w:pPr>
        <w:pStyle w:val="ListBullet"/>
      </w:pPr>
      <w:r>
        <w:rPr>
          <w:rFonts w:ascii="Liberation Serif" w:hAnsi="Liberation Serif"/>
          <w:color w:val="232734"/>
          <w:sz w:val="20"/>
        </w:rPr>
        <w:t>contract completion;</w:t>
      </w:r>
    </w:p>
    <w:p>
      <w:pPr>
        <w:pStyle w:val="ListBullet"/>
      </w:pPr>
      <w:r>
        <w:rPr>
          <w:rFonts w:ascii="Liberation Serif" w:hAnsi="Liberation Serif"/>
          <w:color w:val="232734"/>
          <w:sz w:val="20"/>
        </w:rPr>
        <w:t>data minimization;</w:t>
      </w:r>
    </w:p>
    <w:p>
      <w:pPr>
        <w:pStyle w:val="ListBullet"/>
      </w:pPr>
      <w:r>
        <w:rPr>
          <w:rFonts w:ascii="Liberation Serif" w:hAnsi="Liberation Serif"/>
          <w:color w:val="232734"/>
          <w:sz w:val="20"/>
        </w:rPr>
        <w:t>access scope;</w:t>
      </w:r>
    </w:p>
    <w:p>
      <w:pPr>
        <w:pStyle w:val="ListBullet"/>
      </w:pPr>
      <w:r>
        <w:rPr>
          <w:rFonts w:ascii="Liberation Serif" w:hAnsi="Liberation Serif"/>
          <w:color w:val="232734"/>
          <w:sz w:val="20"/>
        </w:rPr>
        <w:t>tenant isolation;</w:t>
      </w:r>
    </w:p>
    <w:p>
      <w:pPr>
        <w:pStyle w:val="ListBullet"/>
      </w:pPr>
      <w:r>
        <w:rPr>
          <w:rFonts w:ascii="Liberation Serif" w:hAnsi="Liberation Serif"/>
          <w:color w:val="232734"/>
          <w:sz w:val="20"/>
        </w:rPr>
        <w:t>credential storage;</w:t>
      </w:r>
    </w:p>
    <w:p>
      <w:pPr>
        <w:pStyle w:val="ListBullet"/>
      </w:pPr>
      <w:r>
        <w:rPr>
          <w:rFonts w:ascii="Liberation Serif" w:hAnsi="Liberation Serif"/>
          <w:color w:val="232734"/>
          <w:sz w:val="20"/>
        </w:rPr>
        <w:t>revocation;</w:t>
      </w:r>
    </w:p>
    <w:p>
      <w:pPr>
        <w:pStyle w:val="ListBullet"/>
      </w:pPr>
      <w:r>
        <w:rPr>
          <w:rFonts w:ascii="Liberation Serif" w:hAnsi="Liberation Serif"/>
          <w:color w:val="232734"/>
          <w:sz w:val="20"/>
        </w:rPr>
        <w:t>logging;</w:t>
      </w:r>
    </w:p>
    <w:p>
      <w:pPr>
        <w:pStyle w:val="ListBullet"/>
      </w:pPr>
      <w:r>
        <w:rPr>
          <w:rFonts w:ascii="Liberation Serif" w:hAnsi="Liberation Serif"/>
          <w:color w:val="232734"/>
          <w:sz w:val="20"/>
        </w:rPr>
        <w:t>incident contact;</w:t>
      </w:r>
    </w:p>
    <w:p>
      <w:pPr>
        <w:pStyle w:val="ListBullet"/>
      </w:pPr>
      <w:r>
        <w:rPr>
          <w:rFonts w:ascii="Liberation Serif" w:hAnsi="Liberation Serif"/>
          <w:color w:val="232734"/>
          <w:sz w:val="20"/>
        </w:rPr>
        <w:t>subprocessors;</w:t>
      </w:r>
    </w:p>
    <w:p>
      <w:pPr>
        <w:pStyle w:val="ListBullet"/>
      </w:pPr>
      <w:r>
        <w:rPr>
          <w:rFonts w:ascii="Liberation Serif" w:hAnsi="Liberation Serif"/>
          <w:color w:val="232734"/>
          <w:sz w:val="20"/>
        </w:rPr>
        <w:t>data location;</w:t>
      </w:r>
    </w:p>
    <w:p>
      <w:pPr>
        <w:pStyle w:val="ListBullet"/>
      </w:pPr>
      <w:r>
        <w:rPr>
          <w:rFonts w:ascii="Liberation Serif" w:hAnsi="Liberation Serif"/>
          <w:color w:val="232734"/>
          <w:sz w:val="20"/>
        </w:rPr>
        <w:t>retention;</w:t>
      </w:r>
    </w:p>
    <w:p>
      <w:pPr>
        <w:pStyle w:val="ListBullet"/>
      </w:pPr>
      <w:r>
        <w:rPr>
          <w:rFonts w:ascii="Liberation Serif" w:hAnsi="Liberation Serif"/>
          <w:color w:val="232734"/>
          <w:sz w:val="20"/>
        </w:rPr>
        <w:t>deletion;</w:t>
      </w:r>
    </w:p>
    <w:p>
      <w:pPr>
        <w:pStyle w:val="ListBullet"/>
      </w:pPr>
      <w:r>
        <w:rPr>
          <w:rFonts w:ascii="Liberation Serif" w:hAnsi="Liberation Serif"/>
          <w:color w:val="232734"/>
          <w:sz w:val="20"/>
        </w:rPr>
        <w:t>continuity;</w:t>
      </w:r>
    </w:p>
    <w:p>
      <w:pPr>
        <w:pStyle w:val="ListBullet"/>
      </w:pPr>
      <w:r>
        <w:rPr>
          <w:rFonts w:ascii="Liberation Serif" w:hAnsi="Liberation Serif"/>
          <w:color w:val="232734"/>
          <w:sz w:val="20"/>
        </w:rPr>
        <w:t>exit capability;</w:t>
      </w:r>
    </w:p>
    <w:p>
      <w:pPr>
        <w:pStyle w:val="ListBullet"/>
      </w:pPr>
      <w:r>
        <w:rPr>
          <w:rFonts w:ascii="Liberation Serif" w:hAnsi="Liberation Serif"/>
          <w:color w:val="232734"/>
          <w:sz w:val="20"/>
        </w:rPr>
        <w:t>integration failure behavior;</w:t>
      </w:r>
    </w:p>
    <w:p>
      <w:pPr>
        <w:pStyle w:val="ListBullet"/>
      </w:pPr>
      <w:r>
        <w:rPr>
          <w:rFonts w:ascii="Liberation Serif" w:hAnsi="Liberation Serif"/>
          <w:color w:val="232734"/>
          <w:sz w:val="20"/>
        </w:rPr>
        <w:t>webhook validation;</w:t>
      </w:r>
    </w:p>
    <w:p>
      <w:pPr>
        <w:pStyle w:val="ListBullet"/>
      </w:pPr>
      <w:r>
        <w:rPr>
          <w:rFonts w:ascii="Liberation Serif" w:hAnsi="Liberation Serif"/>
          <w:color w:val="232734"/>
          <w:sz w:val="20"/>
        </w:rPr>
        <w:t>API authorization;</w:t>
      </w:r>
    </w:p>
    <w:p>
      <w:pPr>
        <w:pStyle w:val="ListBullet"/>
      </w:pPr>
      <w:r>
        <w:rPr>
          <w:rFonts w:ascii="Liberation Serif" w:hAnsi="Liberation Serif"/>
          <w:color w:val="232734"/>
          <w:sz w:val="20"/>
        </w:rPr>
        <w:t>support access;</w:t>
      </w:r>
    </w:p>
    <w:p>
      <w:pPr>
        <w:pStyle w:val="ListBullet"/>
      </w:pPr>
      <w:r>
        <w:rPr>
          <w:rFonts w:ascii="Liberation Serif" w:hAnsi="Liberation Serif"/>
          <w:color w:val="232734"/>
          <w:sz w:val="20"/>
        </w:rPr>
        <w:t>provider outage response;</w:t>
      </w:r>
    </w:p>
    <w:p>
      <w:pPr>
        <w:pStyle w:val="ListBullet"/>
      </w:pPr>
      <w:r>
        <w:rPr>
          <w:rFonts w:ascii="Liberation Serif" w:hAnsi="Liberation Serif"/>
          <w:color w:val="232734"/>
          <w:sz w:val="20"/>
        </w:rPr>
        <w:t>vendor offboarding;</w:t>
      </w:r>
    </w:p>
    <w:p>
      <w:pPr>
        <w:pStyle w:val="ListBullet"/>
      </w:pPr>
      <w:r>
        <w:rPr>
          <w:rFonts w:ascii="Liberation Serif" w:hAnsi="Liberation Serif"/>
          <w:color w:val="232734"/>
          <w:sz w:val="20"/>
        </w:rPr>
        <w:t>software dependency integrity;</w:t>
      </w:r>
    </w:p>
    <w:p>
      <w:pPr>
        <w:pStyle w:val="ListBullet"/>
      </w:pPr>
      <w:r>
        <w:rPr>
          <w:rFonts w:ascii="Liberation Serif" w:hAnsi="Liberation Serif"/>
          <w:color w:val="232734"/>
          <w:sz w:val="20"/>
        </w:rPr>
        <w:t>build artifact provenance.</w:t>
      </w:r>
    </w:p>
    <w:p>
      <w:pPr>
        <w:spacing w:after="120" w:line="252" w:lineRule="auto"/>
      </w:pPr>
      <w:r>
        <w:rPr>
          <w:rFonts w:ascii="Liberation Serif" w:hAnsi="Liberation Serif"/>
          <w:color w:val="232734"/>
          <w:sz w:val="20"/>
        </w:rPr>
        <w:t>Validation must include both authorized and prohibited scenarios.</w:t>
      </w:r>
    </w:p>
    <w:p>
      <w:pPr>
        <w:pStyle w:val="Heading1"/>
        <w:keepNext/>
        <w:pBdr>
          <w:bottom w:val="single" w:sz="6" w:space="4" w:color="E3E6EB"/>
        </w:pBdr>
      </w:pPr>
      <w:r>
        <w:t>88. Test Categories</w:t>
      </w:r>
    </w:p>
    <w:p>
      <w:pPr>
        <w:spacing w:after="120" w:line="252" w:lineRule="auto"/>
      </w:pPr>
      <w:r>
        <w:rPr>
          <w:rFonts w:ascii="Liberation Serif" w:hAnsi="Liberation Serif"/>
          <w:color w:val="232734"/>
          <w:sz w:val="20"/>
        </w:rPr>
        <w:t>Testing should include:</w:t>
      </w:r>
    </w:p>
    <w:p>
      <w:pPr>
        <w:spacing w:after="50"/>
        <w:ind w:left="346" w:hanging="346"/>
      </w:pPr>
      <w:r>
        <w:rPr>
          <w:rFonts w:ascii="Liberation Serif" w:hAnsi="Liberation Serif"/>
          <w:b w:val="0"/>
          <w:color w:val="232734"/>
          <w:sz w:val="20"/>
        </w:rPr>
        <w:t xml:space="preserve">1. </w:t>
      </w:r>
      <w:r>
        <w:rPr>
          <w:rFonts w:ascii="Liberation Serif" w:hAnsi="Liberation Serif"/>
          <w:color w:val="232734"/>
          <w:sz w:val="20"/>
        </w:rPr>
        <w:t>vendor authentication tests;</w:t>
      </w:r>
    </w:p>
    <w:p>
      <w:pPr>
        <w:spacing w:after="50"/>
        <w:ind w:left="346" w:hanging="346"/>
      </w:pPr>
      <w:r>
        <w:rPr>
          <w:rFonts w:ascii="Liberation Serif" w:hAnsi="Liberation Serif"/>
          <w:b w:val="0"/>
          <w:color w:val="232734"/>
          <w:sz w:val="20"/>
        </w:rPr>
        <w:t xml:space="preserve">2. </w:t>
      </w:r>
      <w:r>
        <w:rPr>
          <w:rFonts w:ascii="Liberation Serif" w:hAnsi="Liberation Serif"/>
          <w:color w:val="232734"/>
          <w:sz w:val="20"/>
        </w:rPr>
        <w:t>vendor authorization tests;</w:t>
      </w:r>
    </w:p>
    <w:p>
      <w:pPr>
        <w:spacing w:after="50"/>
        <w:ind w:left="346" w:hanging="346"/>
      </w:pPr>
      <w:r>
        <w:rPr>
          <w:rFonts w:ascii="Liberation Serif" w:hAnsi="Liberation Serif"/>
          <w:b w:val="0"/>
          <w:color w:val="232734"/>
          <w:sz w:val="20"/>
        </w:rPr>
        <w:t xml:space="preserve">3. </w:t>
      </w:r>
      <w:r>
        <w:rPr>
          <w:rFonts w:ascii="Liberation Serif" w:hAnsi="Liberation Serif"/>
          <w:color w:val="232734"/>
          <w:sz w:val="20"/>
        </w:rPr>
        <w:t>tenant-isolation tests;</w:t>
      </w:r>
    </w:p>
    <w:p>
      <w:pPr>
        <w:spacing w:after="50"/>
        <w:ind w:left="346" w:hanging="346"/>
      </w:pPr>
      <w:r>
        <w:rPr>
          <w:rFonts w:ascii="Liberation Serif" w:hAnsi="Liberation Serif"/>
          <w:b w:val="0"/>
          <w:color w:val="232734"/>
          <w:sz w:val="20"/>
        </w:rPr>
        <w:t xml:space="preserve">4. </w:t>
      </w:r>
      <w:r>
        <w:rPr>
          <w:rFonts w:ascii="Liberation Serif" w:hAnsi="Liberation Serif"/>
          <w:color w:val="232734"/>
          <w:sz w:val="20"/>
        </w:rPr>
        <w:t>integration revocation tests;</w:t>
      </w:r>
    </w:p>
    <w:p>
      <w:pPr>
        <w:spacing w:after="50"/>
        <w:ind w:left="346" w:hanging="346"/>
      </w:pPr>
      <w:r>
        <w:rPr>
          <w:rFonts w:ascii="Liberation Serif" w:hAnsi="Liberation Serif"/>
          <w:b w:val="0"/>
          <w:color w:val="232734"/>
          <w:sz w:val="20"/>
        </w:rPr>
        <w:t xml:space="preserve">5. </w:t>
      </w:r>
      <w:r>
        <w:rPr>
          <w:rFonts w:ascii="Liberation Serif" w:hAnsi="Liberation Serif"/>
          <w:color w:val="232734"/>
          <w:sz w:val="20"/>
        </w:rPr>
        <w:t>token-scope tests;</w:t>
      </w:r>
    </w:p>
    <w:p>
      <w:pPr>
        <w:spacing w:after="50"/>
        <w:ind w:left="346" w:hanging="346"/>
      </w:pPr>
      <w:r>
        <w:rPr>
          <w:rFonts w:ascii="Liberation Serif" w:hAnsi="Liberation Serif"/>
          <w:b w:val="0"/>
          <w:color w:val="232734"/>
          <w:sz w:val="20"/>
        </w:rPr>
        <w:t xml:space="preserve">6. </w:t>
      </w:r>
      <w:r>
        <w:rPr>
          <w:rFonts w:ascii="Liberation Serif" w:hAnsi="Liberation Serif"/>
          <w:color w:val="232734"/>
          <w:sz w:val="20"/>
        </w:rPr>
        <w:t>support-access expiration tests;</w:t>
      </w:r>
    </w:p>
    <w:p>
      <w:pPr>
        <w:spacing w:after="50"/>
        <w:ind w:left="346" w:hanging="346"/>
      </w:pPr>
      <w:r>
        <w:rPr>
          <w:rFonts w:ascii="Liberation Serif" w:hAnsi="Liberation Serif"/>
          <w:b w:val="0"/>
          <w:color w:val="232734"/>
          <w:sz w:val="20"/>
        </w:rPr>
        <w:t xml:space="preserve">7. </w:t>
      </w:r>
      <w:r>
        <w:rPr>
          <w:rFonts w:ascii="Liberation Serif" w:hAnsi="Liberation Serif"/>
          <w:color w:val="232734"/>
          <w:sz w:val="20"/>
        </w:rPr>
        <w:t>webhook signature tests;</w:t>
      </w:r>
    </w:p>
    <w:p>
      <w:pPr>
        <w:spacing w:after="50"/>
        <w:ind w:left="346" w:hanging="346"/>
      </w:pPr>
      <w:r>
        <w:rPr>
          <w:rFonts w:ascii="Liberation Serif" w:hAnsi="Liberation Serif"/>
          <w:b w:val="0"/>
          <w:color w:val="232734"/>
          <w:sz w:val="20"/>
        </w:rPr>
        <w:t xml:space="preserve">8. </w:t>
      </w:r>
      <w:r>
        <w:rPr>
          <w:rFonts w:ascii="Liberation Serif" w:hAnsi="Liberation Serif"/>
          <w:color w:val="232734"/>
          <w:sz w:val="20"/>
        </w:rPr>
        <w:t>replay tests;</w:t>
      </w:r>
    </w:p>
    <w:p>
      <w:pPr>
        <w:spacing w:after="50"/>
        <w:ind w:left="346" w:hanging="346"/>
      </w:pPr>
      <w:r>
        <w:rPr>
          <w:rFonts w:ascii="Liberation Serif" w:hAnsi="Liberation Serif"/>
          <w:b w:val="0"/>
          <w:color w:val="232734"/>
          <w:sz w:val="20"/>
        </w:rPr>
        <w:t xml:space="preserve">9. </w:t>
      </w:r>
      <w:r>
        <w:rPr>
          <w:rFonts w:ascii="Liberation Serif" w:hAnsi="Liberation Serif"/>
          <w:color w:val="232734"/>
          <w:sz w:val="20"/>
        </w:rPr>
        <w:t>vendor outage tests;</w:t>
      </w:r>
    </w:p>
    <w:p>
      <w:pPr>
        <w:spacing w:after="50"/>
        <w:ind w:left="346" w:hanging="346"/>
      </w:pPr>
      <w:r>
        <w:rPr>
          <w:rFonts w:ascii="Liberation Serif" w:hAnsi="Liberation Serif"/>
          <w:b w:val="0"/>
          <w:color w:val="232734"/>
          <w:sz w:val="20"/>
        </w:rPr>
        <w:t xml:space="preserve">10. </w:t>
      </w:r>
      <w:r>
        <w:rPr>
          <w:rFonts w:ascii="Liberation Serif" w:hAnsi="Liberation Serif"/>
          <w:color w:val="232734"/>
          <w:sz w:val="20"/>
        </w:rPr>
        <w:t>provider termination tests;</w:t>
      </w:r>
    </w:p>
    <w:p>
      <w:pPr>
        <w:spacing w:after="50"/>
        <w:ind w:left="346" w:hanging="346"/>
      </w:pPr>
      <w:r>
        <w:rPr>
          <w:rFonts w:ascii="Liberation Serif" w:hAnsi="Liberation Serif"/>
          <w:b w:val="0"/>
          <w:color w:val="232734"/>
          <w:sz w:val="20"/>
        </w:rPr>
        <w:t xml:space="preserve">11. </w:t>
      </w:r>
      <w:r>
        <w:rPr>
          <w:rFonts w:ascii="Liberation Serif" w:hAnsi="Liberation Serif"/>
          <w:color w:val="232734"/>
          <w:sz w:val="20"/>
        </w:rPr>
        <w:t>data export tests;</w:t>
      </w:r>
    </w:p>
    <w:p>
      <w:pPr>
        <w:spacing w:after="50"/>
        <w:ind w:left="346" w:hanging="346"/>
      </w:pPr>
      <w:r>
        <w:rPr>
          <w:rFonts w:ascii="Liberation Serif" w:hAnsi="Liberation Serif"/>
          <w:b w:val="0"/>
          <w:color w:val="232734"/>
          <w:sz w:val="20"/>
        </w:rPr>
        <w:t xml:space="preserve">12. </w:t>
      </w:r>
      <w:r>
        <w:rPr>
          <w:rFonts w:ascii="Liberation Serif" w:hAnsi="Liberation Serif"/>
          <w:color w:val="232734"/>
          <w:sz w:val="20"/>
        </w:rPr>
        <w:t>data deletion tests;</w:t>
      </w:r>
    </w:p>
    <w:p>
      <w:pPr>
        <w:spacing w:after="50"/>
        <w:ind w:left="346" w:hanging="346"/>
      </w:pPr>
      <w:r>
        <w:rPr>
          <w:rFonts w:ascii="Liberation Serif" w:hAnsi="Liberation Serif"/>
          <w:b w:val="0"/>
          <w:color w:val="232734"/>
          <w:sz w:val="20"/>
        </w:rPr>
        <w:t xml:space="preserve">13. </w:t>
      </w:r>
      <w:r>
        <w:rPr>
          <w:rFonts w:ascii="Liberation Serif" w:hAnsi="Liberation Serif"/>
          <w:color w:val="232734"/>
          <w:sz w:val="20"/>
        </w:rPr>
        <w:t>subprocessor change tests;</w:t>
      </w:r>
    </w:p>
    <w:p>
      <w:pPr>
        <w:spacing w:after="50"/>
        <w:ind w:left="346" w:hanging="346"/>
      </w:pPr>
      <w:r>
        <w:rPr>
          <w:rFonts w:ascii="Liberation Serif" w:hAnsi="Liberation Serif"/>
          <w:b w:val="0"/>
          <w:color w:val="232734"/>
          <w:sz w:val="20"/>
        </w:rPr>
        <w:t xml:space="preserve">14. </w:t>
      </w:r>
      <w:r>
        <w:rPr>
          <w:rFonts w:ascii="Liberation Serif" w:hAnsi="Liberation Serif"/>
          <w:color w:val="232734"/>
          <w:sz w:val="20"/>
        </w:rPr>
        <w:t>credential rotation tests;</w:t>
      </w:r>
    </w:p>
    <w:p>
      <w:pPr>
        <w:spacing w:after="50"/>
        <w:ind w:left="346" w:hanging="346"/>
      </w:pPr>
      <w:r>
        <w:rPr>
          <w:rFonts w:ascii="Liberation Serif" w:hAnsi="Liberation Serif"/>
          <w:b w:val="0"/>
          <w:color w:val="232734"/>
          <w:sz w:val="20"/>
        </w:rPr>
        <w:t xml:space="preserve">15. </w:t>
      </w:r>
      <w:r>
        <w:rPr>
          <w:rFonts w:ascii="Liberation Serif" w:hAnsi="Liberation Serif"/>
          <w:color w:val="232734"/>
          <w:sz w:val="20"/>
        </w:rPr>
        <w:t>dependency-confusion tests;</w:t>
      </w:r>
    </w:p>
    <w:p>
      <w:pPr>
        <w:spacing w:after="50"/>
        <w:ind w:left="346" w:hanging="346"/>
      </w:pPr>
      <w:r>
        <w:rPr>
          <w:rFonts w:ascii="Liberation Serif" w:hAnsi="Liberation Serif"/>
          <w:b w:val="0"/>
          <w:color w:val="232734"/>
          <w:sz w:val="20"/>
        </w:rPr>
        <w:t xml:space="preserve">16. </w:t>
      </w:r>
      <w:r>
        <w:rPr>
          <w:rFonts w:ascii="Liberation Serif" w:hAnsi="Liberation Serif"/>
          <w:color w:val="232734"/>
          <w:sz w:val="20"/>
        </w:rPr>
        <w:t>package-integrity tests;</w:t>
      </w:r>
    </w:p>
    <w:p>
      <w:pPr>
        <w:spacing w:after="50"/>
        <w:ind w:left="346" w:hanging="346"/>
      </w:pPr>
      <w:r>
        <w:rPr>
          <w:rFonts w:ascii="Liberation Serif" w:hAnsi="Liberation Serif"/>
          <w:b w:val="0"/>
          <w:color w:val="232734"/>
          <w:sz w:val="20"/>
        </w:rPr>
        <w:t xml:space="preserve">17. </w:t>
      </w:r>
      <w:r>
        <w:rPr>
          <w:rFonts w:ascii="Liberation Serif" w:hAnsi="Liberation Serif"/>
          <w:color w:val="232734"/>
          <w:sz w:val="20"/>
        </w:rPr>
        <w:t>artifact-provenance tests;</w:t>
      </w:r>
    </w:p>
    <w:p>
      <w:pPr>
        <w:spacing w:after="50"/>
        <w:ind w:left="346" w:hanging="346"/>
      </w:pPr>
      <w:r>
        <w:rPr>
          <w:rFonts w:ascii="Liberation Serif" w:hAnsi="Liberation Serif"/>
          <w:b w:val="0"/>
          <w:color w:val="232734"/>
          <w:sz w:val="20"/>
        </w:rPr>
        <w:t xml:space="preserve">18. </w:t>
      </w:r>
      <w:r>
        <w:rPr>
          <w:rFonts w:ascii="Liberation Serif" w:hAnsi="Liberation Serif"/>
          <w:color w:val="232734"/>
          <w:sz w:val="20"/>
        </w:rPr>
        <w:t>source-repository access tests;</w:t>
      </w:r>
    </w:p>
    <w:p>
      <w:pPr>
        <w:spacing w:after="50"/>
        <w:ind w:left="346" w:hanging="346"/>
      </w:pPr>
      <w:r>
        <w:rPr>
          <w:rFonts w:ascii="Liberation Serif" w:hAnsi="Liberation Serif"/>
          <w:b w:val="0"/>
          <w:color w:val="232734"/>
          <w:sz w:val="20"/>
        </w:rPr>
        <w:t xml:space="preserve">19. </w:t>
      </w:r>
      <w:r>
        <w:rPr>
          <w:rFonts w:ascii="Liberation Serif" w:hAnsi="Liberation Serif"/>
          <w:color w:val="232734"/>
          <w:sz w:val="20"/>
        </w:rPr>
        <w:t>pipeline-compromise simulations;</w:t>
      </w:r>
    </w:p>
    <w:p>
      <w:pPr>
        <w:spacing w:after="50"/>
        <w:ind w:left="346" w:hanging="346"/>
      </w:pPr>
      <w:r>
        <w:rPr>
          <w:rFonts w:ascii="Liberation Serif" w:hAnsi="Liberation Serif"/>
          <w:b w:val="0"/>
          <w:color w:val="232734"/>
          <w:sz w:val="20"/>
        </w:rPr>
        <w:t xml:space="preserve">20. </w:t>
      </w:r>
      <w:r>
        <w:rPr>
          <w:rFonts w:ascii="Liberation Serif" w:hAnsi="Liberation Serif"/>
          <w:color w:val="232734"/>
          <w:sz w:val="20"/>
        </w:rPr>
        <w:t>vendor incident-notification exercises;</w:t>
      </w:r>
    </w:p>
    <w:p>
      <w:pPr>
        <w:spacing w:after="50"/>
        <w:ind w:left="346" w:hanging="346"/>
      </w:pPr>
      <w:r>
        <w:rPr>
          <w:rFonts w:ascii="Liberation Serif" w:hAnsi="Liberation Serif"/>
          <w:b w:val="0"/>
          <w:color w:val="232734"/>
          <w:sz w:val="20"/>
        </w:rPr>
        <w:t xml:space="preserve">21. </w:t>
      </w:r>
      <w:r>
        <w:rPr>
          <w:rFonts w:ascii="Liberation Serif" w:hAnsi="Liberation Serif"/>
          <w:color w:val="232734"/>
          <w:sz w:val="20"/>
        </w:rPr>
        <w:t>exit-plan exercises;</w:t>
      </w:r>
    </w:p>
    <w:p>
      <w:pPr>
        <w:spacing w:after="50"/>
        <w:ind w:left="346" w:hanging="346"/>
      </w:pPr>
      <w:r>
        <w:rPr>
          <w:rFonts w:ascii="Liberation Serif" w:hAnsi="Liberation Serif"/>
          <w:b w:val="0"/>
          <w:color w:val="232734"/>
          <w:sz w:val="20"/>
        </w:rPr>
        <w:t xml:space="preserve">22. </w:t>
      </w:r>
      <w:r>
        <w:rPr>
          <w:rFonts w:ascii="Liberation Serif" w:hAnsi="Liberation Serif"/>
          <w:color w:val="232734"/>
          <w:sz w:val="20"/>
        </w:rPr>
        <w:t>shadow IT discovery tests;</w:t>
      </w:r>
    </w:p>
    <w:p>
      <w:pPr>
        <w:spacing w:after="50"/>
        <w:ind w:left="346" w:hanging="346"/>
      </w:pPr>
      <w:r>
        <w:rPr>
          <w:rFonts w:ascii="Liberation Serif" w:hAnsi="Liberation Serif"/>
          <w:b w:val="0"/>
          <w:color w:val="232734"/>
          <w:sz w:val="20"/>
        </w:rPr>
        <w:t xml:space="preserve">23. </w:t>
      </w:r>
      <w:r>
        <w:rPr>
          <w:rFonts w:ascii="Liberation Serif" w:hAnsi="Liberation Serif"/>
          <w:color w:val="232734"/>
          <w:sz w:val="20"/>
        </w:rPr>
        <w:t>AI provider data-retention tests;</w:t>
      </w:r>
    </w:p>
    <w:p>
      <w:pPr>
        <w:spacing w:after="50"/>
        <w:ind w:left="346" w:hanging="346"/>
      </w:pPr>
      <w:r>
        <w:rPr>
          <w:rFonts w:ascii="Liberation Serif" w:hAnsi="Liberation Serif"/>
          <w:b w:val="0"/>
          <w:color w:val="232734"/>
          <w:sz w:val="20"/>
        </w:rPr>
        <w:t xml:space="preserve">24. </w:t>
      </w:r>
      <w:r>
        <w:rPr>
          <w:rFonts w:ascii="Liberation Serif" w:hAnsi="Liberation Serif"/>
          <w:color w:val="232734"/>
          <w:sz w:val="20"/>
        </w:rPr>
        <w:t>payment-provider reconciliation tests.</w:t>
      </w:r>
    </w:p>
    <w:p>
      <w:pPr>
        <w:pStyle w:val="Heading1"/>
        <w:keepNext/>
        <w:pBdr>
          <w:bottom w:val="single" w:sz="6" w:space="4" w:color="E3E6EB"/>
        </w:pBdr>
      </w:pPr>
      <w:r>
        <w:t>89. Review and Amendment</w:t>
      </w:r>
    </w:p>
    <w:p>
      <w:pPr>
        <w:spacing w:after="120" w:line="252" w:lineRule="auto"/>
      </w:pPr>
      <w:r>
        <w:rPr>
          <w:rFonts w:ascii="Liberation Serif" w:hAnsi="Liberation Serif"/>
          <w:color w:val="232734"/>
          <w:sz w:val="20"/>
        </w:rPr>
        <w:t>This Model shall be reviewed following:</w:t>
      </w:r>
    </w:p>
    <w:p>
      <w:pPr>
        <w:pStyle w:val="ListBullet"/>
      </w:pPr>
      <w:r>
        <w:rPr>
          <w:rFonts w:ascii="Liberation Serif" w:hAnsi="Liberation Serif"/>
          <w:color w:val="232734"/>
          <w:sz w:val="20"/>
        </w:rPr>
        <w:t>a material vendor incident;</w:t>
      </w:r>
    </w:p>
    <w:p>
      <w:pPr>
        <w:pStyle w:val="ListBullet"/>
      </w:pPr>
      <w:r>
        <w:rPr>
          <w:rFonts w:ascii="Liberation Serif" w:hAnsi="Liberation Serif"/>
          <w:color w:val="232734"/>
          <w:sz w:val="20"/>
        </w:rPr>
        <w:t>supply-chain compromise;</w:t>
      </w:r>
    </w:p>
    <w:p>
      <w:pPr>
        <w:pStyle w:val="ListBullet"/>
      </w:pPr>
      <w:r>
        <w:rPr>
          <w:rFonts w:ascii="Liberation Serif" w:hAnsi="Liberation Serif"/>
          <w:color w:val="232734"/>
          <w:sz w:val="20"/>
        </w:rPr>
        <w:t>critical provider failure;</w:t>
      </w:r>
    </w:p>
    <w:p>
      <w:pPr>
        <w:pStyle w:val="ListBullet"/>
      </w:pPr>
      <w:r>
        <w:rPr>
          <w:rFonts w:ascii="Liberation Serif" w:hAnsi="Liberation Serif"/>
          <w:color w:val="232734"/>
          <w:sz w:val="20"/>
        </w:rPr>
        <w:t>material subprocessor change;</w:t>
      </w:r>
    </w:p>
    <w:p>
      <w:pPr>
        <w:pStyle w:val="ListBullet"/>
      </w:pPr>
      <w:r>
        <w:rPr>
          <w:rFonts w:ascii="Liberation Serif" w:hAnsi="Liberation Serif"/>
          <w:color w:val="232734"/>
          <w:sz w:val="20"/>
        </w:rPr>
        <w:t>significant acquisition or ownership change;</w:t>
      </w:r>
    </w:p>
    <w:p>
      <w:pPr>
        <w:pStyle w:val="ListBullet"/>
      </w:pPr>
      <w:r>
        <w:rPr>
          <w:rFonts w:ascii="Liberation Serif" w:hAnsi="Liberation Serif"/>
          <w:color w:val="232734"/>
          <w:sz w:val="20"/>
        </w:rPr>
        <w:t>major AI-provider change;</w:t>
      </w:r>
    </w:p>
    <w:p>
      <w:pPr>
        <w:pStyle w:val="ListBullet"/>
      </w:pPr>
      <w:r>
        <w:rPr>
          <w:rFonts w:ascii="Liberation Serif" w:hAnsi="Liberation Serif"/>
          <w:color w:val="232734"/>
          <w:sz w:val="20"/>
        </w:rPr>
        <w:t>payment-provider change;</w:t>
      </w:r>
    </w:p>
    <w:p>
      <w:pPr>
        <w:pStyle w:val="ListBullet"/>
      </w:pPr>
      <w:r>
        <w:rPr>
          <w:rFonts w:ascii="Liberation Serif" w:hAnsi="Liberation Serif"/>
          <w:color w:val="232734"/>
          <w:sz w:val="20"/>
        </w:rPr>
        <w:t>identity-provider change;</w:t>
      </w:r>
    </w:p>
    <w:p>
      <w:pPr>
        <w:pStyle w:val="ListBullet"/>
      </w:pPr>
      <w:r>
        <w:rPr>
          <w:rFonts w:ascii="Liberation Serif" w:hAnsi="Liberation Serif"/>
          <w:color w:val="232734"/>
          <w:sz w:val="20"/>
        </w:rPr>
        <w:t>cloud-provider change;</w:t>
      </w:r>
    </w:p>
    <w:p>
      <w:pPr>
        <w:pStyle w:val="ListBullet"/>
      </w:pPr>
      <w:r>
        <w:rPr>
          <w:rFonts w:ascii="Liberation Serif" w:hAnsi="Liberation Serif"/>
          <w:color w:val="232734"/>
          <w:sz w:val="20"/>
        </w:rPr>
        <w:t>public launch preparation;</w:t>
      </w:r>
    </w:p>
    <w:p>
      <w:pPr>
        <w:pStyle w:val="ListBullet"/>
      </w:pPr>
      <w:r>
        <w:rPr>
          <w:rFonts w:ascii="Liberation Serif" w:hAnsi="Liberation Serif"/>
          <w:color w:val="232734"/>
          <w:sz w:val="20"/>
        </w:rPr>
        <w:t>enterprise security review;</w:t>
      </w:r>
    </w:p>
    <w:p>
      <w:pPr>
        <w:pStyle w:val="ListBullet"/>
      </w:pPr>
      <w:r>
        <w:rPr>
          <w:rFonts w:ascii="Liberation Serif" w:hAnsi="Liberation Serif"/>
          <w:color w:val="232734"/>
          <w:sz w:val="20"/>
        </w:rPr>
        <w:t>significant regulatory change;</w:t>
      </w:r>
    </w:p>
    <w:p>
      <w:pPr>
        <w:pStyle w:val="ListBullet"/>
      </w:pPr>
      <w:r>
        <w:rPr>
          <w:rFonts w:ascii="Liberation Serif" w:hAnsi="Liberation Serif"/>
          <w:color w:val="232734"/>
          <w:sz w:val="20"/>
        </w:rPr>
        <w:t>Founder direction.</w:t>
      </w:r>
    </w:p>
    <w:p>
      <w:pPr>
        <w:spacing w:after="120" w:line="252" w:lineRule="auto"/>
      </w:pPr>
      <w:r>
        <w:rPr>
          <w:rFonts w:ascii="Liberation Serif" w:hAnsi="Liberation Serif"/>
          <w:color w:val="232734"/>
          <w:sz w:val="20"/>
        </w:rPr>
        <w:t>Operational standards may be updated without constitutional amendment where they do not weaken this Model or alter reserved authority.</w:t>
      </w:r>
    </w:p>
    <w:p>
      <w:pPr>
        <w:pStyle w:val="Heading1"/>
        <w:keepNext/>
        <w:pBdr>
          <w:bottom w:val="single" w:sz="6" w:space="4" w:color="E3E6EB"/>
        </w:pBdr>
      </w:pPr>
      <w:r>
        <w:t>90. Conflict and Interpretation</w:t>
      </w:r>
    </w:p>
    <w:p>
      <w:pPr>
        <w:spacing w:after="120" w:line="252" w:lineRule="auto"/>
      </w:pPr>
      <w:r>
        <w:rPr>
          <w:rFonts w:ascii="Liberation Serif" w:hAnsi="Liberation Serif"/>
          <w:color w:val="232734"/>
          <w:sz w:val="20"/>
        </w:rPr>
        <w:t>Where provisions conflict:</w:t>
      </w:r>
    </w:p>
    <w:p>
      <w:pPr>
        <w:spacing w:after="50"/>
        <w:ind w:left="346" w:hanging="346"/>
      </w:pPr>
      <w:r>
        <w:rPr>
          <w:rFonts w:ascii="Liberation Serif" w:hAnsi="Liberation Serif"/>
          <w:b w:val="0"/>
          <w:color w:val="232734"/>
          <w:sz w:val="20"/>
        </w:rPr>
        <w:t xml:space="preserve">1. </w:t>
      </w:r>
      <w:r>
        <w:rPr>
          <w:rFonts w:ascii="Liberation Serif" w:hAnsi="Liberation Serif"/>
          <w:color w:val="232734"/>
          <w:sz w:val="20"/>
        </w:rPr>
        <w:t>applicable law and binding legal orders govern where controlling;</w:t>
      </w:r>
    </w:p>
    <w:p>
      <w:pPr>
        <w:spacing w:after="50"/>
        <w:ind w:left="346" w:hanging="346"/>
      </w:pPr>
      <w:r>
        <w:rPr>
          <w:rFonts w:ascii="Liberation Serif" w:hAnsi="Liberation Serif"/>
          <w:b w:val="0"/>
          <w:color w:val="232734"/>
          <w:sz w:val="20"/>
        </w:rPr>
        <w:t xml:space="preserve">2. </w:t>
      </w:r>
      <w:r>
        <w:rPr>
          <w:rFonts w:ascii="Liberation Serif" w:hAnsi="Liberation Serif"/>
          <w:color w:val="232734"/>
          <w:sz w:val="20"/>
        </w:rPr>
        <w:t>adopted constitutional canon governs subordinate vendor policy;</w:t>
      </w:r>
    </w:p>
    <w:p>
      <w:pPr>
        <w:spacing w:after="50"/>
        <w:ind w:left="346" w:hanging="346"/>
      </w:pPr>
      <w:r>
        <w:rPr>
          <w:rFonts w:ascii="Liberation Serif" w:hAnsi="Liberation Serif"/>
          <w:b w:val="0"/>
          <w:color w:val="232734"/>
          <w:sz w:val="20"/>
        </w:rPr>
        <w:t xml:space="preserve">3. </w:t>
      </w:r>
      <w:r>
        <w:rPr>
          <w:rFonts w:ascii="Liberation Serif" w:hAnsi="Liberation Serif"/>
          <w:color w:val="232734"/>
          <w:sz w:val="20"/>
        </w:rPr>
        <w:t>the more specific and more protective requirement controls;</w:t>
      </w:r>
    </w:p>
    <w:p>
      <w:pPr>
        <w:spacing w:after="50"/>
        <w:ind w:left="346" w:hanging="346"/>
      </w:pPr>
      <w:r>
        <w:rPr>
          <w:rFonts w:ascii="Liberation Serif" w:hAnsi="Liberation Serif"/>
          <w:b w:val="0"/>
          <w:color w:val="232734"/>
          <w:sz w:val="20"/>
        </w:rPr>
        <w:t xml:space="preserve">4. </w:t>
      </w:r>
      <w:r>
        <w:rPr>
          <w:rFonts w:ascii="Liberation Serif" w:hAnsi="Liberation Serif"/>
          <w:color w:val="232734"/>
          <w:sz w:val="20"/>
        </w:rPr>
        <w:t>tenant isolation, safeguarding, evidence integrity, and horse-welfare continuity shall not be silently weakened;</w:t>
      </w:r>
    </w:p>
    <w:p>
      <w:pPr>
        <w:spacing w:after="50"/>
        <w:ind w:left="346" w:hanging="346"/>
      </w:pPr>
      <w:r>
        <w:rPr>
          <w:rFonts w:ascii="Liberation Serif" w:hAnsi="Liberation Serif"/>
          <w:b w:val="0"/>
          <w:color w:val="232734"/>
          <w:sz w:val="20"/>
        </w:rPr>
        <w:t xml:space="preserve">5. </w:t>
      </w:r>
      <w:r>
        <w:rPr>
          <w:rFonts w:ascii="Liberation Serif" w:hAnsi="Liberation Serif"/>
          <w:color w:val="232734"/>
          <w:sz w:val="20"/>
        </w:rPr>
        <w:t>Founder interpretation governs unresolved constitutional ambiguity;</w:t>
      </w:r>
    </w:p>
    <w:p>
      <w:pPr>
        <w:spacing w:after="50"/>
        <w:ind w:left="346" w:hanging="346"/>
      </w:pPr>
      <w:r>
        <w:rPr>
          <w:rFonts w:ascii="Liberation Serif" w:hAnsi="Liberation Serif"/>
          <w:b w:val="0"/>
          <w:color w:val="232734"/>
          <w:sz w:val="20"/>
        </w:rPr>
        <w:t xml:space="preserve">6. </w:t>
      </w:r>
      <w:r>
        <w:rPr>
          <w:rFonts w:ascii="Liberation Serif" w:hAnsi="Liberation Serif"/>
          <w:color w:val="232734"/>
          <w:sz w:val="20"/>
        </w:rPr>
        <w:t>ambiguity does not create authority to activate, disclose, contract, migrate, or terminate.</w:t>
      </w:r>
    </w:p>
    <w:p>
      <w:pPr>
        <w:pStyle w:val="Heading1"/>
        <w:keepNext/>
        <w:pBdr>
          <w:bottom w:val="single" w:sz="6" w:space="4" w:color="E3E6EB"/>
        </w:pBdr>
      </w:pPr>
      <w:r>
        <w:t>91. Authority Boundary</w:t>
      </w:r>
    </w:p>
    <w:p>
      <w:pPr>
        <w:spacing w:after="120" w:line="252" w:lineRule="auto"/>
      </w:pPr>
      <w:r>
        <w:rPr>
          <w:rFonts w:ascii="Liberation Serif" w:hAnsi="Liberation Serif"/>
          <w:color w:val="232734"/>
          <w:sz w:val="20"/>
        </w:rPr>
        <w:t>This Model establishes constitutional governance only.</w:t>
      </w:r>
    </w:p>
    <w:p>
      <w:pPr>
        <w:spacing w:after="120" w:line="252" w:lineRule="auto"/>
      </w:pPr>
      <w:r>
        <w:rPr>
          <w:rFonts w:ascii="Liberation Serif" w:hAnsi="Liberation Serif"/>
          <w:color w:val="232734"/>
          <w:sz w:val="20"/>
        </w:rPr>
        <w:t>It does not authorize:</w:t>
      </w:r>
    </w:p>
    <w:p>
      <w:pPr>
        <w:pStyle w:val="ListBullet"/>
      </w:pPr>
      <w:r>
        <w:rPr>
          <w:rFonts w:ascii="Liberation Serif" w:hAnsi="Liberation Serif"/>
          <w:color w:val="232734"/>
          <w:sz w:val="20"/>
        </w:rPr>
        <w:t>vendor selection;</w:t>
      </w:r>
    </w:p>
    <w:p>
      <w:pPr>
        <w:pStyle w:val="ListBullet"/>
      </w:pPr>
      <w:r>
        <w:rPr>
          <w:rFonts w:ascii="Liberation Serif" w:hAnsi="Liberation Serif"/>
          <w:color w:val="232734"/>
          <w:sz w:val="20"/>
        </w:rPr>
        <w:t>contract execution;</w:t>
      </w:r>
    </w:p>
    <w:p>
      <w:pPr>
        <w:pStyle w:val="ListBullet"/>
      </w:pPr>
      <w:r>
        <w:rPr>
          <w:rFonts w:ascii="Liberation Serif" w:hAnsi="Liberation Serif"/>
          <w:color w:val="232734"/>
          <w:sz w:val="20"/>
        </w:rPr>
        <w:t>vendor approval;</w:t>
      </w:r>
    </w:p>
    <w:p>
      <w:pPr>
        <w:pStyle w:val="ListBullet"/>
      </w:pPr>
      <w:r>
        <w:rPr>
          <w:rFonts w:ascii="Liberation Serif" w:hAnsi="Liberation Serif"/>
          <w:color w:val="232734"/>
          <w:sz w:val="20"/>
        </w:rPr>
        <w:t>production activation;</w:t>
      </w:r>
    </w:p>
    <w:p>
      <w:pPr>
        <w:pStyle w:val="ListBullet"/>
      </w:pPr>
      <w:r>
        <w:rPr>
          <w:rFonts w:ascii="Liberation Serif" w:hAnsi="Liberation Serif"/>
          <w:color w:val="232734"/>
          <w:sz w:val="20"/>
        </w:rPr>
        <w:t>integration activation;</w:t>
      </w:r>
    </w:p>
    <w:p>
      <w:pPr>
        <w:pStyle w:val="ListBullet"/>
      </w:pPr>
      <w:r>
        <w:rPr>
          <w:rFonts w:ascii="Liberation Serif" w:hAnsi="Liberation Serif"/>
          <w:color w:val="232734"/>
          <w:sz w:val="20"/>
        </w:rPr>
        <w:t>credential provisioning;</w:t>
      </w:r>
    </w:p>
    <w:p>
      <w:pPr>
        <w:pStyle w:val="ListBullet"/>
      </w:pPr>
      <w:r>
        <w:rPr>
          <w:rFonts w:ascii="Liberation Serif" w:hAnsi="Liberation Serif"/>
          <w:color w:val="232734"/>
          <w:sz w:val="20"/>
        </w:rPr>
        <w:t>data disclosure;</w:t>
      </w:r>
    </w:p>
    <w:p>
      <w:pPr>
        <w:pStyle w:val="ListBullet"/>
      </w:pPr>
      <w:r>
        <w:rPr>
          <w:rFonts w:ascii="Liberation Serif" w:hAnsi="Liberation Serif"/>
          <w:color w:val="232734"/>
          <w:sz w:val="20"/>
        </w:rPr>
        <w:t>subprocessor approval;</w:t>
      </w:r>
    </w:p>
    <w:p>
      <w:pPr>
        <w:pStyle w:val="ListBullet"/>
      </w:pPr>
      <w:r>
        <w:rPr>
          <w:rFonts w:ascii="Liberation Serif" w:hAnsi="Liberation Serif"/>
          <w:color w:val="232734"/>
          <w:sz w:val="20"/>
        </w:rPr>
        <w:t>vendor testing against production;</w:t>
      </w:r>
    </w:p>
    <w:p>
      <w:pPr>
        <w:pStyle w:val="ListBullet"/>
      </w:pPr>
      <w:r>
        <w:rPr>
          <w:rFonts w:ascii="Liberation Serif" w:hAnsi="Liberation Serif"/>
          <w:color w:val="232734"/>
          <w:sz w:val="20"/>
        </w:rPr>
        <w:t>vendor suspension;</w:t>
      </w:r>
    </w:p>
    <w:p>
      <w:pPr>
        <w:pStyle w:val="ListBullet"/>
      </w:pPr>
      <w:r>
        <w:rPr>
          <w:rFonts w:ascii="Liberation Serif" w:hAnsi="Liberation Serif"/>
          <w:color w:val="232734"/>
          <w:sz w:val="20"/>
        </w:rPr>
        <w:t>vendor termination;</w:t>
      </w:r>
    </w:p>
    <w:p>
      <w:pPr>
        <w:pStyle w:val="ListBullet"/>
      </w:pPr>
      <w:r>
        <w:rPr>
          <w:rFonts w:ascii="Liberation Serif" w:hAnsi="Liberation Serif"/>
          <w:color w:val="232734"/>
          <w:sz w:val="20"/>
        </w:rPr>
        <w:t>data migration;</w:t>
      </w:r>
    </w:p>
    <w:p>
      <w:pPr>
        <w:pStyle w:val="ListBullet"/>
      </w:pPr>
      <w:r>
        <w:rPr>
          <w:rFonts w:ascii="Liberation Serif" w:hAnsi="Liberation Serif"/>
          <w:color w:val="232734"/>
          <w:sz w:val="20"/>
        </w:rPr>
        <w:t>emergency vendor engagement;</w:t>
      </w:r>
    </w:p>
    <w:p>
      <w:pPr>
        <w:pStyle w:val="ListBullet"/>
      </w:pPr>
      <w:r>
        <w:rPr>
          <w:rFonts w:ascii="Liberation Serif" w:hAnsi="Liberation Serif"/>
          <w:color w:val="232734"/>
          <w:sz w:val="20"/>
        </w:rPr>
        <w:t>public vendor claims;</w:t>
      </w:r>
    </w:p>
    <w:p>
      <w:pPr>
        <w:pStyle w:val="ListBullet"/>
      </w:pPr>
      <w:r>
        <w:rPr>
          <w:rFonts w:ascii="Liberation Serif" w:hAnsi="Liberation Serif"/>
          <w:color w:val="232734"/>
          <w:sz w:val="20"/>
        </w:rPr>
        <w:t>production release;</w:t>
      </w:r>
    </w:p>
    <w:p>
      <w:pPr>
        <w:pStyle w:val="ListBullet"/>
      </w:pPr>
      <w:r>
        <w:rPr>
          <w:rFonts w:ascii="Liberation Serif" w:hAnsi="Liberation Serif"/>
          <w:color w:val="232734"/>
          <w:sz w:val="20"/>
        </w:rPr>
        <w:t>public launch.</w:t>
      </w:r>
    </w:p>
    <w:p>
      <w:pPr>
        <w:spacing w:after="120" w:line="252" w:lineRule="auto"/>
      </w:pPr>
      <w:r>
        <w:rPr>
          <w:rFonts w:ascii="Liberation Serif" w:hAnsi="Liberation Serif"/>
          <w:color w:val="232734"/>
          <w:sz w:val="20"/>
        </w:rPr>
        <w:t>Each action requires the authority, planning, validation, and release gate required by controlling canon.</w:t>
      </w:r>
    </w:p>
    <w:p>
      <w:pPr>
        <w:pStyle w:val="Heading1"/>
        <w:keepNext/>
        <w:pBdr>
          <w:bottom w:val="single" w:sz="6" w:space="4" w:color="E3E6EB"/>
        </w:pBdr>
      </w:pPr>
      <w:r>
        <w:t>92. Adoption and Lock State</w:t>
      </w:r>
    </w:p>
    <w:p>
      <w:pPr>
        <w:spacing w:after="120" w:line="252" w:lineRule="auto"/>
      </w:pPr>
      <w:r>
        <w:rPr>
          <w:rFonts w:ascii="Liberation Serif" w:hAnsi="Liberation Serif"/>
          <w:color w:val="232734"/>
          <w:sz w:val="20"/>
        </w:rPr>
        <w:t>Founder acceptance establishes this document as controlling constitutional text for EquineSync vendor security and supply-chain governance.</w:t>
      </w:r>
    </w:p>
    <w:p>
      <w:pPr>
        <w:spacing w:after="120" w:line="252" w:lineRule="auto"/>
      </w:pPr>
      <w:r>
        <w:rPr>
          <w:rFonts w:ascii="Liberation Serif" w:hAnsi="Liberation Serif"/>
          <w:color w:val="232734"/>
          <w:sz w:val="20"/>
        </w:rPr>
        <w:t>Founder acceptance does not itself establish repository adoption, terminal lock, implementation readiness, production authority, vendor activation, contract execution, data disclosure, or public launch authority.</w:t>
      </w:r>
    </w:p>
    <w:p>
      <w:pPr>
        <w:spacing w:after="120" w:line="252" w:lineRule="auto"/>
      </w:pPr>
      <w:r>
        <w:rPr>
          <w:rFonts w:ascii="Liberation Serif" w:hAnsi="Liberation Serif"/>
          <w:color w:val="232734"/>
          <w:sz w:val="20"/>
        </w:rPr>
        <w:t>The controlled lifecycle remains:</w:t>
      </w:r>
    </w:p>
    <w:p>
      <w:pPr>
        <w:ind w:left="360"/>
      </w:pPr>
      <w:r>
        <w:rPr>
          <w:rFonts w:ascii="Liberation Mono" w:hAnsi="Liberation Mono"/>
          <w:color w:val="2E3550"/>
          <w:sz w:val="18"/>
        </w:rPr>
        <w:t>FOUNDER_ACCEPTED -&gt; CONTROLLED_ADOPTION -&gt; REPOSITORY_VERIFICATION -&gt; LOCKED</w:t>
      </w:r>
    </w:p>
    <w:p>
      <w:pPr>
        <w:spacing w:after="120" w:line="252" w:lineRule="auto"/>
      </w:pPr>
      <w:r>
        <w:rPr>
          <w:rFonts w:ascii="Liberation Serif" w:hAnsi="Liberation Serif"/>
          <w:color w:val="232734"/>
          <w:sz w:val="20"/>
        </w:rPr>
        <w:t>All implementation and production actions remain separately gated.</w:t>
      </w:r>
    </w:p>
    <w:p>
      <w:pPr>
        <w:pStyle w:val="Heading1"/>
        <w:keepNext/>
        <w:pBdr>
          <w:bottom w:val="single" w:sz="6" w:space="4" w:color="E3E6EB"/>
        </w:pBdr>
      </w:pPr>
      <w:r>
        <w:t>93. Final Governance State</w:t>
      </w:r>
    </w:p>
    <w:p>
      <w:pPr>
        <w:ind w:left="360"/>
      </w:pPr>
      <w:r>
        <w:rPr>
          <w:rFonts w:ascii="Liberation Mono" w:hAnsi="Liberation Mono"/>
          <w:color w:val="2E3550"/>
          <w:sz w:val="18"/>
        </w:rPr>
        <w:t>DOCUMENT: MASTER_VENDOR_SECURITY_AND_SUPPLY_CHAIN_MODEL_V2_0</w:t>
      </w:r>
    </w:p>
    <w:p>
      <w:pPr>
        <w:ind w:left="360"/>
      </w:pPr>
      <w:r>
        <w:rPr>
          <w:rFonts w:ascii="Liberation Mono" w:hAnsi="Liberation Mono"/>
          <w:color w:val="2E3550"/>
          <w:sz w:val="18"/>
        </w:rPr>
        <w:t>DOCUMENT_TYPE: TIER_3_FOUNDATIONAL_DOMAIN_CANON</w:t>
      </w:r>
    </w:p>
    <w:p>
      <w:pPr>
        <w:ind w:left="360"/>
      </w:pPr>
      <w:r>
        <w:rPr>
          <w:rFonts w:ascii="Liberation Mono" w:hAnsi="Liberation Mono"/>
          <w:color w:val="2E3550"/>
          <w:sz w:val="18"/>
        </w:rPr>
        <w:t>PARENT_CANON: MASTER_SECURITY_AND_TRUST_MODEL_V2_0</w:t>
      </w:r>
    </w:p>
    <w:p>
      <w:pPr>
        <w:ind w:left="360"/>
      </w:pPr>
      <w:r>
        <w:rPr>
          <w:rFonts w:ascii="Liberation Mono" w:hAnsi="Liberation Mono"/>
          <w:color w:val="2E3550"/>
          <w:sz w:val="18"/>
        </w:rPr>
        <w:t>CURRENT_STATUS: FOUNDER_ACCEPTED_CONTROLLED_ADOPTION_AND_LOCK_PENDING</w:t>
      </w:r>
    </w:p>
    <w:p>
      <w:pPr>
        <w:ind w:left="360"/>
      </w:pPr>
      <w:r>
        <w:rPr>
          <w:rFonts w:ascii="Liberation Mono" w:hAnsi="Liberation Mono"/>
          <w:color w:val="2E3550"/>
          <w:sz w:val="18"/>
        </w:rPr>
        <w:t>CONSTITUTIONAL_AUTHORITY: CONTROLLING_FOUNDER_APPROVED_TEXT</w:t>
      </w:r>
    </w:p>
    <w:p>
      <w:pPr>
        <w:ind w:left="360"/>
      </w:pPr>
      <w:r>
        <w:rPr>
          <w:rFonts w:ascii="Liberation Mono" w:hAnsi="Liberation Mono"/>
          <w:color w:val="2E3550"/>
          <w:sz w:val="18"/>
        </w:rPr>
        <w:t>CANON_LOCK_AUTHORITY: FALSE</w:t>
      </w:r>
    </w:p>
    <w:p>
      <w:pPr>
        <w:ind w:left="360"/>
      </w:pPr>
      <w:r>
        <w:rPr>
          <w:rFonts w:ascii="Liberation Mono" w:hAnsi="Liberation Mono"/>
          <w:color w:val="2E3550"/>
          <w:sz w:val="18"/>
        </w:rPr>
        <w:t>IMPLEMENTATION_AUTHORITY: FALSE</w:t>
      </w:r>
    </w:p>
    <w:p>
      <w:pPr>
        <w:ind w:left="360"/>
      </w:pPr>
      <w:r>
        <w:rPr>
          <w:rFonts w:ascii="Liberation Mono" w:hAnsi="Liberation Mono"/>
          <w:color w:val="2E3550"/>
          <w:sz w:val="18"/>
        </w:rPr>
        <w:t>VENDOR_APPROVAL_AUTHORITY: FALSE</w:t>
      </w:r>
    </w:p>
    <w:p>
      <w:pPr>
        <w:ind w:left="360"/>
      </w:pPr>
      <w:r>
        <w:rPr>
          <w:rFonts w:ascii="Liberation Mono" w:hAnsi="Liberation Mono"/>
          <w:color w:val="2E3550"/>
          <w:sz w:val="18"/>
        </w:rPr>
        <w:t>CONTRACT_EXECUTION_AUTHORITY: FALSE</w:t>
      </w:r>
    </w:p>
    <w:p>
      <w:pPr>
        <w:ind w:left="360"/>
      </w:pPr>
      <w:r>
        <w:rPr>
          <w:rFonts w:ascii="Liberation Mono" w:hAnsi="Liberation Mono"/>
          <w:color w:val="2E3550"/>
          <w:sz w:val="18"/>
        </w:rPr>
        <w:t>VENDOR_ACTIVATION_AUTHORITY: FALSE</w:t>
      </w:r>
    </w:p>
    <w:p>
      <w:pPr>
        <w:ind w:left="360"/>
      </w:pPr>
      <w:r>
        <w:rPr>
          <w:rFonts w:ascii="Liberation Mono" w:hAnsi="Liberation Mono"/>
          <w:color w:val="2E3550"/>
          <w:sz w:val="18"/>
        </w:rPr>
        <w:t>INTEGRATION_ACTIVATION_AUTHORITY: FALSE</w:t>
      </w:r>
    </w:p>
    <w:p>
      <w:pPr>
        <w:ind w:left="360"/>
      </w:pPr>
      <w:r>
        <w:rPr>
          <w:rFonts w:ascii="Liberation Mono" w:hAnsi="Liberation Mono"/>
          <w:color w:val="2E3550"/>
          <w:sz w:val="18"/>
        </w:rPr>
        <w:t>DATA_DISCLOSURE_AUTHORITY: FALSE</w:t>
      </w:r>
    </w:p>
    <w:p>
      <w:pPr>
        <w:ind w:left="360"/>
      </w:pPr>
      <w:r>
        <w:rPr>
          <w:rFonts w:ascii="Liberation Mono" w:hAnsi="Liberation Mono"/>
          <w:color w:val="2E3550"/>
          <w:sz w:val="18"/>
        </w:rPr>
        <w:t>VENDOR_MIGRATION_AUTHORITY: FALSE</w:t>
      </w:r>
    </w:p>
    <w:p>
      <w:pPr>
        <w:ind w:left="360"/>
      </w:pPr>
      <w:r>
        <w:rPr>
          <w:rFonts w:ascii="Liberation Mono" w:hAnsi="Liberation Mono"/>
          <w:color w:val="2E3550"/>
          <w:sz w:val="18"/>
        </w:rPr>
        <w:t>VENDOR_TERMINATION_AUTHORITY: FALSE</w:t>
      </w:r>
    </w:p>
    <w:p>
      <w:pPr>
        <w:ind w:left="360"/>
      </w:pPr>
      <w:r>
        <w:rPr>
          <w:rFonts w:ascii="Liberation Mono" w:hAnsi="Liberation Mono"/>
          <w:color w:val="2E3550"/>
          <w:sz w:val="18"/>
        </w:rPr>
        <w:t>PRODUCTION_AUTHORITY: FALSE</w:t>
      </w:r>
    </w:p>
    <w:p>
      <w:pPr>
        <w:ind w:left="360"/>
      </w:pPr>
      <w:r>
        <w:rPr>
          <w:rFonts w:ascii="Liberation Mono" w:hAnsi="Liberation Mono"/>
          <w:color w:val="2E3550"/>
          <w:sz w:val="18"/>
        </w:rPr>
        <w:t>PUBLIC_TRUST_CLAIM_AUTHORITY: FALSE</w:t>
      </w:r>
    </w:p>
    <w:p>
      <w:pPr>
        <w:ind w:left="360"/>
      </w:pPr>
      <w:r>
        <w:rPr>
          <w:rFonts w:ascii="Liberation Mono" w:hAnsi="Liberation Mono"/>
          <w:color w:val="2E3550"/>
          <w:sz w:val="18"/>
        </w:rPr>
        <w:t>PUBLIC_LAUNCH_AUTHORITY: FALSE</w:t>
      </w:r>
    </w:p>
    <w:p>
      <w:pPr>
        <w:ind w:left="360"/>
      </w:pPr>
      <w:r>
        <w:rPr>
          <w:rFonts w:ascii="Liberation Mono" w:hAnsi="Liberation Mono"/>
          <w:color w:val="2E3550"/>
          <w:sz w:val="18"/>
        </w:rPr>
        <w:t>NEXT_GOVERNANCE_STEP: SECURITY_AND_TRUST_CANON_PACKAGE_RECONCILIATION</w:t>
      </w:r>
    </w:p>
    <w:p>
      <w:pPr>
        <w:pStyle w:val="Heading1"/>
        <w:keepNext/>
        <w:pBdr>
          <w:bottom w:val="single" w:sz="6" w:space="4" w:color="E3E6EB"/>
        </w:pBdr>
      </w:pPr>
      <w:r>
        <w:t>Founder Acceptance Record</w:t>
      </w:r>
    </w:p>
    <w:p>
      <w:pPr>
        <w:spacing w:after="120" w:line="252" w:lineRule="auto"/>
      </w:pPr>
      <w:r>
        <w:rPr>
          <w:rFonts w:ascii="Liberation Serif" w:hAnsi="Liberation Serif"/>
          <w:b/>
          <w:color w:val="232734"/>
          <w:sz w:val="20"/>
        </w:rPr>
        <w:t>Founder determination:</w:t>
      </w:r>
      <w:r>
        <w:rPr>
          <w:rFonts w:ascii="Liberation Serif" w:hAnsi="Liberation Serif"/>
          <w:color w:val="232734"/>
          <w:sz w:val="20"/>
        </w:rPr>
        <w:t xml:space="preserve"> Accepted</w:t>
      </w:r>
    </w:p>
    <w:p>
      <w:pPr>
        <w:spacing w:after="120" w:line="252" w:lineRule="auto"/>
      </w:pPr>
      <w:r>
        <w:rPr>
          <w:rFonts w:ascii="Liberation Serif" w:hAnsi="Liberation Serif"/>
          <w:b/>
          <w:color w:val="232734"/>
          <w:sz w:val="20"/>
        </w:rPr>
        <w:t>Founder acceptance date:</w:t>
      </w:r>
      <w:r>
        <w:rPr>
          <w:rFonts w:ascii="Liberation Serif" w:hAnsi="Liberation Serif"/>
          <w:color w:val="232734"/>
          <w:sz w:val="20"/>
        </w:rPr>
        <w:t xml:space="preserve"> July 13, 2026</w:t>
      </w:r>
    </w:p>
    <w:p>
      <w:pPr>
        <w:spacing w:after="120" w:line="252" w:lineRule="auto"/>
      </w:pPr>
      <w:r>
        <w:rPr>
          <w:rFonts w:ascii="Liberation Serif" w:hAnsi="Liberation Serif"/>
          <w:b/>
          <w:color w:val="232734"/>
          <w:sz w:val="20"/>
        </w:rPr>
        <w:t>Acceptance effect:</w:t>
      </w:r>
      <w:r>
        <w:rPr>
          <w:rFonts w:ascii="Liberation Serif" w:hAnsi="Liberation Serif"/>
          <w:color w:val="232734"/>
          <w:sz w:val="20"/>
        </w:rPr>
        <w:t xml:space="preserve"> Controlling constitutional text; controlled adoption and repository lock remain pending.</w:t>
      </w:r>
    </w:p>
    <w:p>
      <w:pPr>
        <w:spacing w:after="120" w:line="252" w:lineRule="auto"/>
      </w:pPr>
      <w:r>
        <w:rPr>
          <w:rFonts w:ascii="Liberation Serif" w:hAnsi="Liberation Serif"/>
          <w:b/>
          <w:color w:val="232734"/>
          <w:sz w:val="20"/>
        </w:rPr>
        <w:t>Implementation effect:</w:t>
      </w:r>
      <w:r>
        <w:rPr>
          <w:rFonts w:ascii="Liberation Serif" w:hAnsi="Liberation Serif"/>
          <w:color w:val="232734"/>
          <w:sz w:val="20"/>
        </w:rPr>
        <w:t xml:space="preserve"> None. All implementation, provider activation, contract execution, data disclosure, migration, production mutation, trust-claim, and public-launch authority remain false.</w:t>
      </w:r>
    </w:p>
    <w:sectPr w:rsidR="00FC693F" w:rsidRPr="0006063C" w:rsidSect="00034616">
      <w:headerReference w:type="default" r:id="rId9"/>
      <w:footerReference w:type="default" r:id="rId10"/>
      <w:pgSz w:w="12240" w:h="15840"/>
      <w:pgMar w:top="936" w:right="1181" w:bottom="936" w:left="1181" w:header="461"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3168"/>
      <w:gridCol w:w="3096"/>
      <w:gridCol w:w="3168"/>
    </w:tblGrid>
    <w:tr>
      <w:tc>
        <w:tcPr>
          <w:tcW w:type="dxa" w:w="3144"/>
          <w:tcBorders>
            <w:top w:val="nil"/>
            <w:left w:val="nil"/>
            <w:bottom w:val="nil"/>
            <w:right w:val="nil"/>
          </w:tcBorders>
        </w:tcPr>
        <w:p>
          <w:pPr>
            <w:jc w:val="left"/>
          </w:pPr>
          <w:r>
            <w:rPr>
              <w:rFonts w:ascii="Liberation Sans" w:hAnsi="Liberation Sans"/>
              <w:b/>
              <w:color w:val="5D6475"/>
              <w:sz w:val="16"/>
            </w:rPr>
            <w:t>FOUNDER ACCEPTED</w:t>
          </w:r>
        </w:p>
      </w:tc>
      <w:tc>
        <w:tcPr>
          <w:tcW w:type="dxa" w:w="3144"/>
          <w:tcBorders>
            <w:top w:val="nil"/>
            <w:left w:val="nil"/>
            <w:bottom w:val="nil"/>
            <w:right w:val="nil"/>
          </w:tcBorders>
        </w:tcPr>
        <w:p>
          <w:pPr>
            <w:jc w:val="center"/>
          </w:pPr>
          <w:r>
            <w:rPr>
              <w:rFonts w:ascii="Liberation Serif" w:hAnsi="Liberation Serif"/>
              <w:color w:val="5D6475"/>
              <w:sz w:val="16"/>
            </w:rPr>
            <w:t xml:space="preserve">Page </w:t>
          </w:r>
          <w:r>
            <w:fldChar w:fldCharType="begin"/>
            <w:instrText xml:space="preserve">PAGE</w:instrText>
            <w:fldChar w:fldCharType="separate"/>
            <w:fldChar w:fldCharType="end"/>
          </w:r>
        </w:p>
      </w:tc>
      <w:tc>
        <w:tcPr>
          <w:tcW w:type="dxa" w:w="3144"/>
          <w:tcBorders>
            <w:top w:val="nil"/>
            <w:left w:val="nil"/>
            <w:bottom w:val="nil"/>
            <w:right w:val="nil"/>
          </w:tcBorders>
        </w:tcPr>
        <w:p>
          <w:pPr>
            <w:jc w:val="right"/>
          </w:pPr>
          <w:r>
            <w:rPr>
              <w:rFonts w:ascii="Liberation Sans" w:hAnsi="Liberation Sans"/>
              <w:b/>
              <w:color w:val="5D6475"/>
              <w:sz w:val="16"/>
            </w:rPr>
            <w:t>EQUINESYNC CANON</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6" w:space="4" w:color="B8AECF"/>
      </w:pBdr>
    </w:pPr>
    <w:r>
      <w:rPr>
        <w:rFonts w:ascii="Liberation Sans" w:hAnsi="Liberation Sans"/>
        <w:b/>
        <w:color w:val="5D6475"/>
        <w:sz w:val="16"/>
      </w:rPr>
      <w:t>EQUINESYNC  /  VENDOR SECURITY AND SUPPLY CHAIN  /  V2.0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Liberation Serif" w:hAnsi="Liberation Seri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40"/>
      <w:outlineLvl w:val="0"/>
    </w:pPr>
    <w:rPr>
      <w:rFonts w:asciiTheme="majorHAnsi" w:eastAsiaTheme="majorEastAsia" w:hAnsiTheme="majorHAnsi" w:cstheme="majorBidi" w:ascii="Liberation Serif" w:hAnsi="Liberation Serif"/>
      <w:b/>
      <w:bCs/>
      <w:color w:val="232734"/>
      <w:sz w:val="4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Liberation Sans" w:hAnsi="Liberation Sans"/>
      <w:b/>
      <w:bCs/>
      <w:color w:val="2E3550"/>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Liberation Sans" w:hAnsi="Liberation Sans"/>
      <w:b/>
      <w:bCs/>
      <w:color w:val="2E355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Liberation Serif" w:hAnsi="Liberation Serif"/>
      <w:b/>
      <w:color w:val="232734"/>
      <w:spacing w:val="5"/>
      <w:kern w:val="28"/>
      <w:sz w:val="6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contextualSpacing/>
    </w:pPr>
    <w:rPr>
      <w:rFonts w:ascii="Liberation Serif" w:hAnsi="Liberation Serif"/>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contextualSpacing/>
    </w:pPr>
    <w:rPr>
      <w:rFonts w:ascii="Liberation Serif" w:hAnsi="Liberation Serif"/>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Vendor Security and Supply Chain Model V2.0</dc:title>
  <dc:subject>EquineSync Tier 3 Foundational Domain Canon</dc:subject>
  <dc:creator>EquineSync</dc:creator>
  <cp:keywords>EquineSync, vendor security, supply chain, governance, canon</cp:keywords>
  <dc:description>Founder accepted July 13, 2026. Controlled adoption and repository lock pending.</dc:description>
  <cp:lastModifiedBy>EquineSync</cp:lastModifiedBy>
  <cp:revision>1</cp:revision>
  <dcterms:created xsi:type="dcterms:W3CDTF">2013-12-23T23:15:00Z</dcterms:created>
  <dcterms:modified xsi:type="dcterms:W3CDTF">2013-12-23T23:15:00Z</dcterms:modified>
  <cp:category>EquineSync Governance Canon</cp:category>
</cp:coreProperties>
</file>