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EquineSync Six-Document Foundational Canon Review</w:t>
      </w:r>
    </w:p>
    <w:p>
      <w:r>
        <w:t>Controlled Review Memorandum | July 14, 2026</w:t>
      </w:r>
    </w:p>
    <w:p>
      <w:r>
        <w:t>All six foundational documents were substantively expanded and reconciled against Product Vision V2.1 and the later specialized governance corpus. The revisions preserve the original domain centers while clarifying constitutional ownership, lifecycle state, authority, cross-tenant boundaries, privacy, evidence, AI, analytics, resilience, and transition rules.</w:t>
      </w:r>
    </w:p>
    <w:p>
      <w:pPr>
        <w:pStyle w:val="Heading1"/>
      </w:pPr>
      <w:r>
        <w:t>MASTER ECOSYSTEM MODEL V2.1</w:t>
      </w:r>
    </w:p>
    <w:p>
      <w:r>
        <w:t>Expanded to 14 principal sections. Key emphasis: This Model defines the durable architecture of the EquineSync ecosystem: the first-class entities that may exist, the relationships that connect them, the sources of authority that govern them, and the rules by which records, work, money, communication, analytics, automation, and external systems interact.</w:t>
      </w:r>
    </w:p>
    <w:p>
      <w:pPr>
        <w:pStyle w:val="Heading1"/>
      </w:pPr>
      <w:r>
        <w:t>MASTER HORSE LIFECYCLE V3.1</w:t>
      </w:r>
    </w:p>
    <w:p>
      <w:r>
        <w:t>Expanded to 17 principal sections. Key emphasis: This Model governs the horse’s durable identity and complete lifecycle from planned or first-known existence through care, work, relationships, movement, transfer, retirement, death, memorialization, and archive.</w:t>
      </w:r>
    </w:p>
    <w:p>
      <w:pPr>
        <w:pStyle w:val="Heading1"/>
      </w:pPr>
      <w:r>
        <w:t>MASTER BARN LIFECYCLE V3.1</w:t>
      </w:r>
    </w:p>
    <w:p>
      <w:r>
        <w:t>Expanded to 17 principal sections. Key emphasis: This Model governs the operational lifecycle of a barn or equine facility as an active care environment. It defines how a facility becomes operationally ready, receives horses and people, conducts daily work, manages safety and resources, responds to disruption, transitions operators, and closes without losing continuity.</w:t>
      </w:r>
    </w:p>
    <w:p>
      <w:pPr>
        <w:pStyle w:val="Heading1"/>
      </w:pPr>
      <w:r>
        <w:t>MASTER BUSINESS LIFECYCLE V2.1</w:t>
      </w:r>
    </w:p>
    <w:p>
      <w:r>
        <w:t>Expanded to 16 principal sections. Key emphasis: This Model governs an equestrian business as a durable organizational and commercial entity from formation through operation, growth, restructuring, succession, insolvency, closure, and archive.</w:t>
      </w:r>
    </w:p>
    <w:p>
      <w:pPr>
        <w:pStyle w:val="Heading1"/>
      </w:pPr>
      <w:r>
        <w:t>MASTER FACILITY DOMAIN MODEL V2.1</w:t>
      </w:r>
    </w:p>
    <w:p>
      <w:r>
        <w:t>Expanded to 16 principal sections. Key emphasis: This Model defines the physical-place domain for EquineSync. It governs how campuses, parcels, structures, spaces, zones, routes, assets, utilities, hazards, resources, maps, capacity, occupancy, condition, and location history are represented.</w:t>
      </w:r>
    </w:p>
    <w:p>
      <w:pPr>
        <w:pStyle w:val="Heading1"/>
      </w:pPr>
      <w:r>
        <w:t>MASTER ANALYTICS FRAMEWORK V2.0</w:t>
      </w:r>
    </w:p>
    <w:p>
      <w:r>
        <w:t>Expanded to 17 principal sections. Key emphasis: This Framework defines how analytical products are designed, calculated, validated, interpreted, monitored, corrected, and retired across EquineSync.</w:t>
      </w:r>
    </w:p>
    <w:p>
      <w:pPr>
        <w:pStyle w:val="Heading1"/>
      </w:pPr>
      <w:r>
        <w:t>Review Disposition</w:t>
      </w:r>
    </w:p>
    <w:p>
      <w:r>
        <w:t>Recommended for founder review as controlled successor candidates. None is adopted, locked, or implementation-authorizing by creation.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