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jc w:val="center"/>
      </w:pPr>
      <w:r>
        <w:t>MASTER ANALYTICS FRAMEWORK</w:t>
      </w:r>
    </w:p>
    <w:p>
      <w:pPr>
        <w:keepLines w:val="0"/>
        <w:jc w:val="center"/>
      </w:pPr>
      <w:r>
        <w:rPr>
          <w:b/>
          <w:color w:val="355C7D"/>
        </w:rPr>
        <w:t>Version 2.0 | Controlled Successor Candidate</w:t>
      </w:r>
    </w:p>
    <w:tbl>
      <w:tblPr>
        <w:tblStyle w:val="TableGrid"/>
        <w:tblW w:type="auto" w:w="0"/>
        <w:jc w:val="center"/>
        <w:tblLook w:firstColumn="1" w:firstRow="1" w:lastColumn="0" w:lastRow="0" w:noHBand="0" w:noVBand="1" w:val="04A0"/>
      </w:tblPr>
      <w:tblGrid>
        <w:gridCol w:w="4997"/>
        <w:gridCol w:w="4997"/>
      </w:tblGrid>
      <w:tr>
        <w:tc>
          <w:tcPr>
            <w:tcW w:type="dxa" w:w="4997"/>
            <w:shd w:fill="D9E2F3"/>
            <w:vAlign w:val="center"/>
          </w:tcPr>
          <w:p>
            <w:r>
              <w:t>Status</w:t>
            </w:r>
          </w:p>
        </w:tc>
        <w:tc>
          <w:tcPr>
            <w:tcW w:type="dxa" w:w="4997"/>
            <w:vAlign w:val="center"/>
          </w:tcPr>
          <w:p>
            <w:r>
              <w:t>CONTROLLED SUCCESSOR CANDIDATE - NOT ADOPTED - NO IMPLEMENTATION AUTHORITY</w:t>
            </w:r>
          </w:p>
        </w:tc>
      </w:tr>
      <w:tr>
        <w:tc>
          <w:tcPr>
            <w:tcW w:type="dxa" w:w="4997"/>
            <w:shd w:fill="D9E2F3"/>
            <w:vAlign w:val="center"/>
          </w:tcPr>
          <w:p>
            <w:r>
              <w:t>Source posture</w:t>
            </w:r>
          </w:p>
        </w:tc>
        <w:tc>
          <w:tcPr>
            <w:tcW w:type="dxa" w:w="4997"/>
            <w:vAlign w:val="center"/>
          </w:tcPr>
          <w:p>
            <w:r>
              <w:t>Existing master framework located; expanded and subordinated to the founder-approved Reporting, Analytics, and Business Intelligence canon</w:t>
            </w:r>
          </w:p>
        </w:tc>
      </w:tr>
      <w:tr>
        <w:tc>
          <w:tcPr>
            <w:tcW w:type="dxa" w:w="4997"/>
            <w:shd w:fill="D9E2F3"/>
            <w:vAlign w:val="center"/>
          </w:tcPr>
          <w:p>
            <w:r>
              <w:t>Implementation authority</w:t>
            </w:r>
          </w:p>
        </w:tc>
        <w:tc>
          <w:tcPr>
            <w:tcW w:type="dxa" w:w="4997"/>
            <w:vAlign w:val="center"/>
          </w:tcPr>
          <w:p>
            <w:r>
              <w:t>FALSE</w:t>
            </w:r>
          </w:p>
        </w:tc>
      </w:tr>
      <w:tr>
        <w:tc>
          <w:tcPr>
            <w:tcW w:type="dxa" w:w="4997"/>
            <w:shd w:fill="D9E2F3"/>
            <w:vAlign w:val="center"/>
          </w:tcPr>
          <w:p>
            <w:r>
              <w:t>Production authority</w:t>
            </w:r>
          </w:p>
        </w:tc>
        <w:tc>
          <w:tcPr>
            <w:tcW w:type="dxa" w:w="4997"/>
            <w:vAlign w:val="center"/>
          </w:tcPr>
          <w:p>
            <w:r>
              <w:t>FALSE</w:t>
            </w:r>
          </w:p>
        </w:tc>
      </w:tr>
      <w:tr>
        <w:tc>
          <w:tcPr>
            <w:tcW w:type="dxa" w:w="4997"/>
            <w:shd w:fill="D9E2F3"/>
            <w:vAlign w:val="center"/>
          </w:tcPr>
          <w:p>
            <w:r>
              <w:t>Review posture</w:t>
            </w:r>
          </w:p>
        </w:tc>
        <w:tc>
          <w:tcPr>
            <w:tcW w:type="dxa" w:w="4997"/>
            <w:vAlign w:val="center"/>
          </w:tcPr>
          <w:p>
            <w:r>
              <w:t>Expanded cross-canon review draft; founder approval required</w:t>
            </w:r>
          </w:p>
        </w:tc>
      </w:tr>
    </w:tbl>
    <w:p>
      <w:pPr>
        <w:keepLines w:val="0"/>
      </w:pPr>
    </w:p>
    <w:p>
      <w:pPr>
        <w:pStyle w:val="Heading1"/>
        <w:keepLines w:val="0"/>
      </w:pPr>
      <w:r>
        <w:t>Purpose and Canonical Boundary</w:t>
      </w:r>
    </w:p>
    <w:p>
      <w:pPr>
        <w:keepLines w:val="0"/>
        <w:spacing w:after="100"/>
      </w:pPr>
      <w:r>
        <w:t>This Framework defines how analytical products are designed, calculated, validated, interpreted, monitored, corrected, and retired across EquineSync.</w:t>
      </w:r>
    </w:p>
    <w:p>
      <w:pPr>
        <w:keepLines w:val="0"/>
        <w:spacing w:after="100"/>
      </w:pPr>
      <w:r>
        <w:t>The founder-approved Master Reporting, Analytics, and Business Intelligence Model owns reporting governance, certification, publication, statistical integrity, privacy, challenge rights, and high-risk analytical controls. This Framework supplies the reusable analytical design method beneath that controlling canon.</w:t>
      </w:r>
    </w:p>
    <w:p>
      <w:pPr>
        <w:pStyle w:val="Heading1"/>
        <w:keepLines w:val="0"/>
      </w:pPr>
      <w:r>
        <w:t>Analytics Mission</w:t>
      </w:r>
    </w:p>
    <w:p>
      <w:pPr>
        <w:keepLines w:val="0"/>
        <w:spacing w:after="100"/>
      </w:pPr>
      <w:r>
        <w:t>Analytics should help authorized users understand what happened, what changed, what may explain the change, what requires attention, and what action may be considered. It must improve operational clarity without manufacturing certainty or turning incomplete data into judgments about horses, people, providers, facilities, or businesses.</w:t>
      </w:r>
    </w:p>
    <w:p>
      <w:pPr>
        <w:pStyle w:val="Heading1"/>
        <w:keepLines w:val="0"/>
      </w:pPr>
      <w:r>
        <w:t>Core Principles</w:t>
      </w:r>
    </w:p>
    <w:p>
      <w:pPr>
        <w:pStyle w:val="ListNumber"/>
        <w:keepLines w:val="0"/>
      </w:pPr>
      <w:r>
        <w:t>Permission before computation and presentation</w:t>
      </w:r>
    </w:p>
    <w:p>
      <w:pPr>
        <w:pStyle w:val="ListNumber"/>
        <w:keepLines w:val="0"/>
      </w:pPr>
      <w:r>
        <w:t>Defined purpose and audience</w:t>
      </w:r>
    </w:p>
    <w:p>
      <w:pPr>
        <w:pStyle w:val="ListNumber"/>
        <w:keepLines w:val="0"/>
      </w:pPr>
      <w:r>
        <w:t>Source lineage and reproducibility</w:t>
      </w:r>
    </w:p>
    <w:p>
      <w:pPr>
        <w:pStyle w:val="ListNumber"/>
        <w:keepLines w:val="0"/>
      </w:pPr>
      <w:r>
        <w:t>Current truth with historical context</w:t>
      </w:r>
    </w:p>
    <w:p>
      <w:pPr>
        <w:pStyle w:val="ListNumber"/>
        <w:keepLines w:val="0"/>
      </w:pPr>
      <w:r>
        <w:t>Unknown remains unknown</w:t>
      </w:r>
    </w:p>
    <w:p>
      <w:pPr>
        <w:pStyle w:val="ListNumber"/>
        <w:keepLines w:val="0"/>
      </w:pPr>
      <w:r>
        <w:t>Fact separated from inference</w:t>
      </w:r>
    </w:p>
    <w:p>
      <w:pPr>
        <w:pStyle w:val="ListNumber"/>
        <w:keepLines w:val="0"/>
      </w:pPr>
      <w:r>
        <w:t>Minimum necessary data</w:t>
      </w:r>
    </w:p>
    <w:p>
      <w:pPr>
        <w:pStyle w:val="ListNumber"/>
        <w:keepLines w:val="0"/>
      </w:pPr>
      <w:r>
        <w:t>Statistical honesty and uncertainty</w:t>
      </w:r>
    </w:p>
    <w:p>
      <w:pPr>
        <w:pStyle w:val="ListNumber"/>
        <w:keepLines w:val="0"/>
      </w:pPr>
      <w:r>
        <w:t>Human authority for consequential decisions</w:t>
      </w:r>
    </w:p>
    <w:p>
      <w:pPr>
        <w:pStyle w:val="ListNumber"/>
        <w:keepLines w:val="0"/>
      </w:pPr>
      <w:r>
        <w:t>Explainability, challenge, correction, and retirement</w:t>
      </w:r>
    </w:p>
    <w:p>
      <w:pPr>
        <w:pStyle w:val="ListNumber"/>
        <w:keepLines w:val="0"/>
      </w:pPr>
      <w:r>
        <w:t>Cross-tenant privacy and anti-re-identification</w:t>
      </w:r>
    </w:p>
    <w:p>
      <w:pPr>
        <w:pStyle w:val="ListNumber"/>
        <w:keepLines w:val="0"/>
      </w:pPr>
      <w:r>
        <w:t>No metric without an accountable owner</w:t>
      </w:r>
    </w:p>
    <w:p>
      <w:pPr>
        <w:pStyle w:val="Heading1"/>
        <w:keepLines w:val="0"/>
      </w:pPr>
      <w:r>
        <w:t>Analytical Product Classes</w:t>
      </w:r>
    </w:p>
    <w:p>
      <w:pPr>
        <w:pStyle w:val="ListBullet"/>
        <w:keepLines w:val="0"/>
      </w:pPr>
      <w:r>
        <w:t>Operational status and exception views</w:t>
      </w:r>
    </w:p>
    <w:p>
      <w:pPr>
        <w:pStyle w:val="ListBullet"/>
        <w:keepLines w:val="0"/>
      </w:pPr>
      <w:r>
        <w:t>Descriptive metrics and historical trends</w:t>
      </w:r>
    </w:p>
    <w:p>
      <w:pPr>
        <w:pStyle w:val="ListBullet"/>
        <w:keepLines w:val="0"/>
      </w:pPr>
      <w:r>
        <w:t>Diagnostic comparisons and contributing-factor analysis</w:t>
      </w:r>
    </w:p>
    <w:p>
      <w:pPr>
        <w:pStyle w:val="ListBullet"/>
        <w:keepLines w:val="0"/>
      </w:pPr>
      <w:r>
        <w:t>Forecasts and scenario models</w:t>
      </w:r>
    </w:p>
    <w:p>
      <w:pPr>
        <w:pStyle w:val="ListBullet"/>
        <w:keepLines w:val="0"/>
      </w:pPr>
      <w:r>
        <w:t>Anomaly and missing-data detection</w:t>
      </w:r>
    </w:p>
    <w:p>
      <w:pPr>
        <w:pStyle w:val="ListBullet"/>
        <w:keepLines w:val="0"/>
      </w:pPr>
      <w:r>
        <w:t>Recommendations and prioritized worklists</w:t>
      </w:r>
    </w:p>
    <w:p>
      <w:pPr>
        <w:pStyle w:val="ListBullet"/>
        <w:keepLines w:val="0"/>
      </w:pPr>
      <w:r>
        <w:t>Certified reports and official KPIs</w:t>
      </w:r>
    </w:p>
    <w:p>
      <w:pPr>
        <w:pStyle w:val="ListBullet"/>
        <w:keepLines w:val="0"/>
      </w:pPr>
      <w:r>
        <w:t>Exploratory analysis and local metrics</w:t>
      </w:r>
    </w:p>
    <w:p>
      <w:pPr>
        <w:pStyle w:val="ListBullet"/>
        <w:keepLines w:val="0"/>
      </w:pPr>
      <w:r>
        <w:t>Cross-tenant benchmarks and research outputs</w:t>
      </w:r>
    </w:p>
    <w:p>
      <w:pPr>
        <w:pStyle w:val="ListBullet"/>
        <w:keepLines w:val="0"/>
      </w:pPr>
      <w:r>
        <w:t>AI-generated summaries and narrative explanations</w:t>
      </w:r>
    </w:p>
    <w:p>
      <w:pPr>
        <w:pStyle w:val="ListBullet"/>
        <w:keepLines w:val="0"/>
      </w:pPr>
      <w:r>
        <w:t>Public reports, marketplace signals, and external disclosures</w:t>
      </w:r>
    </w:p>
    <w:p>
      <w:pPr>
        <w:keepLines w:val="0"/>
        <w:spacing w:after="100"/>
      </w:pPr>
      <w:r>
        <w:t>Every product must declare its class because validation, certification, privacy, review, and permitted use vary by risk.</w:t>
      </w:r>
    </w:p>
    <w:p>
      <w:pPr>
        <w:pStyle w:val="Heading1"/>
        <w:keepLines w:val="0"/>
      </w:pPr>
      <w:r>
        <w:t>Risk Classification</w:t>
      </w:r>
    </w:p>
    <w:p>
      <w:pPr>
        <w:pStyle w:val="Heading2"/>
        <w:keepLines w:val="0"/>
      </w:pPr>
      <w:r>
        <w:t>Lower Risk</w:t>
      </w:r>
    </w:p>
    <w:p>
      <w:pPr>
        <w:pStyle w:val="ListBullet"/>
        <w:keepLines w:val="0"/>
      </w:pPr>
      <w:r>
        <w:t>Personal or local operational summaries</w:t>
      </w:r>
    </w:p>
    <w:p>
      <w:pPr>
        <w:pStyle w:val="ListBullet"/>
        <w:keepLines w:val="0"/>
      </w:pPr>
      <w:r>
        <w:t>Simple counts and non-sensitive trends</w:t>
      </w:r>
    </w:p>
    <w:p>
      <w:pPr>
        <w:pStyle w:val="ListBullet"/>
        <w:keepLines w:val="0"/>
      </w:pPr>
      <w:r>
        <w:t>User-configured exploratory views with clear limitations</w:t>
      </w:r>
    </w:p>
    <w:p>
      <w:pPr>
        <w:pStyle w:val="Heading2"/>
        <w:keepLines w:val="0"/>
      </w:pPr>
      <w:r>
        <w:t>Moderate Risk</w:t>
      </w:r>
    </w:p>
    <w:p>
      <w:pPr>
        <w:pStyle w:val="ListBullet"/>
        <w:keepLines w:val="0"/>
      </w:pPr>
      <w:r>
        <w:t>Business KPIs</w:t>
      </w:r>
    </w:p>
    <w:p>
      <w:pPr>
        <w:pStyle w:val="ListBullet"/>
        <w:keepLines w:val="0"/>
      </w:pPr>
      <w:r>
        <w:t>Staffing, capacity, revenue, utilization, and retention analysis</w:t>
      </w:r>
    </w:p>
    <w:p>
      <w:pPr>
        <w:pStyle w:val="ListBullet"/>
        <w:keepLines w:val="0"/>
      </w:pPr>
      <w:r>
        <w:t>Horse workload or care-pattern summaries</w:t>
      </w:r>
    </w:p>
    <w:p>
      <w:pPr>
        <w:pStyle w:val="ListBullet"/>
        <w:keepLines w:val="0"/>
      </w:pPr>
      <w:r>
        <w:t>Cross-team comparisons</w:t>
      </w:r>
    </w:p>
    <w:p>
      <w:pPr>
        <w:pStyle w:val="Heading2"/>
        <w:keepLines w:val="0"/>
      </w:pPr>
      <w:r>
        <w:t>High Risk</w:t>
      </w:r>
    </w:p>
    <w:p>
      <w:pPr>
        <w:pStyle w:val="ListBullet"/>
        <w:keepLines w:val="0"/>
      </w:pPr>
      <w:r>
        <w:t>Medical, welfare, safeguarding, minor, financial, employment, insurance, ownership, disciplinary, public ranking, or cross-tenant analytical products</w:t>
      </w:r>
    </w:p>
    <w:p>
      <w:pPr>
        <w:pStyle w:val="ListBullet"/>
        <w:keepLines w:val="0"/>
      </w:pPr>
      <w:r>
        <w:t>Scores, forecasts, recommendations, or anomaly alerts likely to influence consequential decisions</w:t>
      </w:r>
    </w:p>
    <w:p>
      <w:pPr>
        <w:keepLines w:val="0"/>
        <w:spacing w:after="100"/>
      </w:pPr>
      <w:r>
        <w:t>Risk determines required validation, human review, privacy controls, challenge rights, monitoring, and release authority.</w:t>
      </w:r>
    </w:p>
    <w:p>
      <w:pPr>
        <w:pStyle w:val="Heading1"/>
        <w:keepLines w:val="0"/>
      </w:pPr>
      <w:r>
        <w:t>Metric Definition Record</w:t>
      </w:r>
    </w:p>
    <w:p>
      <w:pPr>
        <w:keepLines w:val="0"/>
        <w:spacing w:after="100"/>
      </w:pPr>
      <w:r>
        <w:t>Every reusable metric must have a governed Metric Definition Record containing:</w:t>
      </w:r>
    </w:p>
    <w:p>
      <w:pPr>
        <w:pStyle w:val="ListBullet"/>
        <w:keepLines w:val="0"/>
      </w:pPr>
      <w:r>
        <w:t>Canonical name and stable identifier</w:t>
      </w:r>
    </w:p>
    <w:p>
      <w:pPr>
        <w:pStyle w:val="ListBullet"/>
        <w:keepLines w:val="0"/>
      </w:pPr>
      <w:r>
        <w:t>Purpose and prohibited uses</w:t>
      </w:r>
    </w:p>
    <w:p>
      <w:pPr>
        <w:pStyle w:val="ListBullet"/>
        <w:keepLines w:val="0"/>
      </w:pPr>
      <w:r>
        <w:t>Owner, steward, approver, and consumers</w:t>
      </w:r>
    </w:p>
    <w:p>
      <w:pPr>
        <w:pStyle w:val="ListBullet"/>
        <w:keepLines w:val="0"/>
      </w:pPr>
      <w:r>
        <w:t>Population, grain, entity, and eligibility rules</w:t>
      </w:r>
    </w:p>
    <w:p>
      <w:pPr>
        <w:pStyle w:val="ListBullet"/>
        <w:keepLines w:val="0"/>
      </w:pPr>
      <w:r>
        <w:t>Numerator, denominator, units, and formula</w:t>
      </w:r>
    </w:p>
    <w:p>
      <w:pPr>
        <w:pStyle w:val="ListBullet"/>
        <w:keepLines w:val="0"/>
      </w:pPr>
      <w:r>
        <w:t>Source systems, fields, transformations, and lineage</w:t>
      </w:r>
    </w:p>
    <w:p>
      <w:pPr>
        <w:pStyle w:val="ListBullet"/>
        <w:keepLines w:val="0"/>
      </w:pPr>
      <w:r>
        <w:t>Event-time and effective-time semantics</w:t>
      </w:r>
    </w:p>
    <w:p>
      <w:pPr>
        <w:pStyle w:val="ListBullet"/>
        <w:keepLines w:val="0"/>
      </w:pPr>
      <w:r>
        <w:t>Time zone, calendar, window, and late-arriving-data rules</w:t>
      </w:r>
    </w:p>
    <w:p>
      <w:pPr>
        <w:pStyle w:val="ListBullet"/>
        <w:keepLines w:val="0"/>
      </w:pPr>
      <w:r>
        <w:t>Missing, duplicate, disputed, corrected, and superseded-data treatment</w:t>
      </w:r>
    </w:p>
    <w:p>
      <w:pPr>
        <w:pStyle w:val="ListBullet"/>
        <w:keepLines w:val="0"/>
      </w:pPr>
      <w:r>
        <w:t>Permission, sensitivity, aggregation, and small-cell rules</w:t>
      </w:r>
    </w:p>
    <w:p>
      <w:pPr>
        <w:pStyle w:val="ListBullet"/>
        <w:keepLines w:val="0"/>
      </w:pPr>
      <w:r>
        <w:t>Version, effective date, comparability, and backfill behavior</w:t>
      </w:r>
    </w:p>
    <w:p>
      <w:pPr>
        <w:pStyle w:val="ListBullet"/>
        <w:keepLines w:val="0"/>
      </w:pPr>
      <w:r>
        <w:t>Validation tests, thresholds, known limitations, and monitoring</w:t>
      </w:r>
    </w:p>
    <w:p>
      <w:pPr>
        <w:pStyle w:val="ListBullet"/>
        <w:keepLines w:val="0"/>
      </w:pPr>
      <w:r>
        <w:t>Certification status and retirement plan</w:t>
      </w:r>
    </w:p>
    <w:p>
      <w:pPr>
        <w:keepLines w:val="0"/>
        <w:spacing w:after="100"/>
      </w:pPr>
      <w:r>
        <w:t>Two metrics with different definitions must not share the same label merely because they appear similar.</w:t>
      </w:r>
    </w:p>
    <w:p>
      <w:pPr>
        <w:pStyle w:val="Heading1"/>
        <w:keepLines w:val="0"/>
      </w:pPr>
      <w:r>
        <w:t>Time and Historical Semantics</w:t>
      </w:r>
    </w:p>
    <w:p>
      <w:pPr>
        <w:pStyle w:val="ListBullet"/>
        <w:keepLines w:val="0"/>
      </w:pPr>
      <w:r>
        <w:t>Analytics must distinguish event time, effective time, recorded time, synchronized time, correction time, and report-generation time.</w:t>
      </w:r>
    </w:p>
    <w:p>
      <w:pPr>
        <w:pStyle w:val="ListBullet"/>
        <w:keepLines w:val="0"/>
      </w:pPr>
      <w:r>
        <w:t>Restatement policies must define whether historical reports change after late data, corrections, disputes, or source replacement.</w:t>
      </w:r>
    </w:p>
    <w:p>
      <w:pPr>
        <w:pStyle w:val="ListBullet"/>
        <w:keepLines w:val="0"/>
      </w:pPr>
      <w:r>
        <w:t>Snapshot, period-to-date, rolling-window, cohort, and lifetime measures must be clearly labeled.</w:t>
      </w:r>
    </w:p>
    <w:p>
      <w:pPr>
        <w:pStyle w:val="ListBullet"/>
        <w:keepLines w:val="0"/>
      </w:pPr>
      <w:r>
        <w:t>Time zones, daylight saving changes, barn days, business days, and competition dates require explicit handling.</w:t>
      </w:r>
    </w:p>
    <w:p>
      <w:pPr>
        <w:pStyle w:val="ListBullet"/>
        <w:keepLines w:val="0"/>
      </w:pPr>
      <w:r>
        <w:t>Comparisons across periods must disclose material definition, population, coverage, or system changes.</w:t>
      </w:r>
    </w:p>
    <w:p>
      <w:pPr>
        <w:pStyle w:val="Heading1"/>
        <w:keepLines w:val="0"/>
      </w:pPr>
      <w:r>
        <w:t>Data Quality, Conflict, and Missingness</w:t>
      </w:r>
    </w:p>
    <w:p>
      <w:pPr>
        <w:pStyle w:val="ListBullet"/>
        <w:keepLines w:val="0"/>
      </w:pPr>
      <w:r>
        <w:t>Quality dimensions include completeness, validity, consistency, uniqueness, timeliness, provenance, and representativeness.</w:t>
      </w:r>
    </w:p>
    <w:p>
      <w:pPr>
        <w:pStyle w:val="ListBullet"/>
        <w:keepLines w:val="0"/>
      </w:pPr>
      <w:r>
        <w:t>Conflicting records must be annotated, not silently averaged or overwritten.</w:t>
      </w:r>
    </w:p>
    <w:p>
      <w:pPr>
        <w:pStyle w:val="ListBullet"/>
        <w:keepLines w:val="0"/>
      </w:pPr>
      <w:r>
        <w:t>Where sources conflict, the product should identify the sources, freshness, verification, and plausible reasons without inventing a resolution.</w:t>
      </w:r>
    </w:p>
    <w:p>
      <w:pPr>
        <w:pStyle w:val="ListBullet"/>
        <w:keepLines w:val="0"/>
      </w:pPr>
      <w:r>
        <w:t>Missingness must not be interpreted as zero, non-occurrence, compliance, safety, or absence of concern unless the source semantics justify it.</w:t>
      </w:r>
    </w:p>
    <w:p>
      <w:pPr>
        <w:pStyle w:val="ListBullet"/>
        <w:keepLines w:val="0"/>
      </w:pPr>
      <w:r>
        <w:t>Data-quality thresholds and coverage should accompany analytical conclusions where they materially affect interpretation.</w:t>
      </w:r>
    </w:p>
    <w:p>
      <w:pPr>
        <w:pStyle w:val="ListBullet"/>
        <w:keepLines w:val="0"/>
      </w:pPr>
      <w:r>
        <w:t>AI-generated or extracted data must retain confidence, source, and human-review status.</w:t>
      </w:r>
    </w:p>
    <w:p>
      <w:pPr>
        <w:pStyle w:val="Heading1"/>
        <w:keepLines w:val="0"/>
      </w:pPr>
      <w:r>
        <w:t>Cohorts, Aggregation, and Privacy</w:t>
      </w:r>
    </w:p>
    <w:p>
      <w:pPr>
        <w:pStyle w:val="ListBullet"/>
        <w:keepLines w:val="0"/>
      </w:pPr>
      <w:r>
        <w:t>Cohorts must be relevant to the analytical question and must not be manipulated to produce a desired result.</w:t>
      </w:r>
    </w:p>
    <w:p>
      <w:pPr>
        <w:pStyle w:val="ListBullet"/>
        <w:keepLines w:val="0"/>
      </w:pPr>
      <w:r>
        <w:t>Cross-tenant analysis requires approved purpose, data minimization, de-identification, minimum-cell thresholds, suppression, and anti-re-identification controls.</w:t>
      </w:r>
    </w:p>
    <w:p>
      <w:pPr>
        <w:pStyle w:val="ListBullet"/>
        <w:keepLines w:val="0"/>
      </w:pPr>
      <w:r>
        <w:t>Sensitive cohorts involving minors, medical information, safeguarding, disputes, rare conditions, or precise locations require heightened review.</w:t>
      </w:r>
    </w:p>
    <w:p>
      <w:pPr>
        <w:pStyle w:val="ListBullet"/>
        <w:keepLines w:val="0"/>
      </w:pPr>
      <w:r>
        <w:t>Drill-down must never reveal records the viewer could not otherwise access.</w:t>
      </w:r>
    </w:p>
    <w:p>
      <w:pPr>
        <w:pStyle w:val="ListBullet"/>
        <w:keepLines w:val="0"/>
      </w:pPr>
      <w:r>
        <w:t>Exports, screenshots, email delivery, and scheduled reports must preserve the same permission and privacy boundaries as the interactive view.</w:t>
      </w:r>
    </w:p>
    <w:p>
      <w:pPr>
        <w:pStyle w:val="Heading1"/>
        <w:keepLines w:val="0"/>
      </w:pPr>
      <w:r>
        <w:t>Scores, Indices, Rankings, and Benchmarks</w:t>
      </w:r>
    </w:p>
    <w:p>
      <w:pPr>
        <w:pStyle w:val="ListBullet"/>
        <w:keepLines w:val="0"/>
      </w:pPr>
      <w:r>
        <w:t>Scores require component definitions, weighting rationale, calibration, uncertainty, sensitivity analysis, and clear prohibited uses.</w:t>
      </w:r>
    </w:p>
    <w:p>
      <w:pPr>
        <w:pStyle w:val="ListBullet"/>
        <w:keepLines w:val="0"/>
      </w:pPr>
      <w:r>
        <w:t>Rankings require fairness review, tie treatment, population stability, gaming resistance, and transparency about paid influence.</w:t>
      </w:r>
    </w:p>
    <w:p>
      <w:pPr>
        <w:pStyle w:val="ListBullet"/>
        <w:keepLines w:val="0"/>
      </w:pPr>
      <w:r>
        <w:t>Benchmarks require comparability, adequate sample size, normalization, and protection against re-identification.</w:t>
      </w:r>
    </w:p>
    <w:p>
      <w:pPr>
        <w:pStyle w:val="ListBullet"/>
        <w:keepLines w:val="0"/>
      </w:pPr>
      <w:r>
        <w:t>No opaque score may determine horse value, rider ability, staff quality, provider competence, facility safety, medical status, welfare, ownership, insurance, or access.</w:t>
      </w:r>
    </w:p>
    <w:p>
      <w:pPr>
        <w:pStyle w:val="ListBullet"/>
        <w:keepLines w:val="0"/>
      </w:pPr>
      <w:r>
        <w:t>Users must be able to understand the major factors and challenge underlying data where the output is consequential.</w:t>
      </w:r>
    </w:p>
    <w:p>
      <w:pPr>
        <w:pStyle w:val="Heading1"/>
        <w:keepLines w:val="0"/>
      </w:pPr>
      <w:r>
        <w:t>Forecasts, Anomalies, and Recommendations</w:t>
      </w:r>
    </w:p>
    <w:p>
      <w:pPr>
        <w:pStyle w:val="ListBullet"/>
        <w:keepLines w:val="0"/>
      </w:pPr>
      <w:r>
        <w:t>Forecasts must state horizon, assumptions, confidence or uncertainty, data coverage, and known failure conditions.</w:t>
      </w:r>
    </w:p>
    <w:p>
      <w:pPr>
        <w:pStyle w:val="ListBullet"/>
        <w:keepLines w:val="0"/>
      </w:pPr>
      <w:r>
        <w:t>Anomalies indicate deviation from a model or baseline, not wrongdoing, illness, danger, or causation.</w:t>
      </w:r>
    </w:p>
    <w:p>
      <w:pPr>
        <w:pStyle w:val="ListBullet"/>
        <w:keepLines w:val="0"/>
      </w:pPr>
      <w:r>
        <w:t>Recommendations must distinguish evidence, inference, options, tradeoffs, and required human review.</w:t>
      </w:r>
    </w:p>
    <w:p>
      <w:pPr>
        <w:pStyle w:val="ListBullet"/>
        <w:keepLines w:val="0"/>
      </w:pPr>
      <w:r>
        <w:t>Model drift, seasonality, changed operations, data-collection shifts, and sparse histories must be monitored.</w:t>
      </w:r>
    </w:p>
    <w:p>
      <w:pPr>
        <w:pStyle w:val="ListBullet"/>
        <w:keepLines w:val="0"/>
      </w:pPr>
      <w:r>
        <w:t>No automated recommendation may silently mutate authoritative records, move money, change permissions, send consequential communications, or make final medical, welfare, legal, financial, employment, safeguarding, or ownership decisions.</w:t>
      </w:r>
    </w:p>
    <w:p>
      <w:pPr>
        <w:pStyle w:val="Heading1"/>
        <w:keepLines w:val="0"/>
      </w:pPr>
      <w:r>
        <w:t>Official KPIs, Local Metrics, and Certification</w:t>
      </w:r>
    </w:p>
    <w:p>
      <w:pPr>
        <w:pStyle w:val="ListBullet"/>
        <w:keepLines w:val="0"/>
      </w:pPr>
      <w:r>
        <w:t>Official KPIs require a constitutional owner, approved definition, versioning, lineage, validation, and controlled publication.</w:t>
      </w:r>
    </w:p>
    <w:p>
      <w:pPr>
        <w:pStyle w:val="ListBullet"/>
        <w:keepLines w:val="0"/>
      </w:pPr>
      <w:r>
        <w:t>Local or user-defined metrics must be labeled as local and may not be presented as official EquineSync measures.</w:t>
      </w:r>
    </w:p>
    <w:p>
      <w:pPr>
        <w:pStyle w:val="ListBullet"/>
        <w:keepLines w:val="0"/>
      </w:pPr>
      <w:r>
        <w:t>Certified reports must show certification status, as-of time, scope, version, and correction status.</w:t>
      </w:r>
    </w:p>
    <w:p>
      <w:pPr>
        <w:pStyle w:val="ListBullet"/>
        <w:keepLines w:val="0"/>
      </w:pPr>
      <w:r>
        <w:t>Draft, exploratory, estimated, and unverified outputs must not visually imitate certified reports.</w:t>
      </w:r>
    </w:p>
    <w:p>
      <w:pPr>
        <w:pStyle w:val="ListBullet"/>
        <w:keepLines w:val="0"/>
      </w:pPr>
      <w:r>
        <w:t>Changes to official KPIs require impact analysis, backfill or non-comparability decisions, communication, and release governance.</w:t>
      </w:r>
    </w:p>
    <w:p>
      <w:pPr>
        <w:pStyle w:val="Heading1"/>
        <w:keepLines w:val="0"/>
      </w:pPr>
      <w:r>
        <w:t>Validation, Monitoring, Correction, and Retirement</w:t>
      </w:r>
    </w:p>
    <w:p>
      <w:pPr>
        <w:pStyle w:val="Heading2"/>
        <w:keepLines w:val="0"/>
      </w:pPr>
      <w:r>
        <w:t>Pre-Release Validation</w:t>
      </w:r>
    </w:p>
    <w:p>
      <w:pPr>
        <w:pStyle w:val="ListBullet"/>
        <w:keepLines w:val="0"/>
      </w:pPr>
      <w:r>
        <w:t>Formula and transformation tests</w:t>
      </w:r>
    </w:p>
    <w:p>
      <w:pPr>
        <w:pStyle w:val="ListBullet"/>
        <w:keepLines w:val="0"/>
      </w:pPr>
      <w:r>
        <w:t>Permission and unauthorized-access tests</w:t>
      </w:r>
    </w:p>
    <w:p>
      <w:pPr>
        <w:pStyle w:val="ListBullet"/>
        <w:keepLines w:val="0"/>
      </w:pPr>
      <w:r>
        <w:t>Edge cases, missingness, late data, duplicates, and corrections</w:t>
      </w:r>
    </w:p>
    <w:p>
      <w:pPr>
        <w:pStyle w:val="ListBullet"/>
        <w:keepLines w:val="0"/>
      </w:pPr>
      <w:r>
        <w:t>Statistical validation and subgroup review</w:t>
      </w:r>
    </w:p>
    <w:p>
      <w:pPr>
        <w:pStyle w:val="ListBullet"/>
        <w:keepLines w:val="0"/>
      </w:pPr>
      <w:r>
        <w:t>Mobile, accessibility, export, and delivery checks</w:t>
      </w:r>
    </w:p>
    <w:p>
      <w:pPr>
        <w:pStyle w:val="ListBullet"/>
        <w:keepLines w:val="0"/>
      </w:pPr>
      <w:r>
        <w:t>Human review for high-risk products</w:t>
      </w:r>
    </w:p>
    <w:p>
      <w:pPr>
        <w:pStyle w:val="ListBullet"/>
        <w:keepLines w:val="0"/>
      </w:pPr>
      <w:r>
        <w:t>Documentation and support readiness</w:t>
      </w:r>
    </w:p>
    <w:p>
      <w:pPr>
        <w:pStyle w:val="Heading2"/>
        <w:keepLines w:val="0"/>
      </w:pPr>
      <w:r>
        <w:t>Post-Release Monitoring</w:t>
      </w:r>
    </w:p>
    <w:p>
      <w:pPr>
        <w:pStyle w:val="ListBullet"/>
        <w:keepLines w:val="0"/>
      </w:pPr>
      <w:r>
        <w:t>Data freshness and pipeline health</w:t>
      </w:r>
    </w:p>
    <w:p>
      <w:pPr>
        <w:pStyle w:val="ListBullet"/>
        <w:keepLines w:val="0"/>
      </w:pPr>
      <w:r>
        <w:t>Unexpected distribution or coverage changes</w:t>
      </w:r>
    </w:p>
    <w:p>
      <w:pPr>
        <w:pStyle w:val="ListBullet"/>
        <w:keepLines w:val="0"/>
      </w:pPr>
      <w:r>
        <w:t>Model drift and false-positive rates</w:t>
      </w:r>
    </w:p>
    <w:p>
      <w:pPr>
        <w:pStyle w:val="ListBullet"/>
        <w:keepLines w:val="0"/>
      </w:pPr>
      <w:r>
        <w:t>Privacy leakage and small-cell risk</w:t>
      </w:r>
    </w:p>
    <w:p>
      <w:pPr>
        <w:pStyle w:val="ListBullet"/>
        <w:keepLines w:val="0"/>
      </w:pPr>
      <w:r>
        <w:t>User challenge, complaint, and override patterns</w:t>
      </w:r>
    </w:p>
    <w:p>
      <w:pPr>
        <w:pStyle w:val="ListBullet"/>
        <w:keepLines w:val="0"/>
      </w:pPr>
      <w:r>
        <w:t>Performance, delivery, and export failures</w:t>
      </w:r>
    </w:p>
    <w:p>
      <w:pPr>
        <w:pStyle w:val="Heading2"/>
        <w:keepLines w:val="0"/>
      </w:pPr>
      <w:r>
        <w:t>Correction and Retirement</w:t>
      </w:r>
    </w:p>
    <w:p>
      <w:pPr>
        <w:pStyle w:val="ListBullet"/>
        <w:keepLines w:val="0"/>
      </w:pPr>
      <w:r>
        <w:t>Material analytical errors require correction, withdrawal, notification, and evidence preservation.</w:t>
      </w:r>
    </w:p>
    <w:p>
      <w:pPr>
        <w:pStyle w:val="ListBullet"/>
        <w:keepLines w:val="0"/>
      </w:pPr>
      <w:r>
        <w:t>Retired metrics must retain definition history and prevent silent reuse of the old label.</w:t>
      </w:r>
    </w:p>
    <w:p>
      <w:pPr>
        <w:pStyle w:val="ListBullet"/>
        <w:keepLines w:val="0"/>
      </w:pPr>
      <w:r>
        <w:t>Reports used in disputes, legal matters, financial decisions, or incidents may require hold and historical reproducibility.</w:t>
      </w:r>
    </w:p>
    <w:p>
      <w:pPr>
        <w:pStyle w:val="Heading1"/>
        <w:keepLines w:val="0"/>
      </w:pPr>
      <w:r>
        <w:t>Analytical Product Acceptance Gate</w:t>
      </w:r>
    </w:p>
    <w:p>
      <w:pPr>
        <w:pStyle w:val="ListNumber"/>
        <w:keepLines w:val="0"/>
      </w:pPr>
      <w:r>
        <w:t>Purpose and prohibited uses approved</w:t>
      </w:r>
    </w:p>
    <w:p>
      <w:pPr>
        <w:pStyle w:val="ListNumber"/>
        <w:keepLines w:val="0"/>
      </w:pPr>
      <w:r>
        <w:t>Audience, permissions, and sensitivity classified</w:t>
      </w:r>
    </w:p>
    <w:p>
      <w:pPr>
        <w:pStyle w:val="ListNumber"/>
        <w:keepLines w:val="0"/>
      </w:pPr>
      <w:r>
        <w:t>Metric definitions and lineage complete</w:t>
      </w:r>
    </w:p>
    <w:p>
      <w:pPr>
        <w:pStyle w:val="ListNumber"/>
        <w:keepLines w:val="0"/>
      </w:pPr>
      <w:r>
        <w:t>Time, missingness, correction, and conflict rules documented</w:t>
      </w:r>
    </w:p>
    <w:p>
      <w:pPr>
        <w:pStyle w:val="ListNumber"/>
        <w:keepLines w:val="0"/>
      </w:pPr>
      <w:r>
        <w:t>Statistical and privacy review completed at the required risk tier</w:t>
      </w:r>
    </w:p>
    <w:p>
      <w:pPr>
        <w:pStyle w:val="ListNumber"/>
        <w:keepLines w:val="0"/>
      </w:pPr>
      <w:r>
        <w:t>UI explains scope, uncertainty, and required action</w:t>
      </w:r>
    </w:p>
    <w:p>
      <w:pPr>
        <w:pStyle w:val="ListNumber"/>
        <w:keepLines w:val="0"/>
      </w:pPr>
      <w:r>
        <w:t>Mobile, accessibility, export, and delivery validated</w:t>
      </w:r>
    </w:p>
    <w:p>
      <w:pPr>
        <w:pStyle w:val="ListNumber"/>
        <w:keepLines w:val="0"/>
      </w:pPr>
      <w:r>
        <w:t>Audit, monitoring, challenge, correction, and retirement paths established</w:t>
      </w:r>
    </w:p>
    <w:p>
      <w:pPr>
        <w:pStyle w:val="ListNumber"/>
        <w:keepLines w:val="0"/>
      </w:pPr>
      <w:r>
        <w:t>Founder or delegated approval obtained where required</w:t>
      </w:r>
    </w:p>
    <w:p>
      <w:pPr>
        <w:pStyle w:val="Heading1"/>
        <w:keepLines w:val="0"/>
      </w:pPr>
      <w:r>
        <w:t>Cross-Canon Interpretation</w:t>
      </w:r>
    </w:p>
    <w:p>
      <w:pPr>
        <w:keepLines w:val="0"/>
        <w:spacing w:after="100"/>
      </w:pPr>
      <w:r>
        <w:t>This document must be interpreted consistently with the approved EquineSync Product Vision and controlling specialized canon. It owns the domain-level constitutional rules identified here, but it does not displace Identity, Relationship, Permission, Privacy, Record Stewardship, Claims, Audit, Communications, Financial Truth, AI, Reporting, Search, Integration, Resilience, or other specialized constitutional owners.</w:t>
      </w:r>
    </w:p>
    <w:p>
      <w:pPr>
        <w:pStyle w:val="ListBullet"/>
        <w:keepLines w:val="0"/>
      </w:pPr>
      <w:r>
        <w:t>Lower-order specifications may add implementation detail but may not contradict this model.</w:t>
      </w:r>
    </w:p>
    <w:p>
      <w:pPr>
        <w:pStyle w:val="ListBullet"/>
        <w:keepLines w:val="0"/>
      </w:pPr>
      <w:r>
        <w:t>Where two documents appear inconsistent, the conflict must be entered into controlled reconciliation rather than resolved through local implementation preference.</w:t>
      </w:r>
    </w:p>
    <w:p>
      <w:pPr>
        <w:pStyle w:val="ListBullet"/>
        <w:keepLines w:val="0"/>
      </w:pPr>
      <w:r>
        <w:t>Version references must be maintained through the Canon Catalog and traceability register.</w:t>
      </w:r>
    </w:p>
    <w:p>
      <w:pPr>
        <w:pStyle w:val="ListBullet"/>
        <w:keepLines w:val="0"/>
      </w:pPr>
      <w:r>
        <w:t>No UI label, database table, vendor object, or integration payload may redefine a constitutional concept.</w:t>
      </w:r>
    </w:p>
    <w:p>
      <w:pPr>
        <w:pStyle w:val="Heading1"/>
        <w:keepLines w:val="0"/>
      </w:pPr>
      <w:r>
        <w:t>Authority Boundary</w:t>
      </w:r>
    </w:p>
    <w:p>
      <w:pPr>
        <w:keepLines w:val="0"/>
        <w:spacing w:after="100"/>
      </w:pPr>
      <w:r>
        <w:t>This successor candidate does not authorize canon adoption, canon lock, implementation, schema mutation, migration, permission expansion, external-processor activation, production access, AI activation, destructive action, public launch, or public compliance claims. Each requires separate authority under the applicable governance process.</w:t>
      </w:r>
    </w:p>
    <w:p>
      <w:pPr>
        <w:pStyle w:val="Heading1"/>
        <w:keepLines w:val="0"/>
      </w:pPr>
      <w:r>
        <w:t>Successor Review Disposition</w:t>
      </w:r>
    </w:p>
    <w:p>
      <w:pPr>
        <w:keepLines w:val="0"/>
        <w:spacing w:after="100"/>
      </w:pPr>
      <w:r>
        <w:t>The document is recommended for founder review as an expanded controlled successor candidate. Creation, rendering, or delivery does not constitute approval, adoption, or lock.</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5C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