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jc w:val="center"/>
      </w:pPr>
      <w:r>
        <w:t>MASTER ECOSYSTEM MODEL</w:t>
      </w:r>
    </w:p>
    <w:p>
      <w:pPr>
        <w:keepLines w:val="0"/>
        <w:jc w:val="center"/>
      </w:pPr>
      <w:r>
        <w:rPr>
          <w:b/>
          <w:color w:val="355C7D"/>
        </w:rPr>
        <w:t>Version 2.1 | Controlled Successor Candidate</w:t>
      </w:r>
    </w:p>
    <w:tbl>
      <w:tblPr>
        <w:tblStyle w:val="TableGrid"/>
        <w:tblW w:type="auto" w:w="0"/>
        <w:jc w:val="center"/>
        <w:tblLook w:firstColumn="1" w:firstRow="1" w:lastColumn="0" w:lastRow="0" w:noHBand="0" w:noVBand="1" w:val="04A0"/>
      </w:tblPr>
      <w:tblGrid>
        <w:gridCol w:w="4997"/>
        <w:gridCol w:w="4997"/>
      </w:tblGrid>
      <w:tr>
        <w:tc>
          <w:tcPr>
            <w:tcW w:type="dxa" w:w="4997"/>
            <w:shd w:fill="D9E2F3"/>
            <w:vAlign w:val="center"/>
          </w:tcPr>
          <w:p>
            <w:r>
              <w:t>Status</w:t>
            </w:r>
          </w:p>
        </w:tc>
        <w:tc>
          <w:tcPr>
            <w:tcW w:type="dxa" w:w="4997"/>
            <w:vAlign w:val="center"/>
          </w:tcPr>
          <w:p>
            <w:r>
              <w:t>CONTROLLED SUCCESSOR CANDIDATE - NOT ADOPTED - NO IMPLEMENTATION AUTHORITY</w:t>
            </w:r>
          </w:p>
        </w:tc>
      </w:tr>
      <w:tr>
        <w:tc>
          <w:tcPr>
            <w:tcW w:type="dxa" w:w="4997"/>
            <w:shd w:fill="D9E2F3"/>
            <w:vAlign w:val="center"/>
          </w:tcPr>
          <w:p>
            <w:r>
              <w:t>Source posture</w:t>
            </w:r>
          </w:p>
        </w:tc>
        <w:tc>
          <w:tcPr>
            <w:tcW w:type="dxa" w:w="4997"/>
            <w:vAlign w:val="center"/>
          </w:tcPr>
          <w:p>
            <w:r>
              <w:t>Founder Canon Version 2.0 located; expanded against the approved Product Vision V2.1 and later specialized canon</w:t>
            </w:r>
          </w:p>
        </w:tc>
      </w:tr>
      <w:tr>
        <w:tc>
          <w:tcPr>
            <w:tcW w:type="dxa" w:w="4997"/>
            <w:shd w:fill="D9E2F3"/>
            <w:vAlign w:val="center"/>
          </w:tcPr>
          <w:p>
            <w:r>
              <w:t>Implementation authority</w:t>
            </w:r>
          </w:p>
        </w:tc>
        <w:tc>
          <w:tcPr>
            <w:tcW w:type="dxa" w:w="4997"/>
            <w:vAlign w:val="center"/>
          </w:tcPr>
          <w:p>
            <w:r>
              <w:t>FALSE</w:t>
            </w:r>
          </w:p>
        </w:tc>
      </w:tr>
      <w:tr>
        <w:tc>
          <w:tcPr>
            <w:tcW w:type="dxa" w:w="4997"/>
            <w:shd w:fill="D9E2F3"/>
            <w:vAlign w:val="center"/>
          </w:tcPr>
          <w:p>
            <w:r>
              <w:t>Production authority</w:t>
            </w:r>
          </w:p>
        </w:tc>
        <w:tc>
          <w:tcPr>
            <w:tcW w:type="dxa" w:w="4997"/>
            <w:vAlign w:val="center"/>
          </w:tcPr>
          <w:p>
            <w:r>
              <w:t>FALSE</w:t>
            </w:r>
          </w:p>
        </w:tc>
      </w:tr>
      <w:tr>
        <w:tc>
          <w:tcPr>
            <w:tcW w:type="dxa" w:w="4997"/>
            <w:shd w:fill="D9E2F3"/>
            <w:vAlign w:val="center"/>
          </w:tcPr>
          <w:p>
            <w:r>
              <w:t>Review posture</w:t>
            </w:r>
          </w:p>
        </w:tc>
        <w:tc>
          <w:tcPr>
            <w:tcW w:type="dxa" w:w="4997"/>
            <w:vAlign w:val="center"/>
          </w:tcPr>
          <w:p>
            <w:r>
              <w:t>Expanded cross-canon review draft; founder approval required</w:t>
            </w:r>
          </w:p>
        </w:tc>
      </w:tr>
    </w:tbl>
    <w:p>
      <w:pPr>
        <w:keepLines w:val="0"/>
      </w:pPr>
    </w:p>
    <w:p>
      <w:pPr>
        <w:pStyle w:val="Heading1"/>
        <w:keepLines w:val="0"/>
      </w:pPr>
      <w:r>
        <w:t>Purpose and Constitutional Function</w:t>
      </w:r>
    </w:p>
    <w:p>
      <w:pPr>
        <w:keepLines w:val="0"/>
        <w:spacing w:after="100"/>
      </w:pPr>
      <w:r>
        <w:t>This Model defines the durable architecture of the EquineSync ecosystem: the first-class entities that may exist, the relationships that connect them, the sources of authority that govern them, and the rules by which records, work, money, communication, analytics, automation, and external systems interact.</w:t>
      </w:r>
    </w:p>
    <w:p>
      <w:pPr>
        <w:keepLines w:val="0"/>
        <w:spacing w:after="100"/>
      </w:pPr>
      <w:r>
        <w:t>It is the bridge between the Product Vision and specialized constitutional models. It does not prescribe tables, routes, screens, or vendor choices. It establishes the conceptual skeleton that prevents the platform from becoming a collection of disconnected modules.</w:t>
      </w:r>
    </w:p>
    <w:p>
      <w:pPr>
        <w:keepLines w:val="0"/>
        <w:ind w:left="432" w:right="432"/>
      </w:pPr>
      <w:r>
        <w:rPr>
          <w:i/>
          <w:color w:val="5A636E"/>
        </w:rPr>
        <w:t>One ecosystem, many contexts, one governed truth model.</w:t>
      </w:r>
    </w:p>
    <w:p>
      <w:pPr>
        <w:pStyle w:val="Heading1"/>
        <w:keepLines w:val="0"/>
      </w:pPr>
      <w:r>
        <w:t>Ecosystem Thesis</w:t>
      </w:r>
    </w:p>
    <w:p>
      <w:pPr>
        <w:keepLines w:val="0"/>
        <w:spacing w:after="100"/>
      </w:pPr>
      <w:r>
        <w:t>EquineSync is a horse-centered, relationship-aware, permission-governed operating ecosystem. The horse is the enduring center of continuity, while people, organizations, businesses, facilities, providers, and platform actors retain their own independent identities and lifecycles.</w:t>
      </w:r>
    </w:p>
    <w:p>
      <w:pPr>
        <w:keepLines w:val="0"/>
        <w:spacing w:after="100"/>
      </w:pPr>
      <w:r>
        <w:t>Modules are projections over shared constitutional truth. They may organize work differently for different users, but they may not invent competing definitions of horse, person, business, facility, relationship, authority, record, event, or obligation.</w:t>
      </w:r>
    </w:p>
    <w:p>
      <w:pPr>
        <w:pStyle w:val="Heading1"/>
        <w:keepLines w:val="0"/>
      </w:pPr>
      <w:r>
        <w:t>Constitutional Entity Families</w:t>
      </w:r>
    </w:p>
    <w:p>
      <w:pPr>
        <w:pStyle w:val="Heading2"/>
        <w:keepLines w:val="0"/>
      </w:pPr>
      <w:r>
        <w:t>Living and Participating Subjects</w:t>
      </w:r>
    </w:p>
    <w:p>
      <w:pPr>
        <w:pStyle w:val="ListBullet"/>
        <w:keepLines w:val="0"/>
      </w:pPr>
      <w:r>
        <w:t>Horse and horse identity</w:t>
      </w:r>
    </w:p>
    <w:p>
      <w:pPr>
        <w:pStyle w:val="ListBullet"/>
        <w:keepLines w:val="0"/>
      </w:pPr>
      <w:r>
        <w:t>Natural person, minor, guardian, representative, emergency contact, and participant</w:t>
      </w:r>
    </w:p>
    <w:p>
      <w:pPr>
        <w:pStyle w:val="ListBullet"/>
        <w:keepLines w:val="0"/>
      </w:pPr>
      <w:r>
        <w:t>Account, credential, actor, service identity, and platform administrator</w:t>
      </w:r>
    </w:p>
    <w:p>
      <w:pPr>
        <w:pStyle w:val="Heading2"/>
        <w:keepLines w:val="0"/>
      </w:pPr>
      <w:r>
        <w:t>Organizational and Physical Context</w:t>
      </w:r>
    </w:p>
    <w:p>
      <w:pPr>
        <w:pStyle w:val="ListBullet"/>
        <w:keepLines w:val="0"/>
      </w:pPr>
      <w:r>
        <w:t>Organization, legal entity, business, brand, operating unit, team, and program</w:t>
      </w:r>
    </w:p>
    <w:p>
      <w:pPr>
        <w:pStyle w:val="ListBullet"/>
        <w:keepLines w:val="0"/>
      </w:pPr>
      <w:r>
        <w:t>Facility, campus, structure, zone, location, asset, utility, hazard, and resource</w:t>
      </w:r>
    </w:p>
    <w:p>
      <w:pPr>
        <w:pStyle w:val="ListBullet"/>
        <w:keepLines w:val="0"/>
      </w:pPr>
      <w:r>
        <w:t>Provider profile, service area, credential, service catalog, and marketplace participation</w:t>
      </w:r>
    </w:p>
    <w:p>
      <w:pPr>
        <w:pStyle w:val="Heading2"/>
        <w:keepLines w:val="0"/>
      </w:pPr>
      <w:r>
        <w:t>Authority and Relationship Objects</w:t>
      </w:r>
    </w:p>
    <w:p>
      <w:pPr>
        <w:pStyle w:val="ListBullet"/>
        <w:keepLines w:val="0"/>
      </w:pPr>
      <w:r>
        <w:t>Relationship, role assignment, authority claim, agreement, consent, delegation, restriction, dispute, and revocation</w:t>
      </w:r>
    </w:p>
    <w:p>
      <w:pPr>
        <w:pStyle w:val="ListBullet"/>
        <w:keepLines w:val="0"/>
      </w:pPr>
      <w:r>
        <w:t>Ownership, custody, possession, care, payment responsibility, guardianship, employment, service, tenancy, and membership relationships</w:t>
      </w:r>
    </w:p>
    <w:p>
      <w:pPr>
        <w:pStyle w:val="ListBullet"/>
        <w:keepLines w:val="0"/>
      </w:pPr>
      <w:r>
        <w:t>Permission grant, field restriction, purpose limitation, emergency access, and public-sharing basis</w:t>
      </w:r>
    </w:p>
    <w:p>
      <w:pPr>
        <w:pStyle w:val="Heading2"/>
        <w:keepLines w:val="0"/>
      </w:pPr>
      <w:r>
        <w:t>Operational and Evidentiary Objects</w:t>
      </w:r>
    </w:p>
    <w:p>
      <w:pPr>
        <w:pStyle w:val="ListBullet"/>
        <w:keepLines w:val="0"/>
      </w:pPr>
      <w:r>
        <w:t>Task, work order, care instruction, appointment, event, incident, transition, exception, and acknowledgment</w:t>
      </w:r>
    </w:p>
    <w:p>
      <w:pPr>
        <w:pStyle w:val="ListBullet"/>
        <w:keepLines w:val="0"/>
      </w:pPr>
      <w:r>
        <w:t>Record, document, claim, evidence item, communication, notice, media asset, audit event, and correction</w:t>
      </w:r>
    </w:p>
    <w:p>
      <w:pPr>
        <w:pStyle w:val="ListBullet"/>
        <w:keepLines w:val="0"/>
      </w:pPr>
      <w:r>
        <w:t>Invoice, obligation, charge, credit, refund, payment, payout, fee, tax item, reconciliation item, and financial projection</w:t>
      </w:r>
    </w:p>
    <w:p>
      <w:pPr>
        <w:pStyle w:val="ListBullet"/>
        <w:keepLines w:val="0"/>
      </w:pPr>
      <w:r>
        <w:t>Metric, report, forecast, AI output, search result, recommendation, and decision-support artifact</w:t>
      </w:r>
    </w:p>
    <w:p>
      <w:pPr>
        <w:pStyle w:val="ListBullet"/>
        <w:keepLines w:val="0"/>
      </w:pPr>
      <w:r>
        <w:t>Integration, adapter, processor, connected device, feature flag, configuration, deployment, and resilience event</w:t>
      </w:r>
    </w:p>
    <w:p>
      <w:pPr>
        <w:pStyle w:val="Heading1"/>
        <w:keepLines w:val="0"/>
      </w:pPr>
      <w:r>
        <w:t>Permanent Ecosystem Pillars</w:t>
      </w:r>
    </w:p>
    <w:p>
      <w:pPr>
        <w:pStyle w:val="ListNumber"/>
        <w:keepLines w:val="0"/>
      </w:pPr>
      <w:r>
        <w:t>Horse identity and lifecycle continuity</w:t>
      </w:r>
    </w:p>
    <w:p>
      <w:pPr>
        <w:pStyle w:val="ListNumber"/>
        <w:keepLines w:val="0"/>
      </w:pPr>
      <w:r>
        <w:t>People, identity, accounts, and actor authority</w:t>
      </w:r>
    </w:p>
    <w:p>
      <w:pPr>
        <w:pStyle w:val="ListNumber"/>
        <w:keepLines w:val="0"/>
      </w:pPr>
      <w:r>
        <w:t>Relationships, permissions, agreements, consent, and safeguarding</w:t>
      </w:r>
    </w:p>
    <w:p>
      <w:pPr>
        <w:pStyle w:val="ListNumber"/>
        <w:keepLines w:val="0"/>
      </w:pPr>
      <w:r>
        <w:t>Organizations, businesses, workforce, and professional services</w:t>
      </w:r>
    </w:p>
    <w:p>
      <w:pPr>
        <w:pStyle w:val="ListNumber"/>
        <w:keepLines w:val="0"/>
      </w:pPr>
      <w:r>
        <w:t>Facilities, physical operations, resources, and location truth</w:t>
      </w:r>
    </w:p>
    <w:p>
      <w:pPr>
        <w:pStyle w:val="ListNumber"/>
        <w:keepLines w:val="0"/>
      </w:pPr>
      <w:r>
        <w:t>Care, training, tasks, scheduling, communication, and incidents</w:t>
      </w:r>
    </w:p>
    <w:p>
      <w:pPr>
        <w:pStyle w:val="ListNumber"/>
        <w:keepLines w:val="0"/>
      </w:pPr>
      <w:r>
        <w:t>Financial truth, billing, payments, payouts, and marketplace commerce</w:t>
      </w:r>
    </w:p>
    <w:p>
      <w:pPr>
        <w:pStyle w:val="ListNumber"/>
        <w:keepLines w:val="0"/>
      </w:pPr>
      <w:r>
        <w:t>Records, evidence, media, search, retention, and portability</w:t>
      </w:r>
    </w:p>
    <w:p>
      <w:pPr>
        <w:pStyle w:val="ListNumber"/>
        <w:keepLines w:val="0"/>
      </w:pPr>
      <w:r>
        <w:t>Reporting, analytics, AI assistance, and decision support</w:t>
      </w:r>
    </w:p>
    <w:p>
      <w:pPr>
        <w:pStyle w:val="ListNumber"/>
        <w:keepLines w:val="0"/>
      </w:pPr>
      <w:r>
        <w:t>Platform security, resilience, integrations, configuration, extensibility, and governance</w:t>
      </w:r>
    </w:p>
    <w:p>
      <w:pPr>
        <w:keepLines w:val="0"/>
        <w:spacing w:after="100"/>
      </w:pPr>
      <w:r>
        <w:t>Every platform capability must identify which pillar owns the underlying truth and which pillars merely consume or project it.</w:t>
      </w:r>
    </w:p>
    <w:p>
      <w:pPr>
        <w:pStyle w:val="Heading1"/>
        <w:keepLines w:val="0"/>
      </w:pPr>
      <w:r>
        <w:t>Separation and Non-Collapse Rules</w:t>
      </w:r>
    </w:p>
    <w:p>
      <w:pPr>
        <w:pStyle w:val="ListBullet"/>
        <w:keepLines w:val="0"/>
      </w:pPr>
      <w:r>
        <w:t>A person is not an account; an account is not an actor; an actor is not authority.</w:t>
      </w:r>
    </w:p>
    <w:p>
      <w:pPr>
        <w:pStyle w:val="ListBullet"/>
        <w:keepLines w:val="0"/>
      </w:pPr>
      <w:r>
        <w:t>A role label is not a governed relationship, and a relationship is not automatically a permission.</w:t>
      </w:r>
    </w:p>
    <w:p>
      <w:pPr>
        <w:pStyle w:val="ListBullet"/>
        <w:keepLines w:val="0"/>
      </w:pPr>
      <w:r>
        <w:t>A business is not a facility; a facility is not a legal entity; a brand is not a merchant account.</w:t>
      </w:r>
    </w:p>
    <w:p>
      <w:pPr>
        <w:pStyle w:val="ListBullet"/>
        <w:keepLines w:val="0"/>
      </w:pPr>
      <w:r>
        <w:t>Legal ownership, custody, possession, boarding, training, care authority, and payment responsibility remain distinct.</w:t>
      </w:r>
    </w:p>
    <w:p>
      <w:pPr>
        <w:pStyle w:val="ListBullet"/>
        <w:keepLines w:val="0"/>
      </w:pPr>
      <w:r>
        <w:t>A payer is not necessarily the owner, guardian, customer, service recipient, or contracting party.</w:t>
      </w:r>
    </w:p>
    <w:p>
      <w:pPr>
        <w:pStyle w:val="ListBullet"/>
        <w:keepLines w:val="0"/>
      </w:pPr>
      <w:r>
        <w:t>A signature proves a signing event, not the signer’s authority, the agreement’s validity, or performance.</w:t>
      </w:r>
    </w:p>
    <w:p>
      <w:pPr>
        <w:pStyle w:val="ListBullet"/>
        <w:keepLines w:val="0"/>
      </w:pPr>
      <w:r>
        <w:t>A vendor record, imported record, AI output, report, cache, search result, or export is not automatically canonical truth.</w:t>
      </w:r>
    </w:p>
    <w:p>
      <w:pPr>
        <w:pStyle w:val="ListBullet"/>
        <w:keepLines w:val="0"/>
      </w:pPr>
      <w:r>
        <w:t>Authorship, stewardship, access, retention, portability, transferability, and legal control of a record are separate concepts.</w:t>
      </w:r>
    </w:p>
    <w:p>
      <w:pPr>
        <w:pStyle w:val="ListBullet"/>
        <w:keepLines w:val="0"/>
      </w:pPr>
      <w:r>
        <w:t>Public discoverability does not create private access, and marketplace participation does not create a service relationship.</w:t>
      </w:r>
    </w:p>
    <w:p>
      <w:pPr>
        <w:pStyle w:val="ListBullet"/>
        <w:keepLines w:val="0"/>
      </w:pPr>
      <w:r>
        <w:t>Administrative capability does not create a business or legal right to inspect customer information.</w:t>
      </w:r>
    </w:p>
    <w:p>
      <w:pPr>
        <w:pStyle w:val="Heading1"/>
        <w:keepLines w:val="0"/>
      </w:pPr>
      <w:r>
        <w:t>Relationship and Authority Architecture</w:t>
      </w:r>
    </w:p>
    <w:p>
      <w:pPr>
        <w:keepLines w:val="0"/>
        <w:spacing w:after="100"/>
      </w:pPr>
      <w:r>
        <w:t>Material connections must be explicit, scoped, temporal, attributable, reviewable, and revocable where the underlying relationship permits. Relationship truth supplies evidence to authorization, but access must still satisfy purpose, permission, consent, safeguarding, sensitivity, and restriction controls.</w:t>
      </w:r>
    </w:p>
    <w:p>
      <w:pPr>
        <w:pStyle w:val="Heading2"/>
        <w:keepLines w:val="0"/>
      </w:pPr>
      <w:r>
        <w:t>Authority Resolution Order</w:t>
      </w:r>
    </w:p>
    <w:p>
      <w:pPr>
        <w:pStyle w:val="ListNumber"/>
        <w:keepLines w:val="0"/>
      </w:pPr>
      <w:r>
        <w:t>Identify the actor and authenticated account or service identity.</w:t>
      </w:r>
    </w:p>
    <w:p>
      <w:pPr>
        <w:pStyle w:val="ListNumber"/>
        <w:keepLines w:val="0"/>
      </w:pPr>
      <w:r>
        <w:t>Identify the relevant horse, person, organization, business, facility, record, task, or transaction.</w:t>
      </w:r>
    </w:p>
    <w:p>
      <w:pPr>
        <w:pStyle w:val="ListNumber"/>
        <w:keepLines w:val="0"/>
      </w:pPr>
      <w:r>
        <w:t>Resolve the governing relationship and its effective period.</w:t>
      </w:r>
    </w:p>
    <w:p>
      <w:pPr>
        <w:pStyle w:val="ListNumber"/>
        <w:keepLines w:val="0"/>
      </w:pPr>
      <w:r>
        <w:t>Resolve authority claims, restrictions, disputes, consent, and delegated powers.</w:t>
      </w:r>
    </w:p>
    <w:p>
      <w:pPr>
        <w:pStyle w:val="ListNumber"/>
        <w:keepLines w:val="0"/>
      </w:pPr>
      <w:r>
        <w:t>Apply permission, purpose, sensitivity, minor, safeguarding, and field-level rules.</w:t>
      </w:r>
    </w:p>
    <w:p>
      <w:pPr>
        <w:pStyle w:val="ListNumber"/>
        <w:keepLines w:val="0"/>
      </w:pPr>
      <w:r>
        <w:t>Apply emergency, offline, integration, and administrative constraints.</w:t>
      </w:r>
    </w:p>
    <w:p>
      <w:pPr>
        <w:pStyle w:val="ListNumber"/>
        <w:keepLines w:val="0"/>
      </w:pPr>
      <w:r>
        <w:t>Record the authorization basis and material outcome in the audit system.</w:t>
      </w:r>
    </w:p>
    <w:p>
      <w:pPr>
        <w:keepLines w:val="0"/>
        <w:spacing w:after="100"/>
      </w:pPr>
      <w:r>
        <w:t>No single shortcut may bypass this chain merely because a user is an owner, manager, provider, employee, administrator, or payer.</w:t>
      </w:r>
    </w:p>
    <w:p>
      <w:pPr>
        <w:pStyle w:val="Heading1"/>
        <w:keepLines w:val="0"/>
      </w:pPr>
      <w:r>
        <w:t>Time, State, and Event Architecture</w:t>
      </w:r>
    </w:p>
    <w:p>
      <w:pPr>
        <w:pStyle w:val="ListBullet"/>
        <w:keepLines w:val="0"/>
      </w:pPr>
      <w:r>
        <w:t>Material changes must be represented as attributable events and versioned state transitions.</w:t>
      </w:r>
    </w:p>
    <w:p>
      <w:pPr>
        <w:pStyle w:val="ListBullet"/>
        <w:keepLines w:val="0"/>
      </w:pPr>
      <w:r>
        <w:t>Event time, effective time, recorded time, received time, verified time, corrected time, synchronized time, and processing time must remain distinguishable.</w:t>
      </w:r>
    </w:p>
    <w:p>
      <w:pPr>
        <w:pStyle w:val="ListBullet"/>
        <w:keepLines w:val="0"/>
      </w:pPr>
      <w:r>
        <w:t>Current state must be derivable without destroying prior valid states or obscuring corrections.</w:t>
      </w:r>
    </w:p>
    <w:p>
      <w:pPr>
        <w:pStyle w:val="ListBullet"/>
        <w:keepLines w:val="0"/>
      </w:pPr>
      <w:r>
        <w:t>Future-effective and retroactive changes require explicit treatment and must not silently rewrite historical projections.</w:t>
      </w:r>
    </w:p>
    <w:p>
      <w:pPr>
        <w:pStyle w:val="ListBullet"/>
        <w:keepLines w:val="0"/>
      </w:pPr>
      <w:r>
        <w:t>Offline, delayed, imported, and replayed events require provenance, idempotency, conflict handling, and reconciliation.</w:t>
      </w:r>
    </w:p>
    <w:p>
      <w:pPr>
        <w:pStyle w:val="ListBullet"/>
        <w:keepLines w:val="0"/>
      </w:pPr>
      <w:r>
        <w:t>Last-write-wins behavior is prohibited for consequential ownership, authority, care, medical, financial, safeguarding, or identity truth.</w:t>
      </w:r>
    </w:p>
    <w:p>
      <w:pPr>
        <w:pStyle w:val="Heading1"/>
        <w:keepLines w:val="0"/>
      </w:pPr>
      <w:r>
        <w:t>Workflow and Domain Ownership Rule</w:t>
      </w:r>
    </w:p>
    <w:p>
      <w:pPr>
        <w:keepLines w:val="0"/>
        <w:spacing w:after="100"/>
      </w:pPr>
      <w:r>
        <w:t>A workflow belongs constitutionally to the domain that owns the underlying truth, even when it is initiated or displayed elsewhere. Calendar owns scheduling semantics; Relationship owns relationship truth; Permission owns access authority; Audit owns evidentiary audit requirements; Financial Truth owns monetary state; Reporting owns official analytical publication.</w:t>
      </w:r>
    </w:p>
    <w:p>
      <w:pPr>
        <w:keepLines w:val="0"/>
        <w:spacing w:after="100"/>
      </w:pPr>
      <w:r>
        <w:t>User-interface placement, navigation ownership, team ownership, or database location does not transfer constitutional ownership.</w:t>
      </w:r>
    </w:p>
    <w:p>
      <w:pPr>
        <w:pStyle w:val="Heading1"/>
        <w:keepLines w:val="0"/>
      </w:pPr>
      <w:r>
        <w:t>Cross-Tenant, Shared-Care, and Public Boundaries</w:t>
      </w:r>
    </w:p>
    <w:p>
      <w:pPr>
        <w:pStyle w:val="ListBullet"/>
        <w:keepLines w:val="0"/>
      </w:pPr>
      <w:r>
        <w:t>Tenant isolation is the default and must not be weakened for convenience.</w:t>
      </w:r>
    </w:p>
    <w:p>
      <w:pPr>
        <w:pStyle w:val="ListBullet"/>
        <w:keepLines w:val="0"/>
      </w:pPr>
      <w:r>
        <w:t>Cross-tenant processing requires a defined legal, operational, service, delegated-care, marketplace, emergency, public, or regulatory basis.</w:t>
      </w:r>
    </w:p>
    <w:p>
      <w:pPr>
        <w:pStyle w:val="ListBullet"/>
        <w:keepLines w:val="0"/>
      </w:pPr>
      <w:r>
        <w:t>Shared care must be horse-specific, task-limited, purpose-limited, time-limited, attributable, revocable, and minimally disclosive.</w:t>
      </w:r>
    </w:p>
    <w:p>
      <w:pPr>
        <w:pStyle w:val="ListBullet"/>
        <w:keepLines w:val="0"/>
      </w:pPr>
      <w:r>
        <w:t>Community-centered barn assistance may expose only the information needed to perform the assigned care task.</w:t>
      </w:r>
    </w:p>
    <w:p>
      <w:pPr>
        <w:pStyle w:val="ListBullet"/>
        <w:keepLines w:val="0"/>
      </w:pPr>
      <w:r>
        <w:t>Public discovery is opt-in and may not expose minors, protected people, exact private location, private owner data, financial information, safeguarding records, or unrelated medical history.</w:t>
      </w:r>
    </w:p>
    <w:p>
      <w:pPr>
        <w:pStyle w:val="ListBullet"/>
        <w:keepLines w:val="0"/>
      </w:pPr>
      <w:r>
        <w:t>Cross-tenant analytics must use governed aggregation, de-identification, minimum cohort rules, and prohibited re-identification controls.</w:t>
      </w:r>
    </w:p>
    <w:p>
      <w:pPr>
        <w:pStyle w:val="Heading1"/>
        <w:keepLines w:val="0"/>
      </w:pPr>
      <w:r>
        <w:t>External Systems, Devices, and Extensions</w:t>
      </w:r>
    </w:p>
    <w:p>
      <w:pPr>
        <w:keepLines w:val="0"/>
        <w:spacing w:after="100"/>
      </w:pPr>
      <w:r>
        <w:t>External systems may authenticate, transmit, store, sign, settle, synchronize, calculate, or process within an approved scope. They do not become constitutional authority and may not expand access beyond EquineSync’s governed rules.</w:t>
      </w:r>
    </w:p>
    <w:p>
      <w:pPr>
        <w:pStyle w:val="ListBullet"/>
        <w:keepLines w:val="0"/>
      </w:pPr>
      <w:r>
        <w:t>Every integration requires source-of-truth designation, directionality, conflict behavior, revocation, audit, retention, failure, and exit rules.</w:t>
      </w:r>
    </w:p>
    <w:p>
      <w:pPr>
        <w:pStyle w:val="ListBullet"/>
        <w:keepLines w:val="0"/>
      </w:pPr>
      <w:r>
        <w:t>Connected devices and sensors provide observations, not unquestionable truth; confidence, calibration, latency, and failure must be represented.</w:t>
      </w:r>
    </w:p>
    <w:p>
      <w:pPr>
        <w:pStyle w:val="ListBullet"/>
        <w:keepLines w:val="0"/>
      </w:pPr>
      <w:r>
        <w:t>Plugins and extensions must register owned data, permissions, event types, retention, audit, incident, and uninstall behavior.</w:t>
      </w:r>
    </w:p>
    <w:p>
      <w:pPr>
        <w:pStyle w:val="ListBullet"/>
        <w:keepLines w:val="0"/>
      </w:pPr>
      <w:r>
        <w:t>Feature flags may control exposure but may not create authority, waive consent, bypass review, or conceal a permanent governance decision.</w:t>
      </w:r>
    </w:p>
    <w:p>
      <w:pPr>
        <w:pStyle w:val="ListBullet"/>
        <w:keepLines w:val="0"/>
      </w:pPr>
      <w:r>
        <w:t>Provider neutrality, portability, safe degradation, and migration capability are required for material external dependencies.</w:t>
      </w:r>
    </w:p>
    <w:p>
      <w:pPr>
        <w:pStyle w:val="Heading1"/>
        <w:keepLines w:val="0"/>
      </w:pPr>
      <w:r>
        <w:t>Ecosystem Change Governance</w:t>
      </w:r>
    </w:p>
    <w:p>
      <w:pPr>
        <w:keepLines w:val="0"/>
        <w:spacing w:after="100"/>
      </w:pPr>
      <w:r>
        <w:t>New first-class entities, relationship types, authority claims, workflow classes, data classifications, payment roles, public projections, AI actions, integrations, or extension points require constitutional placement before implementation.</w:t>
      </w:r>
    </w:p>
    <w:p>
      <w:pPr>
        <w:pStyle w:val="Heading2"/>
        <w:keepLines w:val="0"/>
      </w:pPr>
      <w:r>
        <w:t>Required Change Questions</w:t>
      </w:r>
    </w:p>
    <w:p>
      <w:pPr>
        <w:pStyle w:val="ListBullet"/>
        <w:keepLines w:val="0"/>
      </w:pPr>
      <w:r>
        <w:t>Who or what is the canonical subject?</w:t>
      </w:r>
    </w:p>
    <w:p>
      <w:pPr>
        <w:pStyle w:val="ListBullet"/>
        <w:keepLines w:val="0"/>
      </w:pPr>
      <w:r>
        <w:t>Which domain owns the truth?</w:t>
      </w:r>
    </w:p>
    <w:p>
      <w:pPr>
        <w:pStyle w:val="ListBullet"/>
        <w:keepLines w:val="0"/>
      </w:pPr>
      <w:r>
        <w:t>Which relationships and authority claims are required?</w:t>
      </w:r>
    </w:p>
    <w:p>
      <w:pPr>
        <w:pStyle w:val="ListBullet"/>
        <w:keepLines w:val="0"/>
      </w:pPr>
      <w:r>
        <w:t>What data is sensitive, transferable, or non-transferable?</w:t>
      </w:r>
    </w:p>
    <w:p>
      <w:pPr>
        <w:pStyle w:val="ListBullet"/>
        <w:keepLines w:val="0"/>
      </w:pPr>
      <w:r>
        <w:t>What happens when the relationship ends?</w:t>
      </w:r>
    </w:p>
    <w:p>
      <w:pPr>
        <w:pStyle w:val="ListBullet"/>
        <w:keepLines w:val="0"/>
      </w:pPr>
      <w:r>
        <w:t>What must be audited, retained, corrected, exported, or deleted?</w:t>
      </w:r>
    </w:p>
    <w:p>
      <w:pPr>
        <w:pStyle w:val="ListBullet"/>
        <w:keepLines w:val="0"/>
      </w:pPr>
      <w:r>
        <w:t>How does the capability behave offline, during failure, and after vendor exit?</w:t>
      </w:r>
    </w:p>
    <w:p>
      <w:pPr>
        <w:pStyle w:val="ListBullet"/>
        <w:keepLines w:val="0"/>
      </w:pPr>
      <w:r>
        <w:t>Does the change create cross-tenant, minor, safeguarding, financial, medical, or welfare risk?</w:t>
      </w:r>
    </w:p>
    <w:p>
      <w:pPr>
        <w:pStyle w:val="Heading1"/>
        <w:keepLines w:val="0"/>
      </w:pPr>
      <w:r>
        <w:t>Cross-Canon Interpretation</w:t>
      </w:r>
    </w:p>
    <w:p>
      <w:pPr>
        <w:keepLines w:val="0"/>
        <w:spacing w:after="100"/>
      </w:pPr>
      <w:r>
        <w:t>This document must be interpreted consistently with the approved EquineSync Product Vision and controlling specialized canon. It owns the domain-level constitutional rules identified here, but it does not displace Identity, Relationship, Permission, Privacy, Record Stewardship, Claims, Audit, Communications, Financial Truth, AI, Reporting, Search, Integration, Resilience, or other specialized constitutional owners.</w:t>
      </w:r>
    </w:p>
    <w:p>
      <w:pPr>
        <w:pStyle w:val="ListBullet"/>
        <w:keepLines w:val="0"/>
      </w:pPr>
      <w:r>
        <w:t>Lower-order specifications may add implementation detail but may not contradict this model.</w:t>
      </w:r>
    </w:p>
    <w:p>
      <w:pPr>
        <w:pStyle w:val="ListBullet"/>
        <w:keepLines w:val="0"/>
      </w:pPr>
      <w:r>
        <w:t>Where two documents appear inconsistent, the conflict must be entered into controlled reconciliation rather than resolved through local implementation preference.</w:t>
      </w:r>
    </w:p>
    <w:p>
      <w:pPr>
        <w:pStyle w:val="ListBullet"/>
        <w:keepLines w:val="0"/>
      </w:pPr>
      <w:r>
        <w:t>Version references must be maintained through the Canon Catalog and traceability register.</w:t>
      </w:r>
    </w:p>
    <w:p>
      <w:pPr>
        <w:pStyle w:val="ListBullet"/>
        <w:keepLines w:val="0"/>
      </w:pPr>
      <w:r>
        <w:t>No UI label, database table, vendor object, or integration payload may redefine a constitutional concept.</w:t>
      </w:r>
    </w:p>
    <w:p>
      <w:pPr>
        <w:pStyle w:val="Heading1"/>
        <w:keepLines w:val="0"/>
      </w:pPr>
      <w:r>
        <w:t>Authority Boundary</w:t>
      </w:r>
    </w:p>
    <w:p>
      <w:pPr>
        <w:keepLines w:val="0"/>
        <w:spacing w:after="100"/>
      </w:pPr>
      <w:r>
        <w:t>This successor candidate does not authorize canon adoption, canon lock, implementation, schema mutation, migration, permission expansion, external-processor activation, production access, AI activation, destructive action, public launch, or public compliance claims. Each requires separate authority under the applicable governance process.</w:t>
      </w:r>
    </w:p>
    <w:p>
      <w:pPr>
        <w:pStyle w:val="Heading1"/>
        <w:keepLines w:val="0"/>
      </w:pPr>
      <w:r>
        <w:t>Successor Review Disposition</w:t>
      </w:r>
    </w:p>
    <w:p>
      <w:pPr>
        <w:keepLines w:val="0"/>
        <w:spacing w:after="100"/>
      </w:pPr>
      <w:r>
        <w:t>The document is recommended for founder review as an expanded controlled successor candidate. Creation, rendering, or delivery does not constitute approval, adoption, or lock.</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15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5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55C7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831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