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Lines w:val="0"/>
        <w:jc w:val="center"/>
      </w:pPr>
      <w:r>
        <w:t>MASTER HORSE LIFECYCLE</w:t>
      </w:r>
    </w:p>
    <w:p>
      <w:pPr>
        <w:keepLines w:val="0"/>
        <w:jc w:val="center"/>
      </w:pPr>
      <w:r>
        <w:rPr>
          <w:b/>
          <w:color w:val="355C7D"/>
        </w:rPr>
        <w:t>Version 3.1 | Controlled Successor Candidate</w:t>
      </w:r>
    </w:p>
    <w:tbl>
      <w:tblPr>
        <w:tblStyle w:val="TableGrid"/>
        <w:tblW w:type="auto" w:w="0"/>
        <w:jc w:val="center"/>
        <w:tblLook w:firstColumn="1" w:firstRow="1" w:lastColumn="0" w:lastRow="0" w:noHBand="0" w:noVBand="1" w:val="04A0"/>
      </w:tblPr>
      <w:tblGrid>
        <w:gridCol w:w="4997"/>
        <w:gridCol w:w="4997"/>
      </w:tblGrid>
      <w:tr>
        <w:tc>
          <w:tcPr>
            <w:tcW w:type="dxa" w:w="4997"/>
            <w:shd w:fill="D9E2F3"/>
            <w:vAlign w:val="center"/>
          </w:tcPr>
          <w:p>
            <w:r>
              <w:t>Status</w:t>
            </w:r>
          </w:p>
        </w:tc>
        <w:tc>
          <w:tcPr>
            <w:tcW w:type="dxa" w:w="4997"/>
            <w:vAlign w:val="center"/>
          </w:tcPr>
          <w:p>
            <w:r>
              <w:t>CONTROLLED SUCCESSOR CANDIDATE - NOT ADOPTED - NO IMPLEMENTATION AUTHORITY</w:t>
            </w:r>
          </w:p>
        </w:tc>
      </w:tr>
      <w:tr>
        <w:tc>
          <w:tcPr>
            <w:tcW w:type="dxa" w:w="4997"/>
            <w:shd w:fill="D9E2F3"/>
            <w:vAlign w:val="center"/>
          </w:tcPr>
          <w:p>
            <w:r>
              <w:t>Source posture</w:t>
            </w:r>
          </w:p>
        </w:tc>
        <w:tc>
          <w:tcPr>
            <w:tcW w:type="dxa" w:w="4997"/>
            <w:vAlign w:val="center"/>
          </w:tcPr>
          <w:p>
            <w:r>
              <w:t>Founder Canon Version 3.0 located; expanded against transfer, records, privacy, AI, reporting, and welfare governance</w:t>
            </w:r>
          </w:p>
        </w:tc>
      </w:tr>
      <w:tr>
        <w:tc>
          <w:tcPr>
            <w:tcW w:type="dxa" w:w="4997"/>
            <w:shd w:fill="D9E2F3"/>
            <w:vAlign w:val="center"/>
          </w:tcPr>
          <w:p>
            <w:r>
              <w:t>Implementation authority</w:t>
            </w:r>
          </w:p>
        </w:tc>
        <w:tc>
          <w:tcPr>
            <w:tcW w:type="dxa" w:w="4997"/>
            <w:vAlign w:val="center"/>
          </w:tcPr>
          <w:p>
            <w:r>
              <w:t>FALSE</w:t>
            </w:r>
          </w:p>
        </w:tc>
      </w:tr>
      <w:tr>
        <w:tc>
          <w:tcPr>
            <w:tcW w:type="dxa" w:w="4997"/>
            <w:shd w:fill="D9E2F3"/>
            <w:vAlign w:val="center"/>
          </w:tcPr>
          <w:p>
            <w:r>
              <w:t>Production authority</w:t>
            </w:r>
          </w:p>
        </w:tc>
        <w:tc>
          <w:tcPr>
            <w:tcW w:type="dxa" w:w="4997"/>
            <w:vAlign w:val="center"/>
          </w:tcPr>
          <w:p>
            <w:r>
              <w:t>FALSE</w:t>
            </w:r>
          </w:p>
        </w:tc>
      </w:tr>
      <w:tr>
        <w:tc>
          <w:tcPr>
            <w:tcW w:type="dxa" w:w="4997"/>
            <w:shd w:fill="D9E2F3"/>
            <w:vAlign w:val="center"/>
          </w:tcPr>
          <w:p>
            <w:r>
              <w:t>Review posture</w:t>
            </w:r>
          </w:p>
        </w:tc>
        <w:tc>
          <w:tcPr>
            <w:tcW w:type="dxa" w:w="4997"/>
            <w:vAlign w:val="center"/>
          </w:tcPr>
          <w:p>
            <w:r>
              <w:t>Expanded cross-canon review draft; founder approval required</w:t>
            </w:r>
          </w:p>
        </w:tc>
      </w:tr>
    </w:tbl>
    <w:p>
      <w:pPr>
        <w:keepLines w:val="0"/>
      </w:pPr>
    </w:p>
    <w:p>
      <w:pPr>
        <w:pStyle w:val="Heading1"/>
        <w:keepLines w:val="0"/>
      </w:pPr>
      <w:r>
        <w:t>Purpose and Constitutional Scope</w:t>
      </w:r>
    </w:p>
    <w:p>
      <w:pPr>
        <w:keepLines w:val="0"/>
        <w:spacing w:after="100"/>
      </w:pPr>
      <w:r>
        <w:t>This Model governs the horse’s durable identity and complete lifecycle from planned or first-known existence through care, work, relationships, movement, transfer, retirement, death, memorialization, and archive.</w:t>
      </w:r>
    </w:p>
    <w:p>
      <w:pPr>
        <w:keepLines w:val="0"/>
        <w:spacing w:after="100"/>
      </w:pPr>
      <w:r>
        <w:t>The horse is a living subject and persistent domain entity. The platform must not reduce the horse to inventory, a billing object, a marketplace listing, a performance score, or a disposable customer record.</w:t>
      </w:r>
    </w:p>
    <w:p>
      <w:pPr>
        <w:pStyle w:val="Heading1"/>
        <w:keepLines w:val="0"/>
      </w:pPr>
      <w:r>
        <w:t>Horse-Centered Constitutional Rule</w:t>
      </w:r>
    </w:p>
    <w:p>
      <w:pPr>
        <w:keepLines w:val="0"/>
        <w:ind w:left="432" w:right="432"/>
      </w:pPr>
      <w:r>
        <w:rPr>
          <w:i/>
          <w:color w:val="5A636E"/>
        </w:rPr>
        <w:t>The horse’s identity and history remain coherent even as every surrounding relationship changes.</w:t>
      </w:r>
    </w:p>
    <w:p>
      <w:pPr>
        <w:keepLines w:val="0"/>
        <w:spacing w:after="100"/>
      </w:pPr>
      <w:r>
        <w:t>The platform must preserve identity, welfare context, provenance, and historical continuity without granting perpetual access or confusing ownership, custody, possession, care, payment, authorship, facility presence, or record storage.</w:t>
      </w:r>
    </w:p>
    <w:p>
      <w:pPr>
        <w:pStyle w:val="Heading1"/>
        <w:keepLines w:val="0"/>
      </w:pPr>
      <w:r>
        <w:t>Lifecycle Stages and Exceptional States</w:t>
      </w:r>
    </w:p>
    <w:p>
      <w:pPr>
        <w:pStyle w:val="ListNumber"/>
        <w:keepLines w:val="0"/>
      </w:pPr>
      <w:r>
        <w:t>Planned, breeding, gestational, embryo, or pre-birth record where lawful and appropriate</w:t>
      </w:r>
    </w:p>
    <w:p>
      <w:pPr>
        <w:pStyle w:val="ListNumber"/>
        <w:keepLines w:val="0"/>
      </w:pPr>
      <w:r>
        <w:t>Birth, origin, import, rescue, discovery, or first-known record</w:t>
      </w:r>
    </w:p>
    <w:p>
      <w:pPr>
        <w:pStyle w:val="ListNumber"/>
        <w:keepLines w:val="0"/>
      </w:pPr>
      <w:r>
        <w:t>Active care, boarding, training, lessons, competition, breeding, work, rehabilitation, therapy, or leisure</w:t>
      </w:r>
    </w:p>
    <w:p>
      <w:pPr>
        <w:pStyle w:val="ListNumber"/>
        <w:keepLines w:val="0"/>
      </w:pPr>
      <w:r>
        <w:t>Temporary movement, transport, quarantine, evacuation, hospitalization, trial, lease, sale, adoption, surrender, or custody change</w:t>
      </w:r>
    </w:p>
    <w:p>
      <w:pPr>
        <w:pStyle w:val="ListNumber"/>
        <w:keepLines w:val="0"/>
      </w:pPr>
      <w:r>
        <w:t>Retirement, sanctuary, long-term medical management, inactive status, or permanent non-ridden life</w:t>
      </w:r>
    </w:p>
    <w:p>
      <w:pPr>
        <w:pStyle w:val="ListNumber"/>
        <w:keepLines w:val="0"/>
      </w:pPr>
      <w:r>
        <w:t>Missing, stolen, seized, impounded, abandoned, disputed, restricted, or unknown-location state</w:t>
      </w:r>
    </w:p>
    <w:p>
      <w:pPr>
        <w:pStyle w:val="ListNumber"/>
        <w:keepLines w:val="0"/>
      </w:pPr>
      <w:r>
        <w:t>Death, remains handling, necropsy, memorialization, estate or insurance processing, and archival continuity</w:t>
      </w:r>
    </w:p>
    <w:p>
      <w:pPr>
        <w:keepLines w:val="0"/>
        <w:spacing w:after="100"/>
      </w:pPr>
      <w:r>
        <w:t>A horse may occupy multiple operational states at once. Lifecycle state must not be modeled as a simplistic single dropdown when simultaneous conditions are materially relevant.</w:t>
      </w:r>
    </w:p>
    <w:p>
      <w:pPr>
        <w:pStyle w:val="Heading1"/>
        <w:keepLines w:val="0"/>
      </w:pPr>
      <w:r>
        <w:t>Canonical Horse Identity</w:t>
      </w:r>
    </w:p>
    <w:p>
      <w:pPr>
        <w:pStyle w:val="ListBullet"/>
        <w:keepLines w:val="0"/>
      </w:pPr>
      <w:r>
        <w:t>One horse should have one canonical EquineSync identity, subject to governed duplicate, merge, split, correction, and dispute procedures.</w:t>
      </w:r>
    </w:p>
    <w:p>
      <w:pPr>
        <w:pStyle w:val="ListBullet"/>
        <w:keepLines w:val="0"/>
      </w:pPr>
      <w:r>
        <w:t>Barn names, registered names, prior names, microchips, brands, registry numbers, markings, sex designation, breed, color, age estimates, ownership, facilities, and disciplines may change without creating a new horse.</w:t>
      </w:r>
    </w:p>
    <w:p>
      <w:pPr>
        <w:pStyle w:val="ListBullet"/>
        <w:keepLines w:val="0"/>
      </w:pPr>
      <w:r>
        <w:t>Identity fields must retain source, verification status, confidence, effective period, and correction history where relevant.</w:t>
      </w:r>
    </w:p>
    <w:p>
      <w:pPr>
        <w:pStyle w:val="ListBullet"/>
        <w:keepLines w:val="0"/>
      </w:pPr>
      <w:r>
        <w:t>Duplicate resolution must preserve lineage and avoid destructive collapse of conflicting histories.</w:t>
      </w:r>
    </w:p>
    <w:p>
      <w:pPr>
        <w:pStyle w:val="ListBullet"/>
        <w:keepLines w:val="0"/>
      </w:pPr>
      <w:r>
        <w:t>Identity disputes must enter Claims and Evidence governance rather than being resolved by ordinary profile editing.</w:t>
      </w:r>
    </w:p>
    <w:p>
      <w:pPr>
        <w:pStyle w:val="ListBullet"/>
        <w:keepLines w:val="0"/>
      </w:pPr>
      <w:r>
        <w:t>No public profile, marketplace listing, invoice, veterinary portal import, or facility record alone establishes canonical identity.</w:t>
      </w:r>
    </w:p>
    <w:p>
      <w:pPr>
        <w:pStyle w:val="Heading1"/>
        <w:keepLines w:val="0"/>
      </w:pPr>
      <w:r>
        <w:t>Horse Passport and Projections</w:t>
      </w:r>
    </w:p>
    <w:p>
      <w:pPr>
        <w:keepLines w:val="0"/>
        <w:spacing w:after="100"/>
      </w:pPr>
      <w:r>
        <w:t>The Horse Passport is a governed continuity projection. It is not a title certificate, unrestricted medical file, universal disclosure packet, or guarantee of completeness.</w:t>
      </w:r>
    </w:p>
    <w:p>
      <w:pPr>
        <w:pStyle w:val="Heading2"/>
        <w:keepLines w:val="0"/>
      </w:pPr>
      <w:r>
        <w:t>Permitted Passport Layers</w:t>
      </w:r>
    </w:p>
    <w:p>
      <w:pPr>
        <w:pStyle w:val="ListBullet"/>
        <w:keepLines w:val="0"/>
      </w:pPr>
      <w:r>
        <w:t>Private current-care view</w:t>
      </w:r>
    </w:p>
    <w:p>
      <w:pPr>
        <w:pStyle w:val="ListBullet"/>
        <w:keepLines w:val="0"/>
      </w:pPr>
      <w:r>
        <w:t>Owner or authorized guardian view</w:t>
      </w:r>
    </w:p>
    <w:p>
      <w:pPr>
        <w:pStyle w:val="ListBullet"/>
        <w:keepLines w:val="0"/>
      </w:pPr>
      <w:r>
        <w:t>Facility operations view</w:t>
      </w:r>
    </w:p>
    <w:p>
      <w:pPr>
        <w:pStyle w:val="ListBullet"/>
        <w:keepLines w:val="0"/>
      </w:pPr>
      <w:r>
        <w:t>Professional provider view</w:t>
      </w:r>
    </w:p>
    <w:p>
      <w:pPr>
        <w:pStyle w:val="ListBullet"/>
        <w:keepLines w:val="0"/>
      </w:pPr>
      <w:r>
        <w:t>Emergency packet</w:t>
      </w:r>
    </w:p>
    <w:p>
      <w:pPr>
        <w:pStyle w:val="ListBullet"/>
        <w:keepLines w:val="0"/>
      </w:pPr>
      <w:r>
        <w:t>Transfer or continuity packet</w:t>
      </w:r>
    </w:p>
    <w:p>
      <w:pPr>
        <w:pStyle w:val="ListBullet"/>
        <w:keepLines w:val="0"/>
      </w:pPr>
      <w:r>
        <w:t>Public or marketplace projection</w:t>
      </w:r>
    </w:p>
    <w:p>
      <w:pPr>
        <w:pStyle w:val="ListBullet"/>
        <w:keepLines w:val="0"/>
      </w:pPr>
      <w:r>
        <w:t>Memorial projection</w:t>
      </w:r>
    </w:p>
    <w:p>
      <w:pPr>
        <w:pStyle w:val="ListBullet"/>
        <w:keepLines w:val="0"/>
      </w:pPr>
      <w:r>
        <w:t>Export or portability package</w:t>
      </w:r>
    </w:p>
    <w:p>
      <w:pPr>
        <w:keepLines w:val="0"/>
        <w:spacing w:after="100"/>
      </w:pPr>
      <w:r>
        <w:t>Each layer must be generated according to current authority, record stewardship, purpose, sensitivity, transferability, restrictions, and field-level permission. A Passport view may omit information without deleting the underlying record.</w:t>
      </w:r>
    </w:p>
    <w:p>
      <w:pPr>
        <w:pStyle w:val="Heading1"/>
        <w:keepLines w:val="0"/>
      </w:pPr>
      <w:r>
        <w:t>Relationship Distinctions Around the Horse</w:t>
      </w:r>
    </w:p>
    <w:p>
      <w:pPr>
        <w:pStyle w:val="ListBullet"/>
        <w:keepLines w:val="0"/>
      </w:pPr>
      <w:r>
        <w:t>Legal ownership, beneficial interest, co-ownership, leasehold interest, lien claim, custody, possession, boarding, training, care authority, rider participation, breeding rights, sales agency, emergency authority, and payment responsibility remain distinct.</w:t>
      </w:r>
    </w:p>
    <w:p>
      <w:pPr>
        <w:pStyle w:val="ListBullet"/>
        <w:keepLines w:val="0"/>
      </w:pPr>
      <w:r>
        <w:t>Former relationships remain historical facts but do not create continuing operational access.</w:t>
      </w:r>
    </w:p>
    <w:p>
      <w:pPr>
        <w:pStyle w:val="ListBullet"/>
        <w:keepLines w:val="0"/>
      </w:pPr>
      <w:r>
        <w:t>Physical possession does not prove ownership; payment does not prove authority; authorship does not prove control over the horse.</w:t>
      </w:r>
    </w:p>
    <w:p>
      <w:pPr>
        <w:pStyle w:val="ListBullet"/>
        <w:keepLines w:val="0"/>
      </w:pPr>
      <w:r>
        <w:t>Organizations may hold legitimate relationships to a horse, but the responsible actors and organizational authority must remain attributable.</w:t>
      </w:r>
    </w:p>
    <w:p>
      <w:pPr>
        <w:pStyle w:val="ListBullet"/>
        <w:keepLines w:val="0"/>
      </w:pPr>
      <w:r>
        <w:t>Co-owner decision rules, delegated powers, disputes, and emergency exceptions must be explicit and time-aware.</w:t>
      </w:r>
    </w:p>
    <w:p>
      <w:pPr>
        <w:pStyle w:val="Heading1"/>
        <w:keepLines w:val="0"/>
      </w:pPr>
      <w:r>
        <w:t>Care, Health, and Welfare Continuity</w:t>
      </w:r>
    </w:p>
    <w:p>
      <w:pPr>
        <w:pStyle w:val="ListBullet"/>
        <w:keepLines w:val="0"/>
      </w:pPr>
      <w:r>
        <w:t>Current feed, water, medication, turnout, blanketing, rehabilitation, exercise, restriction, emergency, veterinary, farrier, dental, bodywork, nutrition, and monitoring instructions must be clearly distinguished from historical instructions.</w:t>
      </w:r>
    </w:p>
    <w:p>
      <w:pPr>
        <w:pStyle w:val="ListBullet"/>
        <w:keepLines w:val="0"/>
      </w:pPr>
      <w:r>
        <w:t>Qualified professional records retain source, authorship, credentials, scope, and effective dates.</w:t>
      </w:r>
    </w:p>
    <w:p>
      <w:pPr>
        <w:pStyle w:val="ListBullet"/>
        <w:keepLines w:val="0"/>
      </w:pPr>
      <w:r>
        <w:t>Conflicting care instructions must be surfaced and reconciled; the system may not silently choose whichever was entered last.</w:t>
      </w:r>
    </w:p>
    <w:p>
      <w:pPr>
        <w:pStyle w:val="ListBullet"/>
        <w:keepLines w:val="0"/>
      </w:pPr>
      <w:r>
        <w:t>Welfare concerns require careful escalation, restricted access, evidence preservation, non-retaliation considerations, and protection against unsupported accusations.</w:t>
      </w:r>
    </w:p>
    <w:p>
      <w:pPr>
        <w:pStyle w:val="ListBullet"/>
        <w:keepLines w:val="0"/>
      </w:pPr>
      <w:r>
        <w:t>Emergency action may proceed under narrow governed authority but must be reviewed, documented, and prevented from becoming permanent control.</w:t>
      </w:r>
    </w:p>
    <w:p>
      <w:pPr>
        <w:pStyle w:val="ListBullet"/>
        <w:keepLines w:val="0"/>
      </w:pPr>
      <w:r>
        <w:t>Offline care completion must preserve pending status, local evidence, synchronization state, and conflict resolution.</w:t>
      </w:r>
    </w:p>
    <w:p>
      <w:pPr>
        <w:pStyle w:val="Heading1"/>
        <w:keepLines w:val="0"/>
      </w:pPr>
      <w:r>
        <w:t>Training, Riding, Competition, and Work</w:t>
      </w:r>
    </w:p>
    <w:p>
      <w:pPr>
        <w:keepLines w:val="0"/>
        <w:spacing w:after="100"/>
      </w:pPr>
      <w:r>
        <w:t>Training and performance records should preserve goals, methods, session context, rider, trainer, conditions, observations, uncertainty, restrictions, equipment, and changes over time.</w:t>
      </w:r>
    </w:p>
    <w:p>
      <w:pPr>
        <w:pStyle w:val="ListBullet"/>
        <w:keepLines w:val="0"/>
      </w:pPr>
      <w:r>
        <w:t>No unexplained score may determine ability, suitability, safety, value, welfare, insurability, sale eligibility, or professional reputation.</w:t>
      </w:r>
    </w:p>
    <w:p>
      <w:pPr>
        <w:pStyle w:val="ListBullet"/>
        <w:keepLines w:val="0"/>
      </w:pPr>
      <w:r>
        <w:t>Rider ability and horse suitability decisions remain human and context-dependent.</w:t>
      </w:r>
    </w:p>
    <w:p>
      <w:pPr>
        <w:pStyle w:val="ListBullet"/>
        <w:keepLines w:val="0"/>
      </w:pPr>
      <w:r>
        <w:t>Competition results and external registry data must retain source and may be corrected or disputed.</w:t>
      </w:r>
    </w:p>
    <w:p>
      <w:pPr>
        <w:pStyle w:val="ListBullet"/>
        <w:keepLines w:val="0"/>
      </w:pPr>
      <w:r>
        <w:t>Workload analytics must account for incomplete records, discipline differences, terrain, age, health, and recovery context.</w:t>
      </w:r>
    </w:p>
    <w:p>
      <w:pPr>
        <w:pStyle w:val="ListBullet"/>
        <w:keepLines w:val="0"/>
      </w:pPr>
      <w:r>
        <w:t>Media may support continuity but may not be treated as definitive medical or behavioral proof without qualified review.</w:t>
      </w:r>
    </w:p>
    <w:p>
      <w:pPr>
        <w:pStyle w:val="Heading1"/>
        <w:keepLines w:val="0"/>
      </w:pPr>
      <w:r>
        <w:t>Breeding, Reproduction, and Genetic Interests</w:t>
      </w:r>
    </w:p>
    <w:p>
      <w:pPr>
        <w:keepLines w:val="0"/>
        <w:spacing w:after="100"/>
      </w:pPr>
      <w:r>
        <w:t>Breeding records require heightened privacy, contractual, veterinary, genetic, commercial, and ownership controls.</w:t>
      </w:r>
    </w:p>
    <w:p>
      <w:pPr>
        <w:pStyle w:val="ListBullet"/>
        <w:keepLines w:val="0"/>
      </w:pPr>
      <w:r>
        <w:t>Parentage, reproductive status, embryo ownership, semen interests, recipient mare relationships, foal identity, registration, and breeding rights must be separately modeled.</w:t>
      </w:r>
    </w:p>
    <w:p>
      <w:pPr>
        <w:pStyle w:val="ListBullet"/>
        <w:keepLines w:val="0"/>
      </w:pPr>
      <w:r>
        <w:t>Possession, boarding, payment, or veterinary service does not establish breeding ownership or authority.</w:t>
      </w:r>
    </w:p>
    <w:p>
      <w:pPr>
        <w:pStyle w:val="ListBullet"/>
        <w:keepLines w:val="0"/>
      </w:pPr>
      <w:r>
        <w:t>Genetic and reproductive information may be especially sensitive and must not be used for unsupported public ranking or discriminatory treatment.</w:t>
      </w:r>
    </w:p>
    <w:p>
      <w:pPr>
        <w:pStyle w:val="ListBullet"/>
        <w:keepLines w:val="0"/>
      </w:pPr>
      <w:r>
        <w:t>Foal identity must become independently durable and linked to, not collapsed into, parental records.</w:t>
      </w:r>
    </w:p>
    <w:p>
      <w:pPr>
        <w:pStyle w:val="Heading1"/>
        <w:keepLines w:val="0"/>
      </w:pPr>
      <w:r>
        <w:t>Movement, Transport, and Location</w:t>
      </w:r>
    </w:p>
    <w:p>
      <w:pPr>
        <w:pStyle w:val="ListBullet"/>
        <w:keepLines w:val="0"/>
      </w:pPr>
      <w:r>
        <w:t>Home facility, current stall or turnout, temporary location, transport custody, veterinary location, show grounds, quarantine, evacuation destination, and historical location are distinct.</w:t>
      </w:r>
    </w:p>
    <w:p>
      <w:pPr>
        <w:pStyle w:val="ListBullet"/>
        <w:keepLines w:val="0"/>
      </w:pPr>
      <w:r>
        <w:t>Precise location is sensitive and may be suppressed during security, theft, dispute, safeguarding, or emergency conditions.</w:t>
      </w:r>
    </w:p>
    <w:p>
      <w:pPr>
        <w:pStyle w:val="ListBullet"/>
        <w:keepLines w:val="0"/>
      </w:pPr>
      <w:r>
        <w:t>Transport events require responsible party, origin, destination, timing, handoff, condition, documents, and exceptions where appropriate.</w:t>
      </w:r>
    </w:p>
    <w:p>
      <w:pPr>
        <w:pStyle w:val="ListBullet"/>
        <w:keepLines w:val="0"/>
      </w:pPr>
      <w:r>
        <w:t>External maps, GPS, telematics, and sensor observations do not become authoritative without confidence and reconciliation controls.</w:t>
      </w:r>
    </w:p>
    <w:p>
      <w:pPr>
        <w:pStyle w:val="ListBullet"/>
        <w:keepLines w:val="0"/>
      </w:pPr>
      <w:r>
        <w:t>Location history must be retained only to the extent justified by welfare, continuity, legal, operational, or evidentiary need.</w:t>
      </w:r>
    </w:p>
    <w:p>
      <w:pPr>
        <w:pStyle w:val="Heading1"/>
        <w:keepLines w:val="0"/>
      </w:pPr>
      <w:r>
        <w:t>Transfer, Lease, Adoption, and Continuity</w:t>
      </w:r>
    </w:p>
    <w:p>
      <w:pPr>
        <w:keepLines w:val="0"/>
        <w:spacing w:after="100"/>
      </w:pPr>
      <w:r>
        <w:t>Transfer is a governed state machine, not an edit to an owner field. It must preserve identity, history, care continuity, record stewardship, former-party rights, restrictions, active obligations, disputes, notices, and incomplete downstream reconciliation.</w:t>
      </w:r>
    </w:p>
    <w:p>
      <w:pPr>
        <w:pStyle w:val="Heading2"/>
        <w:keepLines w:val="0"/>
      </w:pPr>
      <w:r>
        <w:t>Minimum Transition Stages</w:t>
      </w:r>
    </w:p>
    <w:p>
      <w:pPr>
        <w:pStyle w:val="ListNumber"/>
        <w:keepLines w:val="0"/>
      </w:pPr>
      <w:r>
        <w:t>Initiation and authority validation</w:t>
      </w:r>
    </w:p>
    <w:p>
      <w:pPr>
        <w:pStyle w:val="ListNumber"/>
        <w:keepLines w:val="0"/>
      </w:pPr>
      <w:r>
        <w:t>Identity and party verification</w:t>
      </w:r>
    </w:p>
    <w:p>
      <w:pPr>
        <w:pStyle w:val="ListNumber"/>
        <w:keepLines w:val="0"/>
      </w:pPr>
      <w:r>
        <w:t>Disclosure and continuity packet preparation</w:t>
      </w:r>
    </w:p>
    <w:p>
      <w:pPr>
        <w:pStyle w:val="ListNumber"/>
        <w:keepLines w:val="0"/>
      </w:pPr>
      <w:r>
        <w:t>Consent, agreement, co-owner, lien, and restriction review</w:t>
      </w:r>
    </w:p>
    <w:p>
      <w:pPr>
        <w:pStyle w:val="ListNumber"/>
        <w:keepLines w:val="0"/>
      </w:pPr>
      <w:r>
        <w:t>Effective transfer or relationship change</w:t>
      </w:r>
    </w:p>
    <w:p>
      <w:pPr>
        <w:pStyle w:val="ListNumber"/>
        <w:keepLines w:val="0"/>
      </w:pPr>
      <w:r>
        <w:t>Access revocation and successor access establishment</w:t>
      </w:r>
    </w:p>
    <w:p>
      <w:pPr>
        <w:pStyle w:val="ListNumber"/>
        <w:keepLines w:val="0"/>
      </w:pPr>
      <w:r>
        <w:t>Financial and operational reconciliation</w:t>
      </w:r>
    </w:p>
    <w:p>
      <w:pPr>
        <w:pStyle w:val="ListNumber"/>
        <w:keepLines w:val="0"/>
      </w:pPr>
      <w:r>
        <w:t>Exception, dispute, and downstream synchronization review</w:t>
      </w:r>
    </w:p>
    <w:p>
      <w:pPr>
        <w:pStyle w:val="ListNumber"/>
        <w:keepLines w:val="0"/>
      </w:pPr>
      <w:r>
        <w:t>Closure with durable evidence and historical continuity</w:t>
      </w:r>
    </w:p>
    <w:p>
      <w:pPr>
        <w:keepLines w:val="0"/>
        <w:spacing w:after="100"/>
      </w:pPr>
      <w:r>
        <w:t>Incoming parties without an account, organizations as transferees, emergency custody, liens, unpaid balances, former-barn access, private notes, and medical continuity must follow the controlling Transfer and Continuity canon.</w:t>
      </w:r>
    </w:p>
    <w:p>
      <w:pPr>
        <w:pStyle w:val="Heading1"/>
        <w:keepLines w:val="0"/>
      </w:pPr>
      <w:r>
        <w:t>Retirement, Death, Memorialization, and Archive</w:t>
      </w:r>
    </w:p>
    <w:p>
      <w:pPr>
        <w:pStyle w:val="ListBullet"/>
        <w:keepLines w:val="0"/>
      </w:pPr>
      <w:r>
        <w:t>Retirement must preserve visibility and history while adapting care, activity, notification, and operational expectations.</w:t>
      </w:r>
    </w:p>
    <w:p>
      <w:pPr>
        <w:pStyle w:val="ListBullet"/>
        <w:keepLines w:val="0"/>
      </w:pPr>
      <w:r>
        <w:t>Death must not delete the horse’s identity, history, evidence, or permitted memories.</w:t>
      </w:r>
    </w:p>
    <w:p>
      <w:pPr>
        <w:pStyle w:val="ListBullet"/>
        <w:keepLines w:val="0"/>
      </w:pPr>
      <w:r>
        <w:t>Cause of death, euthanasia, remains handling, necropsy, insurance, and memorial content require sensitivity and scoped authority.</w:t>
      </w:r>
    </w:p>
    <w:p>
      <w:pPr>
        <w:pStyle w:val="ListBullet"/>
        <w:keepLines w:val="0"/>
      </w:pPr>
      <w:r>
        <w:t>Public memorialization must be voluntary and must not disclose restricted medical, ownership, dispute, location, or financial information.</w:t>
      </w:r>
    </w:p>
    <w:p>
      <w:pPr>
        <w:pStyle w:val="ListBullet"/>
        <w:keepLines w:val="0"/>
      </w:pPr>
      <w:r>
        <w:t>Archival state should prevent ordinary operational mutation while allowing lawful correction, claim resolution, evidence preservation, and authorized remembrance.</w:t>
      </w:r>
    </w:p>
    <w:p>
      <w:pPr>
        <w:pStyle w:val="ListBullet"/>
        <w:keepLines w:val="0"/>
      </w:pPr>
      <w:r>
        <w:t>Retention and disposition must recognize grief, legal obligations, research value, and the dignity of the horse’s history.</w:t>
      </w:r>
    </w:p>
    <w:p>
      <w:pPr>
        <w:pStyle w:val="Heading1"/>
        <w:keepLines w:val="0"/>
      </w:pPr>
      <w:r>
        <w:t>Horse Data Dignity, AI, and Analytical Limits</w:t>
      </w:r>
    </w:p>
    <w:p>
      <w:pPr>
        <w:pStyle w:val="ListBullet"/>
        <w:keepLines w:val="0"/>
      </w:pPr>
      <w:r>
        <w:t>Horse data must not create opaque value, danger, quality, suitability, lameness, welfare, temperament, or performance scores.</w:t>
      </w:r>
    </w:p>
    <w:p>
      <w:pPr>
        <w:pStyle w:val="ListBullet"/>
        <w:keepLines w:val="0"/>
      </w:pPr>
      <w:r>
        <w:t>AI may organize, summarize, identify patterns, detect missing information, and draft handoffs, but may not diagnose, prescribe, determine lameness, decide ownership, or make final welfare conclusions.</w:t>
      </w:r>
    </w:p>
    <w:p>
      <w:pPr>
        <w:pStyle w:val="ListBullet"/>
        <w:keepLines w:val="0"/>
      </w:pPr>
      <w:r>
        <w:t>Comparisons require relevant context, adequate data, normalized methods, clear limitations, and protections against ranking misuse.</w:t>
      </w:r>
    </w:p>
    <w:p>
      <w:pPr>
        <w:pStyle w:val="ListBullet"/>
        <w:keepLines w:val="0"/>
      </w:pPr>
      <w:r>
        <w:t>No report or prediction becomes a medical, legal, disciplinary, insurance, sale, or ownership conclusion.</w:t>
      </w:r>
    </w:p>
    <w:p>
      <w:pPr>
        <w:pStyle w:val="ListBullet"/>
        <w:keepLines w:val="0"/>
      </w:pPr>
      <w:r>
        <w:t>Public, marketplace, and research projections must minimize sensitive history and prohibit re-identification or exploitative profiling.</w:t>
      </w:r>
    </w:p>
    <w:p>
      <w:pPr>
        <w:pStyle w:val="Heading1"/>
        <w:keepLines w:val="0"/>
      </w:pPr>
      <w:r>
        <w:t>Lifecycle Success Criteria</w:t>
      </w:r>
    </w:p>
    <w:p>
      <w:pPr>
        <w:pStyle w:val="ListBullet"/>
        <w:keepLines w:val="0"/>
      </w:pPr>
      <w:r>
        <w:t>The horse retains one coherent identity across all transitions.</w:t>
      </w:r>
    </w:p>
    <w:p>
      <w:pPr>
        <w:pStyle w:val="ListBullet"/>
        <w:keepLines w:val="0"/>
      </w:pPr>
      <w:r>
        <w:t>Current care is understandable without erasing history.</w:t>
      </w:r>
    </w:p>
    <w:p>
      <w:pPr>
        <w:pStyle w:val="ListBullet"/>
        <w:keepLines w:val="0"/>
      </w:pPr>
      <w:r>
        <w:t>Every access path is relationship- and permission-based.</w:t>
      </w:r>
    </w:p>
    <w:p>
      <w:pPr>
        <w:pStyle w:val="ListBullet"/>
        <w:keepLines w:val="0"/>
      </w:pPr>
      <w:r>
        <w:t>Transfers preserve continuity while revoking obsolete authority.</w:t>
      </w:r>
    </w:p>
    <w:p>
      <w:pPr>
        <w:pStyle w:val="ListBullet"/>
        <w:keepLines w:val="0"/>
      </w:pPr>
      <w:r>
        <w:t>Professional records retain provenance and appropriate restrictions.</w:t>
      </w:r>
    </w:p>
    <w:p>
      <w:pPr>
        <w:pStyle w:val="ListBullet"/>
        <w:keepLines w:val="0"/>
      </w:pPr>
      <w:r>
        <w:t>Retirement, death, and memorialization are handled with dignity.</w:t>
      </w:r>
    </w:p>
    <w:p>
      <w:pPr>
        <w:pStyle w:val="ListBullet"/>
        <w:keepLines w:val="0"/>
      </w:pPr>
      <w:r>
        <w:t>Analytics and AI remain assistive, contextual, and non-determinative.</w:t>
      </w:r>
    </w:p>
    <w:p>
      <w:pPr>
        <w:pStyle w:val="Heading1"/>
        <w:keepLines w:val="0"/>
      </w:pPr>
      <w:r>
        <w:t>Cross-Canon Interpretation</w:t>
      </w:r>
    </w:p>
    <w:p>
      <w:pPr>
        <w:keepLines w:val="0"/>
        <w:spacing w:after="100"/>
      </w:pPr>
      <w:r>
        <w:t>This document must be interpreted consistently with the approved EquineSync Product Vision and controlling specialized canon. It owns the domain-level constitutional rules identified here, but it does not displace Identity, Relationship, Permission, Privacy, Record Stewardship, Claims, Audit, Communications, Financial Truth, AI, Reporting, Search, Integration, Resilience, or other specialized constitutional owners.</w:t>
      </w:r>
    </w:p>
    <w:p>
      <w:pPr>
        <w:pStyle w:val="ListBullet"/>
        <w:keepLines w:val="0"/>
      </w:pPr>
      <w:r>
        <w:t>Lower-order specifications may add implementation detail but may not contradict this model.</w:t>
      </w:r>
    </w:p>
    <w:p>
      <w:pPr>
        <w:pStyle w:val="ListBullet"/>
        <w:keepLines w:val="0"/>
      </w:pPr>
      <w:r>
        <w:t>Where two documents appear inconsistent, the conflict must be entered into controlled reconciliation rather than resolved through local implementation preference.</w:t>
      </w:r>
    </w:p>
    <w:p>
      <w:pPr>
        <w:pStyle w:val="ListBullet"/>
        <w:keepLines w:val="0"/>
      </w:pPr>
      <w:r>
        <w:t>Version references must be maintained through the Canon Catalog and traceability register.</w:t>
      </w:r>
    </w:p>
    <w:p>
      <w:pPr>
        <w:pStyle w:val="ListBullet"/>
        <w:keepLines w:val="0"/>
      </w:pPr>
      <w:r>
        <w:t>No UI label, database table, vendor object, or integration payload may redefine a constitutional concept.</w:t>
      </w:r>
    </w:p>
    <w:p>
      <w:pPr>
        <w:pStyle w:val="Heading1"/>
        <w:keepLines w:val="0"/>
      </w:pPr>
      <w:r>
        <w:t>Authority Boundary</w:t>
      </w:r>
    </w:p>
    <w:p>
      <w:pPr>
        <w:keepLines w:val="0"/>
        <w:spacing w:after="100"/>
      </w:pPr>
      <w:r>
        <w:t>This successor candidate does not authorize canon adoption, canon lock, implementation, schema mutation, migration, permission expansion, external-processor activation, production access, AI activation, destructive action, public launch, or public compliance claims. Each requires separate authority under the applicable governance process.</w:t>
      </w:r>
    </w:p>
    <w:p>
      <w:pPr>
        <w:pStyle w:val="Heading1"/>
        <w:keepLines w:val="0"/>
      </w:pPr>
      <w:r>
        <w:t>Successor Review Disposition</w:t>
      </w:r>
    </w:p>
    <w:p>
      <w:pPr>
        <w:keepLines w:val="0"/>
        <w:spacing w:after="100"/>
      </w:pPr>
      <w:r>
        <w:t>The document is recommended for founder review as an expanded controlled successor candidate. Creation, rendering, or delivery does not constitute approval, adoption, or lock.</w:t>
      </w:r>
    </w:p>
    <w:sectPr w:rsidR="00FC693F" w:rsidRPr="0006063C" w:rsidSect="00034616">
      <w:footerReference w:type="default" r:id="rId9"/>
      <w:pgSz w:w="12240" w:h="15840"/>
      <w:pgMar w:top="936" w:right="1123" w:bottom="936"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Page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83153"/>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355C7D"/>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355C7D"/>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83153"/>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