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color w:val="18324A"/>
          <w:sz w:val="46"/>
        </w:rPr>
        <w:t>CROSS-CANON REFERENCE NORMALIZATION REGISTER V1.0</w:t>
      </w:r>
    </w:p>
    <w:p>
      <w:pPr>
        <w:spacing w:after="80" w:line="254" w:lineRule="auto"/>
      </w:pPr>
      <w:r>
        <w:rPr>
          <w:rFonts w:ascii="Aptos" w:hAnsi="Aptos"/>
          <w:b/>
          <w:color w:val="20262B"/>
          <w:sz w:val="21"/>
        </w:rPr>
        <w:t>Register Status:</w:t>
      </w:r>
      <w:r>
        <w:rPr>
          <w:rFonts w:ascii="Aptos" w:hAnsi="Aptos"/>
          <w:color w:val="20262B"/>
          <w:sz w:val="21"/>
        </w:rPr>
        <w:t xml:space="preserve"> Founder-Accepted Controlled Registry  </w:t>
      </w:r>
    </w:p>
    <w:p>
      <w:pPr>
        <w:spacing w:after="80" w:line="254" w:lineRule="auto"/>
      </w:pPr>
      <w:r>
        <w:rPr>
          <w:rFonts w:ascii="Aptos" w:hAnsi="Aptos"/>
          <w:b/>
          <w:color w:val="20262B"/>
          <w:sz w:val="21"/>
        </w:rPr>
        <w:t>Purpose:</w:t>
      </w:r>
      <w:r>
        <w:rPr>
          <w:rFonts w:ascii="Aptos" w:hAnsi="Aptos"/>
          <w:color w:val="20262B"/>
          <w:sz w:val="21"/>
        </w:rPr>
        <w:t xml:space="preserve"> Map legacy, abbreviated, or superseded document names to the current canonical family.  </w:t>
      </w:r>
    </w:p>
    <w:p>
      <w:pPr>
        <w:spacing w:after="80" w:line="254" w:lineRule="auto"/>
      </w:pPr>
      <w:r>
        <w:rPr>
          <w:rFonts w:ascii="Aptos" w:hAnsi="Aptos"/>
          <w:b/>
          <w:color w:val="20262B"/>
          <w:sz w:val="21"/>
        </w:rPr>
        <w:t>Implementation Authority:</w:t>
      </w:r>
      <w:r>
        <w:rPr>
          <w:rFonts w:ascii="Aptos" w:hAnsi="Aptos"/>
          <w:color w:val="20262B"/>
          <w:sz w:val="21"/>
        </w:rPr>
        <w:t xml:space="preserve"> False</w:t>
      </w:r>
    </w:p>
    <w:p>
      <w:pPr>
        <w:pStyle w:val="Heading2"/>
      </w:pPr>
      <w:r>
        <w:rPr>
          <w:rFonts w:ascii="Aptos" w:hAnsi="Aptos"/>
          <w:color w:val="37566F"/>
          <w:sz w:val="26"/>
        </w:rPr>
        <w:t>1. Normalization Map</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shd w:fill="18324A"/>
          </w:tcPr>
          <w:p>
            <w:pPr>
              <w:spacing w:after="0" w:before="0"/>
            </w:pPr>
            <w:r>
              <w:rPr>
                <w:rFonts w:ascii="Aptos" w:hAnsi="Aptos"/>
                <w:b/>
                <w:color w:val="FFFFFF"/>
                <w:sz w:val="18"/>
              </w:rPr>
              <w:t>Legacy or Variant Reference</w:t>
            </w:r>
          </w:p>
        </w:tc>
        <w:tc>
          <w:tcPr>
            <w:tcW w:type="dxa" w:w="3331"/>
            <w:vAlign w:val="center"/>
            <w:shd w:fill="18324A"/>
          </w:tcPr>
          <w:p>
            <w:pPr>
              <w:spacing w:after="0" w:before="0"/>
            </w:pPr>
            <w:r>
              <w:rPr>
                <w:rFonts w:ascii="Aptos" w:hAnsi="Aptos"/>
                <w:b/>
                <w:color w:val="FFFFFF"/>
                <w:sz w:val="18"/>
              </w:rPr>
              <w:t>Current Canonical Reference</w:t>
            </w:r>
          </w:p>
        </w:tc>
        <w:tc>
          <w:tcPr>
            <w:tcW w:type="dxa" w:w="3331"/>
            <w:vAlign w:val="center"/>
            <w:shd w:fill="18324A"/>
          </w:tcPr>
          <w:p>
            <w:pPr>
              <w:spacing w:after="0" w:before="0"/>
            </w:pPr>
            <w:r>
              <w:rPr>
                <w:rFonts w:ascii="Aptos" w:hAnsi="Aptos"/>
                <w:b/>
                <w:color w:val="FFFFFF"/>
                <w:sz w:val="18"/>
              </w:rPr>
              <w:t>Treatment</w:t>
            </w:r>
          </w:p>
        </w:tc>
      </w:tr>
      <w:tr>
        <w:tc>
          <w:tcPr>
            <w:tcW w:type="dxa" w:w="3331"/>
            <w:vAlign w:val="center"/>
          </w:tcPr>
          <w:p>
            <w:pPr>
              <w:spacing w:after="0" w:before="0"/>
            </w:pPr>
            <w:r>
              <w:rPr>
                <w:rFonts w:ascii="Aptos" w:hAnsi="Aptos"/>
                <w:color w:val="20262B"/>
                <w:sz w:val="18"/>
              </w:rPr>
              <w:t>Master Claims and Retention Model</w:t>
            </w:r>
          </w:p>
        </w:tc>
        <w:tc>
          <w:tcPr>
            <w:tcW w:type="dxa" w:w="3331"/>
            <w:vAlign w:val="center"/>
          </w:tcPr>
          <w:p>
            <w:pPr>
              <w:spacing w:after="0" w:before="0"/>
            </w:pPr>
            <w:r>
              <w:rPr>
                <w:rFonts w:ascii="Aptos" w:hAnsi="Aptos"/>
                <w:color w:val="20262B"/>
                <w:sz w:val="18"/>
              </w:rPr>
              <w:t>Master Claims, Disputes, and Authority Model V2.0</w:t>
            </w:r>
          </w:p>
        </w:tc>
        <w:tc>
          <w:tcPr>
            <w:tcW w:type="dxa" w:w="3331"/>
            <w:vAlign w:val="center"/>
          </w:tcPr>
          <w:p>
            <w:pPr>
              <w:spacing w:after="0" w:before="0"/>
            </w:pPr>
            <w:r>
              <w:rPr>
                <w:rFonts w:ascii="Aptos" w:hAnsi="Aptos"/>
                <w:color w:val="20262B"/>
                <w:sz w:val="18"/>
              </w:rPr>
              <w:t>Replace. Retention belongs to Record Stewardship and Retention.</w:t>
            </w:r>
          </w:p>
        </w:tc>
      </w:tr>
      <w:tr>
        <w:tc>
          <w:tcPr>
            <w:tcW w:type="dxa" w:w="3331"/>
            <w:vAlign w:val="center"/>
            <w:shd w:fill="EAF0F4"/>
          </w:tcPr>
          <w:p>
            <w:pPr>
              <w:spacing w:after="0" w:before="0"/>
            </w:pPr>
            <w:r>
              <w:rPr>
                <w:rFonts w:ascii="Aptos" w:hAnsi="Aptos"/>
                <w:color w:val="20262B"/>
                <w:sz w:val="18"/>
              </w:rPr>
              <w:t>Master Security, Privacy, and Trust Model</w:t>
            </w:r>
          </w:p>
        </w:tc>
        <w:tc>
          <w:tcPr>
            <w:tcW w:type="dxa" w:w="3331"/>
            <w:vAlign w:val="center"/>
            <w:shd w:fill="EAF0F4"/>
          </w:tcPr>
          <w:p>
            <w:pPr>
              <w:spacing w:after="0" w:before="0"/>
            </w:pPr>
            <w:r>
              <w:rPr>
                <w:rFonts w:ascii="Aptos" w:hAnsi="Aptos"/>
                <w:color w:val="20262B"/>
                <w:sz w:val="18"/>
              </w:rPr>
              <w:t>Master Security and Trust Model V1.1</w:t>
            </w:r>
          </w:p>
        </w:tc>
        <w:tc>
          <w:tcPr>
            <w:tcW w:type="dxa" w:w="3331"/>
            <w:vAlign w:val="center"/>
            <w:shd w:fill="EAF0F4"/>
          </w:tcPr>
          <w:p>
            <w:pPr>
              <w:spacing w:after="0" w:before="0"/>
            </w:pPr>
            <w:r>
              <w:rPr>
                <w:rFonts w:ascii="Aptos" w:hAnsi="Aptos"/>
                <w:color w:val="20262B"/>
                <w:sz w:val="18"/>
              </w:rPr>
              <w:t>Replace formal title; privacy-processing ownership remains with Privacy and Data Protection.</w:t>
            </w:r>
          </w:p>
        </w:tc>
      </w:tr>
      <w:tr>
        <w:tc>
          <w:tcPr>
            <w:tcW w:type="dxa" w:w="3331"/>
            <w:vAlign w:val="center"/>
          </w:tcPr>
          <w:p>
            <w:pPr>
              <w:spacing w:after="0" w:before="0"/>
            </w:pPr>
            <w:r>
              <w:rPr>
                <w:rFonts w:ascii="Aptos" w:hAnsi="Aptos"/>
                <w:color w:val="20262B"/>
                <w:sz w:val="18"/>
              </w:rPr>
              <w:t>Master AI Operating System</w:t>
            </w:r>
          </w:p>
        </w:tc>
        <w:tc>
          <w:tcPr>
            <w:tcW w:type="dxa" w:w="3331"/>
            <w:vAlign w:val="center"/>
          </w:tcPr>
          <w:p>
            <w:pPr>
              <w:spacing w:after="0" w:before="0"/>
            </w:pPr>
            <w:r>
              <w:rPr>
                <w:rFonts w:ascii="Aptos" w:hAnsi="Aptos"/>
                <w:color w:val="20262B"/>
                <w:sz w:val="18"/>
              </w:rPr>
              <w:t>Master AI Governance and Decision Boundary Model V2.0</w:t>
            </w:r>
          </w:p>
        </w:tc>
        <w:tc>
          <w:tcPr>
            <w:tcW w:type="dxa" w:w="3331"/>
            <w:vAlign w:val="center"/>
          </w:tcPr>
          <w:p>
            <w:pPr>
              <w:spacing w:after="0" w:before="0"/>
            </w:pPr>
            <w:r>
              <w:rPr>
                <w:rFonts w:ascii="Aptos" w:hAnsi="Aptos"/>
                <w:color w:val="20262B"/>
                <w:sz w:val="18"/>
              </w:rPr>
              <w:t>Replace unless a separate lower-order operating specification is intended.</w:t>
            </w:r>
          </w:p>
        </w:tc>
      </w:tr>
      <w:tr>
        <w:tc>
          <w:tcPr>
            <w:tcW w:type="dxa" w:w="3331"/>
            <w:vAlign w:val="center"/>
            <w:shd w:fill="EAF0F4"/>
          </w:tcPr>
          <w:p>
            <w:pPr>
              <w:spacing w:after="0" w:before="0"/>
            </w:pPr>
            <w:r>
              <w:rPr>
                <w:rFonts w:ascii="Aptos" w:hAnsi="Aptos"/>
                <w:color w:val="20262B"/>
                <w:sz w:val="18"/>
              </w:rPr>
              <w:t>Master AI Governance Model</w:t>
            </w:r>
          </w:p>
        </w:tc>
        <w:tc>
          <w:tcPr>
            <w:tcW w:type="dxa" w:w="3331"/>
            <w:vAlign w:val="center"/>
            <w:shd w:fill="EAF0F4"/>
          </w:tcPr>
          <w:p>
            <w:pPr>
              <w:spacing w:after="0" w:before="0"/>
            </w:pPr>
            <w:r>
              <w:rPr>
                <w:rFonts w:ascii="Aptos" w:hAnsi="Aptos"/>
                <w:color w:val="20262B"/>
                <w:sz w:val="18"/>
              </w:rPr>
              <w:t>Master AI Governance and Decision Boundary Model V2.0</w:t>
            </w:r>
          </w:p>
        </w:tc>
        <w:tc>
          <w:tcPr>
            <w:tcW w:type="dxa" w:w="3331"/>
            <w:vAlign w:val="center"/>
            <w:shd w:fill="EAF0F4"/>
          </w:tcPr>
          <w:p>
            <w:pPr>
              <w:spacing w:after="0" w:before="0"/>
            </w:pPr>
            <w:r>
              <w:rPr>
                <w:rFonts w:ascii="Aptos" w:hAnsi="Aptos"/>
                <w:color w:val="20262B"/>
                <w:sz w:val="18"/>
              </w:rPr>
              <w:t>Normalize.</w:t>
            </w:r>
          </w:p>
        </w:tc>
      </w:tr>
      <w:tr>
        <w:tc>
          <w:tcPr>
            <w:tcW w:type="dxa" w:w="3331"/>
            <w:vAlign w:val="center"/>
          </w:tcPr>
          <w:p>
            <w:pPr>
              <w:spacing w:after="0" w:before="0"/>
            </w:pPr>
            <w:r>
              <w:rPr>
                <w:rFonts w:ascii="Aptos" w:hAnsi="Aptos"/>
                <w:color w:val="20262B"/>
                <w:sz w:val="18"/>
              </w:rPr>
              <w:t>Master Notification Framework</w:t>
            </w:r>
          </w:p>
        </w:tc>
        <w:tc>
          <w:tcPr>
            <w:tcW w:type="dxa" w:w="3331"/>
            <w:vAlign w:val="center"/>
          </w:tcPr>
          <w:p>
            <w:pPr>
              <w:spacing w:after="0" w:before="0"/>
            </w:pPr>
            <w:r>
              <w:rPr>
                <w:rFonts w:ascii="Aptos" w:hAnsi="Aptos"/>
                <w:color w:val="20262B"/>
                <w:sz w:val="18"/>
              </w:rPr>
              <w:t>Master Communication, Notification, and Notice Model V2.0</w:t>
            </w:r>
          </w:p>
        </w:tc>
        <w:tc>
          <w:tcPr>
            <w:tcW w:type="dxa" w:w="3331"/>
            <w:vAlign w:val="center"/>
          </w:tcPr>
          <w:p>
            <w:pPr>
              <w:spacing w:after="0" w:before="0"/>
            </w:pPr>
            <w:r>
              <w:rPr>
                <w:rFonts w:ascii="Aptos" w:hAnsi="Aptos"/>
                <w:color w:val="20262B"/>
                <w:sz w:val="18"/>
              </w:rPr>
              <w:t>Replace.</w:t>
            </w:r>
          </w:p>
        </w:tc>
      </w:tr>
      <w:tr>
        <w:tc>
          <w:tcPr>
            <w:tcW w:type="dxa" w:w="3331"/>
            <w:vAlign w:val="center"/>
            <w:shd w:fill="EAF0F4"/>
          </w:tcPr>
          <w:p>
            <w:pPr>
              <w:spacing w:after="0" w:before="0"/>
            </w:pPr>
            <w:r>
              <w:rPr>
                <w:rFonts w:ascii="Aptos" w:hAnsi="Aptos"/>
                <w:color w:val="20262B"/>
                <w:sz w:val="18"/>
              </w:rPr>
              <w:t>Master Financial Architecture</w:t>
            </w:r>
          </w:p>
        </w:tc>
        <w:tc>
          <w:tcPr>
            <w:tcW w:type="dxa" w:w="3331"/>
            <w:vAlign w:val="center"/>
            <w:shd w:fill="EAF0F4"/>
          </w:tcPr>
          <w:p>
            <w:pPr>
              <w:spacing w:after="0" w:before="0"/>
            </w:pPr>
            <w:r>
              <w:rPr>
                <w:rFonts w:ascii="Aptos" w:hAnsi="Aptos"/>
                <w:color w:val="20262B"/>
                <w:sz w:val="18"/>
              </w:rPr>
              <w:t>Master Financial Truth and Responsibility Model V2.1</w:t>
            </w:r>
          </w:p>
        </w:tc>
        <w:tc>
          <w:tcPr>
            <w:tcW w:type="dxa" w:w="3331"/>
            <w:vAlign w:val="center"/>
            <w:shd w:fill="EAF0F4"/>
          </w:tcPr>
          <w:p>
            <w:pPr>
              <w:spacing w:after="0" w:before="0"/>
            </w:pPr>
            <w:r>
              <w:rPr>
                <w:rFonts w:ascii="Aptos" w:hAnsi="Aptos"/>
                <w:color w:val="20262B"/>
                <w:sz w:val="18"/>
              </w:rPr>
              <w:t>Replace unless referring to a separate implementation architecture.</w:t>
            </w:r>
          </w:p>
        </w:tc>
      </w:tr>
      <w:tr>
        <w:tc>
          <w:tcPr>
            <w:tcW w:type="dxa" w:w="3331"/>
            <w:vAlign w:val="center"/>
          </w:tcPr>
          <w:p>
            <w:pPr>
              <w:spacing w:after="0" w:before="0"/>
            </w:pPr>
            <w:r>
              <w:rPr>
                <w:rFonts w:ascii="Aptos" w:hAnsi="Aptos"/>
                <w:color w:val="20262B"/>
                <w:sz w:val="18"/>
              </w:rPr>
              <w:t>Master Platform Operations</w:t>
            </w:r>
          </w:p>
        </w:tc>
        <w:tc>
          <w:tcPr>
            <w:tcW w:type="dxa" w:w="3331"/>
            <w:vAlign w:val="center"/>
          </w:tcPr>
          <w:p>
            <w:pPr>
              <w:spacing w:after="0" w:before="0"/>
            </w:pPr>
            <w:r>
              <w:rPr>
                <w:rFonts w:ascii="Aptos" w:hAnsi="Aptos"/>
                <w:color w:val="20262B"/>
                <w:sz w:val="18"/>
              </w:rPr>
              <w:t>Master Platform Operations, Reliability, and Release Model V2.0</w:t>
            </w:r>
          </w:p>
        </w:tc>
        <w:tc>
          <w:tcPr>
            <w:tcW w:type="dxa" w:w="3331"/>
            <w:vAlign w:val="center"/>
          </w:tcPr>
          <w:p>
            <w:pPr>
              <w:spacing w:after="0" w:before="0"/>
            </w:pPr>
            <w:r>
              <w:rPr>
                <w:rFonts w:ascii="Aptos" w:hAnsi="Aptos"/>
                <w:color w:val="20262B"/>
                <w:sz w:val="18"/>
              </w:rPr>
              <w:t>Normalize.</w:t>
            </w:r>
          </w:p>
        </w:tc>
      </w:tr>
      <w:tr>
        <w:tc>
          <w:tcPr>
            <w:tcW w:type="dxa" w:w="3331"/>
            <w:vAlign w:val="center"/>
            <w:shd w:fill="EAF0F4"/>
          </w:tcPr>
          <w:p>
            <w:pPr>
              <w:spacing w:after="0" w:before="0"/>
            </w:pPr>
            <w:r>
              <w:rPr>
                <w:rFonts w:ascii="Aptos" w:hAnsi="Aptos"/>
                <w:color w:val="20262B"/>
                <w:sz w:val="18"/>
              </w:rPr>
              <w:t>Master Permission Model</w:t>
            </w:r>
          </w:p>
        </w:tc>
        <w:tc>
          <w:tcPr>
            <w:tcW w:type="dxa" w:w="3331"/>
            <w:vAlign w:val="center"/>
            <w:shd w:fill="EAF0F4"/>
          </w:tcPr>
          <w:p>
            <w:pPr>
              <w:spacing w:after="0" w:before="0"/>
            </w:pPr>
            <w:r>
              <w:rPr>
                <w:rFonts w:ascii="Aptos" w:hAnsi="Aptos"/>
                <w:color w:val="20262B"/>
                <w:sz w:val="18"/>
              </w:rPr>
              <w:t xml:space="preserve">Master Permission and Access-Control Model V1.1; canonical filename remains </w:t>
            </w:r>
            <w:r>
              <w:rPr>
                <w:rFonts w:ascii="Courier New" w:hAnsi="Courier New"/>
                <w:color w:val="37566F"/>
                <w:sz w:val="17"/>
              </w:rPr>
              <w:t>MASTER_PERMISSION_MODEL_V1_1</w:t>
            </w:r>
          </w:p>
        </w:tc>
        <w:tc>
          <w:tcPr>
            <w:tcW w:type="dxa" w:w="3331"/>
            <w:vAlign w:val="center"/>
            <w:shd w:fill="EAF0F4"/>
          </w:tcPr>
          <w:p>
            <w:pPr>
              <w:spacing w:after="0" w:before="0"/>
            </w:pPr>
            <w:r>
              <w:rPr>
                <w:rFonts w:ascii="Aptos" w:hAnsi="Aptos"/>
                <w:color w:val="20262B"/>
                <w:sz w:val="18"/>
              </w:rPr>
              <w:t>Use formal family name in prose.</w:t>
            </w:r>
          </w:p>
        </w:tc>
      </w:tr>
      <w:tr>
        <w:tc>
          <w:tcPr>
            <w:tcW w:type="dxa" w:w="3331"/>
            <w:vAlign w:val="center"/>
          </w:tcPr>
          <w:p>
            <w:pPr>
              <w:spacing w:after="0" w:before="0"/>
            </w:pPr>
            <w:r>
              <w:rPr>
                <w:rFonts w:ascii="Aptos" w:hAnsi="Aptos"/>
                <w:color w:val="20262B"/>
                <w:sz w:val="18"/>
              </w:rPr>
              <w:t>Master Media, File, and Digital Asset Governance Model</w:t>
            </w:r>
          </w:p>
        </w:tc>
        <w:tc>
          <w:tcPr>
            <w:tcW w:type="dxa" w:w="3331"/>
            <w:vAlign w:val="center"/>
          </w:tcPr>
          <w:p>
            <w:pPr>
              <w:spacing w:after="0" w:before="0"/>
            </w:pPr>
            <w:r>
              <w:rPr>
                <w:rFonts w:ascii="Aptos" w:hAnsi="Aptos"/>
                <w:color w:val="20262B"/>
                <w:sz w:val="18"/>
              </w:rPr>
              <w:t>Master Media, Files, and Digital Asset Governance Model</w:t>
            </w:r>
          </w:p>
        </w:tc>
        <w:tc>
          <w:tcPr>
            <w:tcW w:type="dxa" w:w="3331"/>
            <w:vAlign w:val="center"/>
          </w:tcPr>
          <w:p>
            <w:pPr>
              <w:spacing w:after="0" w:before="0"/>
            </w:pPr>
            <w:r>
              <w:rPr>
                <w:rFonts w:ascii="Aptos" w:hAnsi="Aptos"/>
                <w:color w:val="20262B"/>
                <w:sz w:val="18"/>
              </w:rPr>
              <w:t>Normalize plural form.</w:t>
            </w:r>
          </w:p>
        </w:tc>
      </w:tr>
      <w:tr>
        <w:tc>
          <w:tcPr>
            <w:tcW w:type="dxa" w:w="3331"/>
            <w:vAlign w:val="center"/>
            <w:shd w:fill="EAF0F4"/>
          </w:tcPr>
          <w:p>
            <w:pPr>
              <w:spacing w:after="0" w:before="0"/>
            </w:pPr>
            <w:r>
              <w:rPr>
                <w:rFonts w:ascii="Aptos" w:hAnsi="Aptos"/>
                <w:color w:val="20262B"/>
                <w:sz w:val="18"/>
              </w:rPr>
              <w:t>Master Relationship Model</w:t>
            </w:r>
          </w:p>
        </w:tc>
        <w:tc>
          <w:tcPr>
            <w:tcW w:type="dxa" w:w="3331"/>
            <w:vAlign w:val="center"/>
            <w:shd w:fill="EAF0F4"/>
          </w:tcPr>
          <w:p>
            <w:pPr>
              <w:spacing w:after="0" w:before="0"/>
            </w:pPr>
            <w:r>
              <w:rPr>
                <w:rFonts w:ascii="Aptos" w:hAnsi="Aptos"/>
                <w:color w:val="20262B"/>
                <w:sz w:val="18"/>
              </w:rPr>
              <w:t>Master Relationship Model V2.0</w:t>
            </w:r>
          </w:p>
        </w:tc>
        <w:tc>
          <w:tcPr>
            <w:tcW w:type="dxa" w:w="3331"/>
            <w:vAlign w:val="center"/>
            <w:shd w:fill="EAF0F4"/>
          </w:tcPr>
          <w:p>
            <w:pPr>
              <w:spacing w:after="0" w:before="0"/>
            </w:pPr>
            <w:r>
              <w:rPr>
                <w:rFonts w:ascii="Aptos" w:hAnsi="Aptos"/>
                <w:color w:val="20262B"/>
                <w:sz w:val="18"/>
              </w:rPr>
              <w:t>Add active version.</w:t>
            </w:r>
          </w:p>
        </w:tc>
      </w:tr>
      <w:tr>
        <w:tc>
          <w:tcPr>
            <w:tcW w:type="dxa" w:w="3331"/>
            <w:vAlign w:val="center"/>
          </w:tcPr>
          <w:p>
            <w:pPr>
              <w:spacing w:after="0" w:before="0"/>
            </w:pPr>
            <w:r>
              <w:rPr>
                <w:rFonts w:ascii="Aptos" w:hAnsi="Aptos"/>
                <w:color w:val="20262B"/>
                <w:sz w:val="18"/>
              </w:rPr>
              <w:t>Master Record Stewardship and Retention Model</w:t>
            </w:r>
          </w:p>
        </w:tc>
        <w:tc>
          <w:tcPr>
            <w:tcW w:type="dxa" w:w="3331"/>
            <w:vAlign w:val="center"/>
          </w:tcPr>
          <w:p>
            <w:pPr>
              <w:spacing w:after="0" w:before="0"/>
            </w:pPr>
            <w:r>
              <w:rPr>
                <w:rFonts w:ascii="Aptos" w:hAnsi="Aptos"/>
                <w:color w:val="20262B"/>
                <w:sz w:val="18"/>
              </w:rPr>
              <w:t>Master Record Stewardship and Retention Model V2.1</w:t>
            </w:r>
          </w:p>
        </w:tc>
        <w:tc>
          <w:tcPr>
            <w:tcW w:type="dxa" w:w="3331"/>
            <w:vAlign w:val="center"/>
          </w:tcPr>
          <w:p>
            <w:pPr>
              <w:spacing w:after="0" w:before="0"/>
            </w:pPr>
            <w:r>
              <w:rPr>
                <w:rFonts w:ascii="Aptos" w:hAnsi="Aptos"/>
                <w:color w:val="20262B"/>
                <w:sz w:val="18"/>
              </w:rPr>
              <w:t>Add active version.</w:t>
            </w:r>
          </w:p>
        </w:tc>
      </w:tr>
      <w:tr>
        <w:tc>
          <w:tcPr>
            <w:tcW w:type="dxa" w:w="3331"/>
            <w:vAlign w:val="center"/>
            <w:shd w:fill="EAF0F4"/>
          </w:tcPr>
          <w:p>
            <w:pPr>
              <w:spacing w:after="0" w:before="0"/>
            </w:pPr>
            <w:r>
              <w:rPr>
                <w:rFonts w:ascii="Aptos" w:hAnsi="Aptos"/>
                <w:color w:val="20262B"/>
                <w:sz w:val="18"/>
              </w:rPr>
              <w:t>Master External Architecture and Adapter Model</w:t>
            </w:r>
          </w:p>
        </w:tc>
        <w:tc>
          <w:tcPr>
            <w:tcW w:type="dxa" w:w="3331"/>
            <w:vAlign w:val="center"/>
            <w:shd w:fill="EAF0F4"/>
          </w:tcPr>
          <w:p>
            <w:pPr>
              <w:spacing w:after="0" w:before="0"/>
            </w:pPr>
            <w:r>
              <w:rPr>
                <w:rFonts w:ascii="Aptos" w:hAnsi="Aptos"/>
                <w:color w:val="20262B"/>
                <w:sz w:val="18"/>
              </w:rPr>
              <w:t>Master External Architecture and Adapter Model V2.1</w:t>
            </w:r>
          </w:p>
        </w:tc>
        <w:tc>
          <w:tcPr>
            <w:tcW w:type="dxa" w:w="3331"/>
            <w:vAlign w:val="center"/>
            <w:shd w:fill="EAF0F4"/>
          </w:tcPr>
          <w:p>
            <w:pPr>
              <w:spacing w:after="0" w:before="0"/>
            </w:pPr>
            <w:r>
              <w:rPr>
                <w:rFonts w:ascii="Aptos" w:hAnsi="Aptos"/>
                <w:color w:val="20262B"/>
                <w:sz w:val="18"/>
              </w:rPr>
              <w:t>Add active version.</w:t>
            </w:r>
          </w:p>
        </w:tc>
      </w:tr>
      <w:tr>
        <w:tc>
          <w:tcPr>
            <w:tcW w:type="dxa" w:w="3331"/>
            <w:vAlign w:val="center"/>
          </w:tcPr>
          <w:p>
            <w:pPr>
              <w:spacing w:after="0" w:before="0"/>
            </w:pPr>
            <w:r>
              <w:rPr>
                <w:rFonts w:ascii="Aptos" w:hAnsi="Aptos"/>
                <w:color w:val="20262B"/>
                <w:sz w:val="18"/>
              </w:rPr>
              <w:t>Master Agreement, Consent, and Authorization Model</w:t>
            </w:r>
          </w:p>
        </w:tc>
        <w:tc>
          <w:tcPr>
            <w:tcW w:type="dxa" w:w="3331"/>
            <w:vAlign w:val="center"/>
          </w:tcPr>
          <w:p>
            <w:pPr>
              <w:spacing w:after="0" w:before="0"/>
            </w:pPr>
            <w:r>
              <w:rPr>
                <w:rFonts w:ascii="Aptos" w:hAnsi="Aptos"/>
                <w:color w:val="20262B"/>
                <w:sz w:val="18"/>
              </w:rPr>
              <w:t>Master Agreement, Consent, and Authorization Model V2.1</w:t>
            </w:r>
          </w:p>
        </w:tc>
        <w:tc>
          <w:tcPr>
            <w:tcW w:type="dxa" w:w="3331"/>
            <w:vAlign w:val="center"/>
          </w:tcPr>
          <w:p>
            <w:pPr>
              <w:spacing w:after="0" w:before="0"/>
            </w:pPr>
            <w:r>
              <w:rPr>
                <w:rFonts w:ascii="Aptos" w:hAnsi="Aptos"/>
                <w:color w:val="20262B"/>
                <w:sz w:val="18"/>
              </w:rPr>
              <w:t>Add active version.</w:t>
            </w:r>
          </w:p>
        </w:tc>
      </w:tr>
      <w:tr>
        <w:tc>
          <w:tcPr>
            <w:tcW w:type="dxa" w:w="3331"/>
            <w:vAlign w:val="center"/>
            <w:shd w:fill="EAF0F4"/>
          </w:tcPr>
          <w:p>
            <w:pPr>
              <w:spacing w:after="0" w:before="0"/>
            </w:pPr>
            <w:r>
              <w:rPr>
                <w:rFonts w:ascii="Aptos" w:hAnsi="Aptos"/>
                <w:color w:val="20262B"/>
                <w:sz w:val="18"/>
              </w:rPr>
              <w:t>Master Product Vision</w:t>
            </w:r>
          </w:p>
        </w:tc>
        <w:tc>
          <w:tcPr>
            <w:tcW w:type="dxa" w:w="3331"/>
            <w:vAlign w:val="center"/>
            <w:shd w:fill="EAF0F4"/>
          </w:tcPr>
          <w:p>
            <w:pPr>
              <w:spacing w:after="0" w:before="0"/>
            </w:pPr>
            <w:r>
              <w:rPr>
                <w:rFonts w:ascii="Aptos" w:hAnsi="Aptos"/>
                <w:color w:val="20262B"/>
                <w:sz w:val="18"/>
              </w:rPr>
              <w:t>Master Product Vision V2.1</w:t>
            </w:r>
          </w:p>
        </w:tc>
        <w:tc>
          <w:tcPr>
            <w:tcW w:type="dxa" w:w="3331"/>
            <w:vAlign w:val="center"/>
            <w:shd w:fill="EAF0F4"/>
          </w:tcPr>
          <w:p>
            <w:pPr>
              <w:spacing w:after="0" w:before="0"/>
            </w:pPr>
            <w:r>
              <w:rPr>
                <w:rFonts w:ascii="Aptos" w:hAnsi="Aptos"/>
                <w:color w:val="20262B"/>
                <w:sz w:val="18"/>
              </w:rPr>
              <w:t>Add active version.</w:t>
            </w:r>
          </w:p>
        </w:tc>
      </w:tr>
      <w:tr>
        <w:tc>
          <w:tcPr>
            <w:tcW w:type="dxa" w:w="3331"/>
            <w:vAlign w:val="center"/>
          </w:tcPr>
          <w:p>
            <w:pPr>
              <w:spacing w:after="0" w:before="0"/>
            </w:pPr>
            <w:r>
              <w:rPr>
                <w:rFonts w:ascii="Aptos" w:hAnsi="Aptos"/>
                <w:color w:val="20262B"/>
                <w:sz w:val="18"/>
              </w:rPr>
              <w:t>Master Ecosystem Model</w:t>
            </w:r>
          </w:p>
        </w:tc>
        <w:tc>
          <w:tcPr>
            <w:tcW w:type="dxa" w:w="3331"/>
            <w:vAlign w:val="center"/>
          </w:tcPr>
          <w:p>
            <w:pPr>
              <w:spacing w:after="0" w:before="0"/>
            </w:pPr>
            <w:r>
              <w:rPr>
                <w:rFonts w:ascii="Aptos" w:hAnsi="Aptos"/>
                <w:color w:val="20262B"/>
                <w:sz w:val="18"/>
              </w:rPr>
              <w:t>Master Ecosystem Model V2.1</w:t>
            </w:r>
          </w:p>
        </w:tc>
        <w:tc>
          <w:tcPr>
            <w:tcW w:type="dxa" w:w="3331"/>
            <w:vAlign w:val="center"/>
          </w:tcPr>
          <w:p>
            <w:pPr>
              <w:spacing w:after="0" w:before="0"/>
            </w:pPr>
            <w:r>
              <w:rPr>
                <w:rFonts w:ascii="Aptos" w:hAnsi="Aptos"/>
                <w:color w:val="20262B"/>
                <w:sz w:val="18"/>
              </w:rPr>
              <w:t>Add active version.</w:t>
            </w:r>
          </w:p>
        </w:tc>
      </w:tr>
    </w:tbl>
    <w:p>
      <w:pPr>
        <w:spacing w:after="40"/>
      </w:pPr>
    </w:p>
    <w:p>
      <w:pPr>
        <w:pStyle w:val="Heading2"/>
      </w:pPr>
      <w:r>
        <w:rPr>
          <w:rFonts w:ascii="Aptos" w:hAnsi="Aptos"/>
          <w:color w:val="37566F"/>
          <w:sz w:val="26"/>
        </w:rPr>
        <w:t>2. Application Rule</w:t>
      </w:r>
    </w:p>
    <w:p>
      <w:pPr>
        <w:spacing w:after="80" w:line="254" w:lineRule="auto"/>
      </w:pPr>
      <w:r>
        <w:rPr>
          <w:rFonts w:ascii="Aptos" w:hAnsi="Aptos"/>
          <w:color w:val="20262B"/>
          <w:sz w:val="21"/>
        </w:rPr>
        <w:t>A normalized reference changes the cited authority name, not the historical filename or checksum of the source artifact. Historical files remain preserved. New and revised documents must use the current canonical reference unless explicitly discussing a historical version.</w:t>
      </w:r>
    </w:p>
    <w:p>
      <w:pPr>
        <w:pStyle w:val="Heading2"/>
      </w:pPr>
      <w:r>
        <w:rPr>
          <w:rFonts w:ascii="Aptos" w:hAnsi="Aptos"/>
          <w:color w:val="37566F"/>
          <w:sz w:val="26"/>
        </w:rPr>
        <w:t>3. Ambiguity Rule</w:t>
      </w:r>
    </w:p>
    <w:p>
      <w:pPr>
        <w:spacing w:after="80" w:line="254" w:lineRule="auto"/>
      </w:pPr>
      <w:r>
        <w:rPr>
          <w:rFonts w:ascii="Aptos" w:hAnsi="Aptos"/>
          <w:color w:val="20262B"/>
          <w:sz w:val="21"/>
        </w:rPr>
        <w:t>Where a legacy title may refer to a distinct implementation standard rather than constitutional canon, the author must identify the intended artifact and may not silently map it.</w:t>
      </w:r>
    </w:p>
    <w:p>
      <w:pPr>
        <w:pStyle w:val="Heading2"/>
      </w:pPr>
      <w:r>
        <w:rPr>
          <w:rFonts w:ascii="Aptos" w:hAnsi="Aptos"/>
          <w:color w:val="37566F"/>
          <w:sz w:val="26"/>
        </w:rPr>
        <w:t>4. Usage Examples</w:t>
      </w:r>
    </w:p>
    <w:p>
      <w:pPr>
        <w:pStyle w:val="ListBullet"/>
        <w:spacing w:after="30"/>
      </w:pPr>
      <w:r>
        <w:rPr>
          <w:rFonts w:ascii="Aptos" w:hAnsi="Aptos"/>
          <w:color w:val="20262B"/>
          <w:sz w:val="20"/>
        </w:rPr>
        <w:t>A new plugin-governance document must cite the Master Claims, Disputes, and Authority Model V2.0 rather than the legacy Claims and Retention title.</w:t>
      </w:r>
    </w:p>
    <w:p>
      <w:pPr>
        <w:pStyle w:val="ListBullet"/>
        <w:spacing w:after="30"/>
      </w:pPr>
      <w:r>
        <w:rPr>
          <w:rFonts w:ascii="Aptos" w:hAnsi="Aptos"/>
          <w:color w:val="20262B"/>
          <w:sz w:val="20"/>
        </w:rPr>
        <w:t>A security document may describe privacy-protective safeguards, but it must cite the Privacy and Data Protection Model V2.0 for processing rights and lawful-basis rules.</w:t>
      </w:r>
    </w:p>
    <w:p>
      <w:pPr>
        <w:pStyle w:val="ListBullet"/>
        <w:spacing w:after="30"/>
      </w:pPr>
      <w:r>
        <w:rPr>
          <w:rFonts w:ascii="Aptos" w:hAnsi="Aptos"/>
          <w:color w:val="20262B"/>
          <w:sz w:val="20"/>
        </w:rPr>
        <w:t>A permission document must cite the Agreement, Consent, and Authorization Model V2.1 for the consent record and lifecycle, while retaining permission ownership over enforcement.</w:t>
      </w:r>
    </w:p>
    <w:p>
      <w:pPr>
        <w:pStyle w:val="ListBullet"/>
        <w:spacing w:after="30"/>
      </w:pPr>
      <w:r>
        <w:rPr>
          <w:rFonts w:ascii="Aptos" w:hAnsi="Aptos"/>
          <w:color w:val="20262B"/>
          <w:sz w:val="20"/>
        </w:rPr>
        <w:t>A provider-specific implementation plan may name a vendor, but constitutional adapter rules must cite the External Architecture and Adapter Model V2.1 and current preferences must cite the Approved Provider Strategy Register V1.0.</w:t>
      </w:r>
    </w:p>
    <w:p>
      <w:pPr>
        <w:pStyle w:val="ListBullet"/>
        <w:spacing w:after="30"/>
      </w:pPr>
      <w:r>
        <w:rPr>
          <w:rFonts w:ascii="Aptos" w:hAnsi="Aptos"/>
          <w:color w:val="20262B"/>
          <w:sz w:val="20"/>
        </w:rPr>
        <w:t>A historical audit may quote an older filename exactly when the historical reference is material, but it must identify the current controlling successor.</w:t>
      </w:r>
    </w:p>
    <w:p>
      <w:pPr>
        <w:pStyle w:val="Heading2"/>
      </w:pPr>
      <w:r>
        <w:rPr>
          <w:rFonts w:ascii="Aptos" w:hAnsi="Aptos"/>
          <w:color w:val="37566F"/>
          <w:sz w:val="26"/>
        </w:rPr>
        <w:t>5. Review Rule</w:t>
      </w:r>
    </w:p>
    <w:p>
      <w:pPr>
        <w:spacing w:after="80" w:line="254" w:lineRule="auto"/>
      </w:pPr>
      <w:r>
        <w:rPr>
          <w:rFonts w:ascii="Aptos" w:hAnsi="Aptos"/>
          <w:color w:val="20262B"/>
          <w:sz w:val="21"/>
        </w:rPr>
        <w:t>The register must be reviewed whenever a canonical document is renamed, versioned, split, consolidated, superseded, or assigned a new constitutional owner. Broken-reference scans must use this registry as a normalization dictionary before treating a legacy title as a missing document.</w:t>
      </w:r>
    </w:p>
    <w:p>
      <w:pPr>
        <w:pStyle w:val="Heading2"/>
      </w:pPr>
      <w:r>
        <w:rPr>
          <w:rFonts w:ascii="Aptos" w:hAnsi="Aptos"/>
          <w:color w:val="37566F"/>
          <w:sz w:val="26"/>
        </w:rPr>
        <w:t>6. Authority Boundary</w:t>
      </w:r>
    </w:p>
    <w:p>
      <w:pPr>
        <w:spacing w:after="80" w:line="254" w:lineRule="auto"/>
      </w:pPr>
      <w:r>
        <w:rPr>
          <w:rFonts w:ascii="Aptos" w:hAnsi="Aptos"/>
          <w:color w:val="20262B"/>
          <w:sz w:val="21"/>
        </w:rPr>
        <w:t>This registry corrects references. It does not amend the substance of a cited canon, alter a historical checksum, authorize adoption or lock, or create implementation and production authority.</w:t>
      </w:r>
    </w:p>
    <w:sectPr w:rsidR="00FC693F" w:rsidRPr="0006063C" w:rsidSect="00034616">
      <w:headerReference w:type="default" r:id="rId9"/>
      <w:footerReference w:type="default" r:id="rId10"/>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872"/>
        <w:sz w:val="15"/>
      </w:rPr>
      <w:t>Founder-accepted text. Adoption, lock, implementation, production, and launch remain separately gated.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37566F"/>
        <w:sz w:val="16"/>
      </w:rPr>
      <w:t>EQUINESYNC  |  GOVERNANCE RECONCILIATION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026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Georgia" w:hAnsi="Georgia"/>
      <w:b/>
      <w:bCs/>
      <w:color w:val="18324A"/>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37566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A68A5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Georgia" w:hAnsi="Georgia"/>
      <w:b/>
      <w:color w:val="18324A"/>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CROSS CANON REFERENCE NORMALIZATION REGISTER V1 0</dc:title>
  <dc:subject>EquineSync governance reconciliation</dc:subject>
  <dc:creator>EquineSync</dc:creator>
  <cp:keywords>EquineSync, governance, constitutional canon, audit</cp:keywords>
  <dc:description>generated by python-docx</dc:description>
  <cp:lastModifiedBy/>
  <cp:revision>1</cp:revision>
  <dcterms:created xsi:type="dcterms:W3CDTF">2013-12-23T23:15:00Z</dcterms:created>
  <dcterms:modified xsi:type="dcterms:W3CDTF">2013-12-23T23:15:00Z</dcterms:modified>
  <cp:category/>
</cp:coreProperties>
</file>