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center"/>
        <w:tblLayout w:type="fixed"/>
        <w:tblLook w:firstColumn="1" w:firstRow="1" w:lastColumn="0" w:lastRow="0" w:noHBand="0" w:noVBand="1" w:val="04A0"/>
        <w:tblBorders/>
      </w:tblPr>
      <w:tblGrid>
        <w:gridCol w:w="2232"/>
        <w:gridCol w:w="7992"/>
      </w:tblGrid>
      <w:tr>
        <w:trPr>
          <w:trHeight w:val="13320" w:hRule="exact"/>
          <w:tblHeader/>
        </w:trPr>
        <w:tc>
          <w:tcPr>
            <w:tcW w:type="dxa" w:w="2232"/>
            <w:vAlign w:val="top"/>
            <w:shd w:fill="232734" w:val="clear"/>
            <w:tcMar>
              <w:top w:w="140" w:type="dxa"/>
              <w:start w:w="100" w:type="dxa"/>
              <w:bottom w:w="120" w:type="dxa"/>
              <w:end w:w="100" w:type="dxa"/>
            </w:tcMar>
            <w:tcBorders>
              <w:right w:val="single" w:sz="16" w:space="0" w:color="B8AACD"/>
            </w:tcBorders>
          </w:tcPr>
          <w:p>
            <w:pPr>
              <w:spacing w:after="100"/>
              <w:jc w:val="center"/>
            </w:pPr>
            <w:r>
              <w:drawing>
                <wp:inline xmlns:a="http://schemas.openxmlformats.org/drawingml/2006/main" xmlns:pic="http://schemas.openxmlformats.org/drawingml/2006/picture">
                  <wp:extent cx="960120" cy="685369"/>
                  <wp:docPr id="1" name="Picture 1" descr="EquineSync horse-and-technology logo, frost on midnight treatment" title="EquineSync horse-and-technology logo, frost on midnight treatment"/>
                  <wp:cNvGraphicFramePr>
                    <a:graphicFrameLocks noChangeAspect="1"/>
                  </wp:cNvGraphicFramePr>
                  <a:graphic>
                    <a:graphicData uri="http://schemas.openxmlformats.org/drawingml/2006/picture">
                      <pic:pic>
                        <pic:nvPicPr>
                          <pic:cNvPr id="0" name="FROST_ON_MIDNIGHT.png"/>
                          <pic:cNvPicPr/>
                        </pic:nvPicPr>
                        <pic:blipFill>
                          <a:blip r:embed="rId13"/>
                          <a:stretch>
                            <a:fillRect/>
                          </a:stretch>
                        </pic:blipFill>
                        <pic:spPr>
                          <a:xfrm>
                            <a:off x="0" y="0"/>
                            <a:ext cx="960120" cy="685369"/>
                          </a:xfrm>
                          <a:prstGeom prst="rect"/>
                        </pic:spPr>
                      </pic:pic>
                    </a:graphicData>
                  </a:graphic>
                </wp:inline>
              </w:drawing>
            </w:r>
          </w:p>
          <w:p>
            <w:pPr>
              <w:spacing w:after="0"/>
              <w:jc w:val="center"/>
            </w:pPr>
            <w:r>
              <w:rPr>
                <w:rFonts w:ascii="Inter" w:hAnsi="Inter" w:eastAsia="Inter"/>
                <w:b/>
                <w:color w:val="FFFFFF"/>
                <w:sz w:val="16"/>
              </w:rPr>
              <w:t>EQUINESYNC</w:t>
            </w:r>
          </w:p>
          <w:p>
            <w:pPr>
              <w:spacing w:lineRule="exact" w:line="7700" w:after="0"/>
            </w:pPr>
            <w:r>
              <w:rPr>
                <w:rFonts w:ascii="Inter" w:hAnsi="Inter" w:eastAsia="Inter"/>
                <w:color w:val="232734"/>
                <w:sz w:val="2"/>
              </w:rPr>
              <w:t xml:space="preserve"> </w:t>
            </w:r>
          </w:p>
          <w:p>
            <w:pPr>
              <w:spacing w:after="160"/>
              <w:jc w:val="left"/>
            </w:pPr>
            <w:r>
              <w:rPr>
                <w:rFonts w:ascii="Inter" w:hAnsi="Inter" w:eastAsia="Inter"/>
                <w:b/>
                <w:color w:val="B8AACD"/>
                <w:sz w:val="14"/>
              </w:rPr>
              <w:t>FOUNDATIONAL CANON</w:t>
            </w:r>
          </w:p>
          <w:p>
            <w:pPr>
              <w:spacing w:after="120"/>
              <w:jc w:val="left"/>
            </w:pPr>
            <w:r>
              <w:rPr>
                <w:rFonts w:ascii="Inter" w:hAnsi="Inter" w:eastAsia="Inter"/>
                <w:b/>
                <w:color w:val="FFFFFF"/>
                <w:sz w:val="16"/>
              </w:rPr>
              <w:t>AI GOVERNANCE</w:t>
            </w:r>
          </w:p>
          <w:p>
            <w:pPr>
              <w:jc w:val="left"/>
            </w:pPr>
            <w:r>
              <w:rPr>
                <w:rFonts w:ascii="EB Garamond" w:hAnsi="EB Garamond" w:eastAsia="EB Garamond"/>
                <w:i/>
                <w:color w:val="FFFFFF"/>
                <w:sz w:val="21"/>
              </w:rPr>
              <w:t>Every Horse.</w:t>
              <w:br/>
              <w:t>Every Task.</w:t>
              <w:br/>
              <w:t>In Sync.</w:t>
            </w:r>
          </w:p>
        </w:tc>
        <w:tc>
          <w:tcPr>
            <w:tcW w:type="dxa" w:w="7992"/>
            <w:vAlign w:val="top"/>
            <w:shd w:fill="F8F9FB" w:val="clear"/>
            <w:tcMar>
              <w:top w:w="250" w:type="dxa"/>
              <w:start w:w="310" w:type="dxa"/>
              <w:bottom w:w="180" w:type="dxa"/>
              <w:end w:w="300" w:type="dxa"/>
            </w:tcMar>
          </w:tcPr>
          <w:tbl>
            <w:tblPr>
              <w:tblW w:type="dxa" w:w="7128"/>
              <w:tblLayout w:type="fixed"/>
              <w:tblLook w:firstColumn="1" w:firstRow="1" w:lastColumn="0" w:lastRow="0" w:noHBand="0" w:noVBand="1" w:val="04A0"/>
              <w:tblBorders/>
            </w:tblPr>
            <w:tblGrid>
              <w:gridCol w:w="7128"/>
            </w:tblGrid>
            <w:tr>
              <w:trPr>
                <w:trHeight w:val="1080" w:hRule="exact"/>
                <w:tblHeader/>
              </w:trPr>
              <w:tc>
                <w:tcPr>
                  <w:tcW w:type="dxa" w:w="7128"/>
                  <w:shd w:fill="F8F9FB" w:val="clear"/>
                  <w:tcMar>
                    <w:top w:w="10" w:type="dxa"/>
                    <w:start w:w="10" w:type="dxa"/>
                    <w:bottom w:w="10" w:type="dxa"/>
                    <w:end w:w="10" w:type="dxa"/>
                  </w:tcMar>
                  <w:vAlign w:val="top"/>
                </w:tcPr>
                <w:p>
                  <w:pPr>
                    <w:spacing w:after="120"/>
                    <w:ind w:left="115" w:right="115"/>
                    <w:jc w:val="left"/>
                    <w:shd w:fill="EEEAF5" w:val="clear"/>
                  </w:pPr>
                  <w:r>
                    <w:rPr>
                      <w:rFonts w:ascii="Inter" w:hAnsi="Inter" w:eastAsia="Inter"/>
                      <w:b/>
                      <w:color w:val="303A59"/>
                      <w:sz w:val="14"/>
                    </w:rPr>
                    <w:t>TIER 3 FOUNDATIONAL DOMAIN CANON</w:t>
                  </w:r>
                </w:p>
                <w:p>
                  <w:pPr>
                    <w:jc w:val="left"/>
                  </w:pPr>
                  <w:r>
                    <w:rPr>
                      <w:rFonts w:ascii="Inter" w:hAnsi="Inter" w:eastAsia="Inter"/>
                      <w:b/>
                      <w:color w:val="5C6A82"/>
                      <w:sz w:val="14"/>
                    </w:rPr>
                    <w:t>CONSTITUTIONAL GOVERNANCE</w:t>
                  </w:r>
                </w:p>
              </w:tc>
            </w:tr>
            <w:tr>
              <w:trPr>
                <w:trHeight w:val="4536" w:hRule="exact"/>
              </w:trPr>
              <w:tc>
                <w:tcPr>
                  <w:tcW w:type="dxa" w:w="7128"/>
                  <w:shd w:fill="F8F9FB" w:val="clear"/>
                  <w:tcMar>
                    <w:top w:w="10" w:type="dxa"/>
                    <w:start w:w="10" w:type="dxa"/>
                    <w:bottom w:w="10" w:type="dxa"/>
                    <w:end w:w="10" w:type="dxa"/>
                  </w:tcMar>
                  <w:vAlign w:val="center"/>
                </w:tcPr>
                <w:p>
                  <w:pPr>
                    <w:spacing w:after="160"/>
                    <w:jc w:val="left"/>
                  </w:pPr>
                  <w:r>
                    <w:rPr>
                      <w:rFonts w:ascii="EB Garamond" w:hAnsi="EB Garamond" w:eastAsia="EB Garamond"/>
                      <w:b/>
                      <w:color w:val="232734"/>
                      <w:sz w:val="58"/>
                    </w:rPr>
                    <w:t>Master AI Governance and Decision Boundary Model</w:t>
                  </w:r>
                </w:p>
                <w:p>
                  <w:pPr>
                    <w:jc w:val="left"/>
                  </w:pPr>
                  <w:r>
                    <w:rPr>
                      <w:rFonts w:ascii="Inter" w:hAnsi="Inter" w:eastAsia="Inter"/>
                      <w:b/>
                      <w:color w:val="303A59"/>
                      <w:sz w:val="18"/>
                    </w:rPr>
                    <w:t>VERSION 2.0</w:t>
                  </w:r>
                </w:p>
                <w:tbl>
                  <w:tblPr>
                    <w:tblW w:type="dxa" w:w="3671"/>
                    <w:tblLayout w:type="fixed"/>
                    <w:tblLook w:firstColumn="1" w:firstRow="1" w:lastColumn="0" w:lastRow="0" w:noHBand="0" w:noVBand="1" w:val="04A0"/>
                    <w:tblBorders/>
                  </w:tblPr>
                  <w:tblGrid>
                    <w:gridCol w:w="1800"/>
                    <w:gridCol w:w="1224"/>
                    <w:gridCol w:w="648"/>
                  </w:tblGrid>
                  <w:tr>
                    <w:trPr>
                      <w:trHeight w:val="86" w:hRule="exact"/>
                      <w:tblHeader/>
                    </w:trPr>
                    <w:tc>
                      <w:tcPr>
                        <w:tcW w:type="dxa" w:w="1800"/>
                        <w:shd w:fill="303A59" w:val="clear"/>
                        <w:tcMar>
                          <w:top w:w="8" w:type="dxa"/>
                          <w:start w:w="0" w:type="dxa"/>
                          <w:bottom w:w="8" w:type="dxa"/>
                          <w:end w:w="0" w:type="dxa"/>
                        </w:tcMar>
                      </w:tcPr>
                      <w:p/>
                    </w:tc>
                    <w:tc>
                      <w:tcPr>
                        <w:tcW w:type="dxa" w:w="1224"/>
                        <w:shd w:fill="B8AACD" w:val="clear"/>
                        <w:tcMar>
                          <w:top w:w="8" w:type="dxa"/>
                          <w:start w:w="0" w:type="dxa"/>
                          <w:bottom w:w="8" w:type="dxa"/>
                          <w:end w:w="0" w:type="dxa"/>
                        </w:tcMar>
                      </w:tcPr>
                      <w:p/>
                    </w:tc>
                    <w:tc>
                      <w:tcPr>
                        <w:tcW w:type="dxa" w:w="648"/>
                        <w:shd w:fill="DCEAF4" w:val="clear"/>
                        <w:tcMar>
                          <w:top w:w="8" w:type="dxa"/>
                          <w:start w:w="0" w:type="dxa"/>
                          <w:bottom w:w="8" w:type="dxa"/>
                          <w:end w:w="0" w:type="dxa"/>
                        </w:tcMar>
                      </w:tcPr>
                      <w:p/>
                    </w:tc>
                  </w:tr>
                </w:tbl>
                <w:p/>
              </w:tc>
            </w:tr>
            <w:tr>
              <w:trPr>
                <w:trHeight w:val="2088" w:hRule="exact"/>
              </w:trPr>
              <w:tc>
                <w:tcPr>
                  <w:tcW w:type="dxa" w:w="7128"/>
                  <w:shd w:fill="F8F9FB" w:val="clear"/>
                  <w:tcMar>
                    <w:top w:w="10" w:type="dxa"/>
                    <w:start w:w="10" w:type="dxa"/>
                    <w:bottom w:w="10" w:type="dxa"/>
                    <w:end w:w="10" w:type="dxa"/>
                  </w:tcMar>
                  <w:vAlign w:val="center"/>
                </w:tcPr>
                <w:p>
                  <w:pPr>
                    <w:spacing w:after="100"/>
                    <w:jc w:val="left"/>
                  </w:pPr>
                  <w:r>
                    <w:rPr>
                      <w:rFonts w:ascii="Inter" w:hAnsi="Inter" w:eastAsia="Inter"/>
                      <w:b/>
                      <w:color w:val="303A59"/>
                      <w:sz w:val="24"/>
                    </w:rPr>
                    <w:t>Constitutionally Hardened Controlled Review Candidate</w:t>
                  </w:r>
                </w:p>
                <w:p>
                  <w:pPr>
                    <w:spacing w:line="252" w:lineRule="auto"/>
                    <w:jc w:val="left"/>
                  </w:pPr>
                  <w:r>
                    <w:rPr>
                      <w:rFonts w:ascii="Inter" w:hAnsi="Inter" w:eastAsia="Inter"/>
                      <w:i/>
                      <w:color w:val="5C6A82"/>
                      <w:sz w:val="17"/>
                    </w:rPr>
                    <w:t>Constitutional candidate only. No implementation, provider activation, customer-data transfer, production mutation, or public-launch authority.</w:t>
                  </w:r>
                </w:p>
              </w:tc>
            </w:tr>
            <w:tr>
              <w:trPr>
                <w:trHeight w:val="3960" w:hRule="exact"/>
              </w:trPr>
              <w:tc>
                <w:tcPr>
                  <w:tcW w:type="dxa" w:w="7128"/>
                  <w:shd w:fill="F8F9FB" w:val="clear"/>
                  <w:tcMar>
                    <w:top w:w="10" w:type="dxa"/>
                    <w:start w:w="10" w:type="dxa"/>
                    <w:bottom w:w="10" w:type="dxa"/>
                    <w:end w:w="10" w:type="dxa"/>
                  </w:tcMar>
                  <w:vAlign w:val="top"/>
                </w:tcPr>
                <w:p/>
                <w:tbl>
                  <w:tblPr>
                    <w:tblW w:type="dxa" w:w="6983"/>
                    <w:tblLayout w:type="fixed"/>
                    <w:tblLook w:firstColumn="1" w:firstRow="1" w:lastColumn="0" w:lastRow="0" w:noHBand="0" w:noVBand="1" w:val="04A0"/>
                    <w:tblBorders/>
                  </w:tblPr>
                  <w:tblGrid>
                    <w:gridCol w:w="1728"/>
                    <w:gridCol w:w="5256"/>
                  </w:tblGrid>
                  <w:tr>
                    <w:trPr>
                      <w:trHeight w:val="1037" w:hRule="atLeast"/>
                      <w:tblHeader/>
                    </w:trPr>
                    <w:tc>
                      <w:tcPr>
                        <w:tcW w:type="dxa" w:w="1728"/>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LIFECYCLE</w:t>
                        </w:r>
                      </w:p>
                    </w:tc>
                    <w:tc>
                      <w:tcPr>
                        <w:tcW w:type="dxa" w:w="5400"/>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Constitutionally hardened cross-canon candidate</w:t>
                        </w:r>
                      </w:p>
                    </w:tc>
                  </w:tr>
                  <w:tr>
                    <w:trPr>
                      <w:trHeight w:val="1037" w:hRule="atLeast"/>
                    </w:trPr>
                    <w:tc>
                      <w:tcPr>
                        <w:tcW w:type="dxa" w:w="1728"/>
                        <w:shd w:fill="F8F9FB"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AUTHORITY</w:t>
                        </w:r>
                      </w:p>
                    </w:tc>
                    <w:tc>
                      <w:tcPr>
                        <w:tcW w:type="dxa" w:w="5400"/>
                        <w:shd w:fill="F8F9FB"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Candidate only; not controlling</w:t>
                        </w:r>
                      </w:p>
                    </w:tc>
                  </w:tr>
                  <w:tr>
                    <w:trPr>
                      <w:trHeight w:val="1037" w:hRule="atLeast"/>
                    </w:trPr>
                    <w:tc>
                      <w:tcPr>
                        <w:tcW w:type="dxa" w:w="1728"/>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FOUNDER POSITIONS</w:t>
                        </w:r>
                      </w:p>
                    </w:tc>
                    <w:tc>
                      <w:tcPr>
                        <w:tcW w:type="dxa" w:w="5400"/>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Incorporated and preserved</w:t>
                        </w:r>
                      </w:p>
                    </w:tc>
                  </w:tr>
                </w:tbl>
                <w:p/>
              </w:tc>
            </w:tr>
            <w:tr>
              <w:trPr>
                <w:trHeight w:val="1152" w:hRule="exact"/>
              </w:trPr>
              <w:tc>
                <w:tcPr>
                  <w:tcW w:type="dxa" w:w="7128"/>
                  <w:shd w:fill="F8F9FB" w:val="clear"/>
                  <w:tcMar>
                    <w:top w:w="10" w:type="dxa"/>
                    <w:start w:w="10" w:type="dxa"/>
                    <w:bottom w:w="10" w:type="dxa"/>
                    <w:end w:w="10" w:type="dxa"/>
                  </w:tcMar>
                  <w:vAlign w:val="bottom"/>
                </w:tcPr>
                <w:p>
                  <w:pPr>
                    <w:jc w:val="left"/>
                    <w:pBdr>
                      <w:top w:val="single" w:sz="4" w:space="5" w:color="B9C6D4"/>
                    </w:pBdr>
                  </w:pPr>
                  <w:r>
                    <w:rPr>
                      <w:rFonts w:ascii="Inter" w:hAnsi="Inter" w:eastAsia="Inter"/>
                      <w:b/>
                      <w:color w:val="5C6A82"/>
                      <w:sz w:val="14"/>
                    </w:rPr>
                    <w:t>AI GOVERNANCE / V2.0</w:t>
                  </w:r>
                  <w:r>
                    <w:rPr>
                      <w:rFonts w:ascii="Inter" w:hAnsi="Inter" w:eastAsia="Inter"/>
                      <w:color w:val="5C6A82"/>
                      <w:sz w:val="14"/>
                    </w:rPr>
                    <w:t xml:space="preserve">   •   CONTROLLED REVIEW CANDIDATE</w:t>
                  </w:r>
                </w:p>
              </w:tc>
            </w:tr>
          </w:tbl>
          <w:p/>
        </w:tc>
      </w:tr>
    </w:tbl>
    <w:p>
      <w:pPr>
        <w:spacing w:after="0"/>
      </w:pPr>
      <w:r>
        <w:br w:type="page"/>
      </w:r>
    </w:p>
    <w:p>
      <w:pPr>
        <w:spacing w:before="80" w:after="160"/>
        <w:ind w:left="144" w:right="86"/>
        <w:shd w:fill="EEF2F7" w:val="clear"/>
        <w:pBdr>
          <w:left w:val="single" w:sz="18" w:space="4" w:color="B8AACD"/>
        </w:pBdr>
        <w:widowControl w:val="true"/>
      </w:pPr>
      <w:r>
        <w:rPr>
          <w:rFonts w:ascii="Inter" w:hAnsi="Inter" w:eastAsia="Inter"/>
          <w:b/>
          <w:color w:val="252A36"/>
          <w:sz w:val="18"/>
        </w:rPr>
        <w:t>CONTROLLED DRAFT NOTICE:</w:t>
      </w:r>
      <w:r>
        <w:rPr>
          <w:rFonts w:ascii="Inter" w:hAnsi="Inter" w:eastAsia="Inter"/>
          <w:b w:val="0"/>
          <w:color w:val="252A36"/>
          <w:sz w:val="18"/>
        </w:rPr>
        <w:t xml:space="preserve"> This document is a constitutional candidate. It is not adopted, locked, implemented, or authorized for production use. Version 2.0 supersedes Versions 1.0 and 1.1 for review purposes only. All prior versions must remain preserved as historical evidence.</w:t>
      </w:r>
    </w:p>
    <w:p>
      <w:pPr>
        <w:pStyle w:val="Heading1"/>
        <w:pBdr>
          <w:bottom w:val="single" w:sz="5" w:space="4" w:color="B8AACD"/>
        </w:pBdr>
        <w:widowControl w:val="true"/>
      </w:pPr>
      <w:r>
        <w:rPr>
          <w:rFonts w:ascii="EB Garamond" w:hAnsi="EB Garamond" w:eastAsia="EB Garamond"/>
          <w:b/>
          <w:color w:val="232734"/>
          <w:sz w:val="37"/>
        </w:rPr>
        <w:t>Document Control</w:t>
      </w: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Field</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Value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Document Type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 Foundational Domain Canon Candidate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Version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2.0</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Lifecycle State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4"/>
              </w:rPr>
              <w:t>CONSTITUTIONALLY_HARDENED_CROSS_CANON_CANDIDATE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Founder Positions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Incorporated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Constitutional Authority</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Candidate only; not yet controlling</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Adoption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Lock Achieved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Implementation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AI Provider Activation Authorized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Customer Data Training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Production Mutation Authorized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Public Launch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Supersedes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Versions 1.0 and 1.1 for review purposes; historical preservation required</w:t>
            </w:r>
          </w:p>
        </w:tc>
      </w:tr>
    </w:tbl>
    <w:p>
      <w:pPr>
        <w:spacing w:after="0"/>
        <w:widowControl w:val="true"/>
      </w:pPr>
    </w:p>
    <w:p>
      <w:pPr>
        <w:pStyle w:val="Heading1"/>
        <w:pBdr>
          <w:bottom w:val="single" w:sz="5" w:space="4" w:color="B8AACD"/>
        </w:pBdr>
        <w:widowControl w:val="true"/>
      </w:pPr>
      <w:r>
        <w:rPr>
          <w:rFonts w:ascii="EB Garamond" w:hAnsi="EB Garamond" w:eastAsia="EB Garamond"/>
          <w:b/>
          <w:color w:val="232734"/>
          <w:sz w:val="37"/>
        </w:rPr>
        <w:t>Required Cross-Canon Dependencies</w:t>
      </w:r>
    </w:p>
    <w:p>
      <w:pPr>
        <w:pStyle w:val="ListBullet"/>
        <w:keepLines w:val="0"/>
        <w:widowControl w:val="true"/>
      </w:pPr>
      <w:r>
        <w:rPr>
          <w:rFonts w:ascii="Inter" w:hAnsi="Inter" w:eastAsia="Inter"/>
          <w:b w:val="0"/>
          <w:color w:val="252A36"/>
          <w:sz w:val="18"/>
        </w:rPr>
        <w:t>Master Identity, Account, and Actor Model</w:t>
      </w:r>
    </w:p>
    <w:p>
      <w:pPr>
        <w:pStyle w:val="ListBullet"/>
        <w:keepLines w:val="0"/>
        <w:widowControl w:val="true"/>
      </w:pPr>
      <w:r>
        <w:rPr>
          <w:rFonts w:ascii="Inter" w:hAnsi="Inter" w:eastAsia="Inter"/>
          <w:b w:val="0"/>
          <w:color w:val="252A36"/>
          <w:sz w:val="18"/>
        </w:rPr>
        <w:t>Master Relationship Model</w:t>
      </w:r>
    </w:p>
    <w:p>
      <w:pPr>
        <w:pStyle w:val="ListBullet"/>
        <w:keepLines w:val="0"/>
        <w:widowControl w:val="true"/>
      </w:pPr>
      <w:r>
        <w:rPr>
          <w:rFonts w:ascii="Inter" w:hAnsi="Inter" w:eastAsia="Inter"/>
          <w:b w:val="0"/>
          <w:color w:val="252A36"/>
          <w:sz w:val="18"/>
        </w:rPr>
        <w:t>Master Agreement, Consent, and Authorization Model</w:t>
      </w:r>
    </w:p>
    <w:p>
      <w:pPr>
        <w:pStyle w:val="ListBullet"/>
        <w:keepLines w:val="0"/>
        <w:widowControl w:val="true"/>
      </w:pPr>
      <w:r>
        <w:rPr>
          <w:rFonts w:ascii="Inter" w:hAnsi="Inter" w:eastAsia="Inter"/>
          <w:b w:val="0"/>
          <w:color w:val="252A36"/>
          <w:sz w:val="18"/>
        </w:rPr>
        <w:t>Master Record Stewardship and Retention Model</w:t>
      </w:r>
    </w:p>
    <w:p>
      <w:pPr>
        <w:pStyle w:val="ListBullet"/>
        <w:keepLines w:val="0"/>
        <w:widowControl w:val="true"/>
      </w:pPr>
      <w:r>
        <w:rPr>
          <w:rFonts w:ascii="Inter" w:hAnsi="Inter" w:eastAsia="Inter"/>
          <w:b w:val="0"/>
          <w:color w:val="252A36"/>
          <w:sz w:val="18"/>
        </w:rPr>
        <w:t>Master Claims and Retention Model</w:t>
      </w:r>
    </w:p>
    <w:p>
      <w:pPr>
        <w:pStyle w:val="ListBullet"/>
        <w:keepLines w:val="0"/>
        <w:widowControl w:val="true"/>
      </w:pPr>
      <w:r>
        <w:rPr>
          <w:rFonts w:ascii="Inter" w:hAnsi="Inter" w:eastAsia="Inter"/>
          <w:b w:val="0"/>
          <w:color w:val="252A36"/>
          <w:sz w:val="18"/>
        </w:rPr>
        <w:t>Master Audit Event and Evidence Model</w:t>
      </w:r>
    </w:p>
    <w:p>
      <w:pPr>
        <w:pStyle w:val="ListBullet"/>
        <w:keepLines w:val="0"/>
        <w:widowControl w:val="true"/>
      </w:pPr>
      <w:r>
        <w:rPr>
          <w:rFonts w:ascii="Inter" w:hAnsi="Inter" w:eastAsia="Inter"/>
          <w:b w:val="0"/>
          <w:color w:val="252A36"/>
          <w:sz w:val="18"/>
        </w:rPr>
        <w:t>Master Communication, Notification, and Notice Model</w:t>
      </w:r>
    </w:p>
    <w:p>
      <w:pPr>
        <w:pStyle w:val="ListBullet"/>
        <w:keepLines w:val="0"/>
        <w:widowControl w:val="true"/>
      </w:pPr>
      <w:r>
        <w:rPr>
          <w:rFonts w:ascii="Inter" w:hAnsi="Inter" w:eastAsia="Inter"/>
          <w:b w:val="0"/>
          <w:color w:val="252A36"/>
          <w:sz w:val="18"/>
        </w:rPr>
        <w:t>Master Financial Truth and Responsibility Model V2.1</w:t>
      </w:r>
    </w:p>
    <w:p>
      <w:pPr>
        <w:pStyle w:val="ListBullet"/>
        <w:keepLines w:val="0"/>
        <w:widowControl w:val="true"/>
      </w:pPr>
      <w:r>
        <w:rPr>
          <w:rFonts w:ascii="Inter" w:hAnsi="Inter" w:eastAsia="Inter"/>
          <w:b w:val="0"/>
          <w:color w:val="252A36"/>
          <w:sz w:val="18"/>
        </w:rPr>
        <w:t>Master External Architecture and Adapter Model</w:t>
      </w:r>
    </w:p>
    <w:p>
      <w:pPr>
        <w:pStyle w:val="ListBullet"/>
        <w:keepLines w:val="0"/>
        <w:widowControl w:val="true"/>
      </w:pPr>
      <w:r>
        <w:rPr>
          <w:rFonts w:ascii="Inter" w:hAnsi="Inter" w:eastAsia="Inter"/>
          <w:b w:val="0"/>
          <w:color w:val="252A36"/>
          <w:sz w:val="18"/>
        </w:rPr>
        <w:t>Master Platform Operations, Reliability, and Release Model</w:t>
      </w:r>
    </w:p>
    <w:p>
      <w:pPr>
        <w:pStyle w:val="ListBullet"/>
        <w:keepLines w:val="0"/>
        <w:widowControl w:val="true"/>
      </w:pPr>
      <w:r>
        <w:rPr>
          <w:rFonts w:ascii="Inter" w:hAnsi="Inter" w:eastAsia="Inter"/>
          <w:b w:val="0"/>
          <w:color w:val="252A36"/>
          <w:sz w:val="18"/>
        </w:rPr>
        <w:t>Master Horse Transfer and Passport Continuity authority</w:t>
      </w:r>
    </w:p>
    <w:p>
      <w:pPr>
        <w:pStyle w:val="ListBullet"/>
        <w:keepLines w:val="0"/>
        <w:widowControl w:val="true"/>
      </w:pPr>
      <w:r>
        <w:rPr>
          <w:rFonts w:ascii="Inter" w:hAnsi="Inter" w:eastAsia="Inter"/>
          <w:b w:val="0"/>
          <w:color w:val="252A36"/>
          <w:sz w:val="18"/>
        </w:rPr>
        <w:t>Master EquineSync Implementation Atlas and all applicable implementation gates</w:t>
      </w:r>
    </w:p>
    <w:p>
      <w:pPr>
        <w:pStyle w:val="Heading1"/>
        <w:pBdr>
          <w:bottom w:val="single" w:sz="5" w:space="4" w:color="B8AACD"/>
        </w:pBdr>
        <w:widowControl w:val="true"/>
      </w:pPr>
      <w:r>
        <w:rPr>
          <w:rFonts w:ascii="EB Garamond" w:hAnsi="EB Garamond" w:eastAsia="EB Garamond"/>
          <w:b/>
          <w:color w:val="232734"/>
          <w:sz w:val="37"/>
        </w:rPr>
        <w:t>Executive Constitutional Rule</w:t>
      </w:r>
    </w:p>
    <w:p>
      <w:pPr>
        <w:spacing w:before="100" w:after="140"/>
        <w:ind w:left="216" w:right="144"/>
        <w:shd w:fill="DCEAF4"/>
        <w:pBdr>
          <w:left w:val="single" w:sz="20" w:space="7" w:color="B8AECF"/>
        </w:pBdr>
        <w:widowControl w:val="true"/>
      </w:pPr>
      <w:r>
        <w:rPr>
          <w:rFonts w:ascii="Inter" w:hAnsi="Inter" w:eastAsia="Inter"/>
          <w:b w:val="0"/>
          <w:color w:val="252A36"/>
          <w:sz w:val="18"/>
        </w:rPr>
        <w:t>AI may assist, summarize, extract, organize, detect patterns, estimate, recommend, draft, and perform bounded routine tasks. It may not independently exercise consequential legal, financial, medical, welfare, safeguarding, ownership, disciplinary, access-control, rider-ability, lameness, or emergency authority.</w:t>
      </w:r>
    </w:p>
    <w:p>
      <w:pPr>
        <w:pStyle w:val="Heading1"/>
        <w:pBdr>
          <w:bottom w:val="single" w:sz="5" w:space="4" w:color="B8AACD"/>
        </w:pBdr>
        <w:widowControl w:val="true"/>
      </w:pPr>
      <w:r>
        <w:rPr>
          <w:rFonts w:ascii="EB Garamond" w:hAnsi="EB Garamond" w:eastAsia="EB Garamond"/>
          <w:b/>
          <w:color w:val="232734"/>
          <w:sz w:val="37"/>
        </w:rPr>
        <w:t>Constitutional Map</w:t>
      </w: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Part</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Sections</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Focus</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1-11</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Constitutional authority, scope, interpretation, anti-circumvention, and definitions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II</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12-24</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Five-tier authority structure, nondelegable zones, meaningful human control, and safe failure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III</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25-39</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High-trust data stewardship, purpose limitation, training prohibition, permissions, derivatives, and offline use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IV</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40-51</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Labeling, provenance, uncertainty, explainability, records, communications, and intellectual integrity</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V</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52-69</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Launch-candidate eligibility and capability-specific legal, professional, safety, and operational boundaries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VI</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70-100</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Accountability, safety cases, registries, evaluation, security, monitoring, incidents, vendors, adoption, and amendment</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Appendices</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A-L</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Capability, authority, risk, registry, incident, labeling, review, safety-case, supply-chain, suspension, and professional-review controls</w:t>
            </w:r>
          </w:p>
        </w:tc>
      </w:tr>
    </w:tbl>
    <w:p>
      <w:pPr>
        <w:spacing w:after="0"/>
        <w:widowControl w:val="true"/>
      </w:pPr>
    </w:p>
    <w:p>
      <w:pPr>
        <w:pStyle w:val="Heading1"/>
        <w:pBdr>
          <w:bottom w:val="single" w:sz="5" w:space="4" w:color="B8AACD"/>
        </w:pBdr>
        <w:widowControl w:val="true"/>
      </w:pPr>
      <w:r>
        <w:rPr>
          <w:rFonts w:ascii="EB Garamond" w:hAnsi="EB Garamond" w:eastAsia="EB Garamond"/>
          <w:b/>
          <w:color w:val="232734"/>
          <w:sz w:val="37"/>
        </w:rPr>
        <w:t>Version 2.0 Foundational Review Summary</w:t>
      </w:r>
    </w:p>
    <w:p>
      <w:pPr>
        <w:widowControl w:val="true"/>
        <w:spacing w:after="40" w:line="240" w:lineRule="auto"/>
      </w:pPr>
      <w:r>
        <w:rPr>
          <w:rFonts w:ascii="Inter" w:hAnsi="Inter" w:eastAsia="Inter"/>
          <w:b w:val="0"/>
          <w:color w:val="252A36"/>
          <w:sz w:val="18"/>
        </w:rPr>
        <w:t>Version 2.0 preserves every founder-approved boundary and hardens the constitutional architecture where Version 1.1 could be interpreted too loosely. The principal corrections are:</w:t>
      </w:r>
    </w:p>
    <w:p>
      <w:pPr>
        <w:pStyle w:val="ListBullet"/>
        <w:keepLines w:val="0"/>
        <w:widowControl w:val="true"/>
        <w:spacing w:after="0" w:line="240" w:lineRule="auto"/>
      </w:pPr>
      <w:r>
        <w:rPr>
          <w:rFonts w:ascii="Inter" w:hAnsi="Inter" w:eastAsia="Inter"/>
          <w:b w:val="0"/>
          <w:color w:val="252A36"/>
          <w:sz w:val="18"/>
        </w:rPr>
        <w:t>replaces the legally loaded phrase “customer data fiduciary posture” with a defined high-trust stewardship standard while preserving strict data duties;</w:t>
      </w:r>
    </w:p>
    <w:p>
      <w:pPr>
        <w:pStyle w:val="ListBullet"/>
        <w:keepLines w:val="0"/>
        <w:widowControl w:val="true"/>
        <w:spacing w:after="0" w:line="240" w:lineRule="auto"/>
      </w:pPr>
      <w:r>
        <w:rPr>
          <w:rFonts w:ascii="Inter" w:hAnsi="Inter" w:eastAsia="Inter"/>
          <w:b w:val="0"/>
          <w:color w:val="252A36"/>
          <w:sz w:val="18"/>
        </w:rPr>
        <w:t>establishes an explicit AI authority stack, conflict rule, anti-waiver rule, and constitutional amendment requirement;</w:t>
      </w:r>
    </w:p>
    <w:p>
      <w:pPr>
        <w:pStyle w:val="ListBullet"/>
        <w:keepLines w:val="0"/>
        <w:widowControl w:val="true"/>
        <w:spacing w:after="0" w:line="240" w:lineRule="auto"/>
      </w:pPr>
      <w:r>
        <w:rPr>
          <w:rFonts w:ascii="Inter" w:hAnsi="Inter" w:eastAsia="Inter"/>
          <w:b w:val="0"/>
          <w:color w:val="252A36"/>
          <w:sz w:val="18"/>
        </w:rPr>
        <w:t>prohibits consent laundering, policy-by-default, function creep, cumulative low-tier actions that create a high-tier consequence, and informal exceptions;</w:t>
      </w:r>
    </w:p>
    <w:p>
      <w:pPr>
        <w:pStyle w:val="ListBullet"/>
        <w:keepLines w:val="0"/>
        <w:widowControl w:val="true"/>
        <w:spacing w:after="0" w:line="240" w:lineRule="auto"/>
      </w:pPr>
      <w:r>
        <w:rPr>
          <w:rFonts w:ascii="Inter" w:hAnsi="Inter" w:eastAsia="Inter"/>
          <w:b w:val="0"/>
          <w:color w:val="252A36"/>
          <w:sz w:val="18"/>
        </w:rPr>
        <w:t>distinguishes constitutional eligibility for planning from launch presumption, pilot authority, production authority, and general availability;</w:t>
      </w:r>
    </w:p>
    <w:p>
      <w:pPr>
        <w:pStyle w:val="ListBullet"/>
        <w:keepLines w:val="0"/>
        <w:widowControl w:val="true"/>
        <w:spacing w:after="0" w:line="240" w:lineRule="auto"/>
      </w:pPr>
      <w:r>
        <w:rPr>
          <w:rFonts w:ascii="Inter" w:hAnsi="Inter" w:eastAsia="Inter"/>
          <w:b w:val="0"/>
          <w:color w:val="252A36"/>
          <w:sz w:val="18"/>
        </w:rPr>
        <w:t>creates a mandatory use-case safety case with accountable ownership, evidence, residual-risk acceptance, expiry, and renewal;</w:t>
      </w:r>
    </w:p>
    <w:p>
      <w:pPr>
        <w:pStyle w:val="ListBullet"/>
        <w:keepLines w:val="0"/>
        <w:widowControl w:val="true"/>
        <w:spacing w:after="0" w:line="240" w:lineRule="auto"/>
      </w:pPr>
      <w:r>
        <w:rPr>
          <w:rFonts w:ascii="Inter" w:hAnsi="Inter" w:eastAsia="Inter"/>
          <w:b w:val="0"/>
          <w:color w:val="252A36"/>
          <w:sz w:val="18"/>
        </w:rPr>
        <w:t>strengthens human-review competence, independence, workload, contrary-evidence, and anti-rubber-stamping requirements;</w:t>
      </w:r>
    </w:p>
    <w:p>
      <w:pPr>
        <w:pStyle w:val="ListBullet"/>
        <w:keepLines w:val="0"/>
        <w:widowControl w:val="true"/>
        <w:spacing w:after="0" w:line="240" w:lineRule="auto"/>
      </w:pPr>
      <w:r>
        <w:rPr>
          <w:rFonts w:ascii="Inter" w:hAnsi="Inter" w:eastAsia="Inter"/>
          <w:b w:val="0"/>
          <w:color w:val="252A36"/>
          <w:sz w:val="18"/>
        </w:rPr>
        <w:t>closes data loopholes involving derived data, embeddings, evaluation data, public data, user feedback, model memory, and third-party rights;</w:t>
      </w:r>
    </w:p>
    <w:p>
      <w:pPr>
        <w:pStyle w:val="ListBullet"/>
        <w:keepLines w:val="0"/>
        <w:widowControl w:val="true"/>
        <w:spacing w:after="0" w:line="240" w:lineRule="auto"/>
      </w:pPr>
      <w:r>
        <w:rPr>
          <w:rFonts w:ascii="Inter" w:hAnsi="Inter" w:eastAsia="Inter"/>
          <w:b w:val="0"/>
          <w:color w:val="252A36"/>
          <w:sz w:val="18"/>
        </w:rPr>
        <w:t>requires professional domain review for equine health-risk, feed, lameness-adjacent, rider-safety, financial, collections, and safeguarding use cases;</w:t>
      </w:r>
    </w:p>
    <w:p>
      <w:pPr>
        <w:pStyle w:val="ListBullet"/>
        <w:keepLines w:val="0"/>
        <w:widowControl w:val="true"/>
        <w:spacing w:after="0" w:line="240" w:lineRule="auto"/>
      </w:pPr>
      <w:r>
        <w:rPr>
          <w:rFonts w:ascii="Inter" w:hAnsi="Inter" w:eastAsia="Inter"/>
          <w:b w:val="0"/>
          <w:color w:val="252A36"/>
          <w:sz w:val="18"/>
        </w:rPr>
        <w:t>strengthens AI agent composition controls so permitted actions cannot be chained into a prohibited outcome;</w:t>
      </w:r>
    </w:p>
    <w:p>
      <w:pPr>
        <w:pStyle w:val="ListBullet"/>
        <w:keepLines w:val="0"/>
        <w:widowControl w:val="true"/>
        <w:spacing w:after="0" w:line="240" w:lineRule="auto"/>
      </w:pPr>
      <w:r>
        <w:rPr>
          <w:rFonts w:ascii="Inter" w:hAnsi="Inter" w:eastAsia="Inter"/>
          <w:b w:val="0"/>
          <w:color w:val="252A36"/>
          <w:sz w:val="18"/>
        </w:rPr>
        <w:t>adds model-supply-chain integrity, provider insolvency, acquisition, terms-change, and emergency suspension controls;</w:t>
      </w:r>
    </w:p>
    <w:p>
      <w:pPr>
        <w:pStyle w:val="ListBullet"/>
        <w:keepLines w:val="0"/>
        <w:widowControl w:val="true"/>
      </w:pPr>
      <w:r>
        <w:rPr>
          <w:rFonts w:ascii="Inter" w:hAnsi="Inter" w:eastAsia="Inter"/>
          <w:b w:val="0"/>
          <w:color w:val="252A36"/>
          <w:sz w:val="18"/>
        </w:rPr>
        <w:t>requires a practical non-AI path to authoritative records, disputes, safety reporting, essential care, and human review;</w:t>
      </w:r>
    </w:p>
    <w:p>
      <w:pPr>
        <w:pStyle w:val="ListBullet"/>
        <w:keepLines w:val="0"/>
        <w:widowControl w:val="true"/>
      </w:pPr>
      <w:r>
        <w:rPr>
          <w:rFonts w:ascii="Inter" w:hAnsi="Inter" w:eastAsia="Inter"/>
          <w:b w:val="0"/>
          <w:color w:val="252A36"/>
          <w:sz w:val="18"/>
        </w:rPr>
        <w:t>adds controlled amendment, non-waiver, exception, review-cadence, sunset, and suspension rules.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 CONSTITUTIONAL FOUNDATION</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1. Purpose</w:t>
      </w:r>
    </w:p>
    <w:p>
      <w:pPr>
        <w:widowControl w:val="true"/>
      </w:pPr>
      <w:r>
        <w:rPr>
          <w:rFonts w:ascii="Inter" w:hAnsi="Inter" w:eastAsia="Inter"/>
          <w:b w:val="0"/>
          <w:color w:val="252A36"/>
          <w:sz w:val="18"/>
        </w:rPr>
        <w:t>This Model establishes the constitutional rules governing artificial intelligence, machine learning, statistical scoring, generative systems, computer vision, automated agents, AI-assisted workflows, and related decision-support capabilities within EquineSync.</w:t>
      </w:r>
    </w:p>
    <w:p>
      <w:pPr>
        <w:widowControl w:val="true"/>
      </w:pPr>
      <w:r>
        <w:rPr>
          <w:rFonts w:ascii="Inter" w:hAnsi="Inter" w:eastAsia="Inter"/>
          <w:b w:val="0"/>
          <w:color w:val="252A36"/>
          <w:sz w:val="18"/>
        </w:rPr>
        <w:t>Its purpose is to make AI useful without allowing it to become an unaccountable source of authority, an invisible policy-maker, a substitute for professional judgment, or a route around EquineSync's constitutional controls. AI may help people find information, identify patterns and trends, prepare routine work, and make operations safer and more efficient. It may not replace the people and organizations that hold legal, professional, financial, welfare, safeguarding, ownership, contractual, or operational responsibility.</w:t>
      </w:r>
    </w:p>
    <w:p>
      <w:pPr>
        <w:widowControl w:val="true"/>
      </w:pPr>
      <w:r>
        <w:rPr>
          <w:rFonts w:ascii="Inter" w:hAnsi="Inter" w:eastAsia="Inter"/>
          <w:b w:val="0"/>
          <w:color w:val="252A36"/>
          <w:sz w:val="18"/>
        </w:rPr>
        <w:t>This Model is both a permission boundary and a prohibition boundary. A capability is not permitted merely because this Model does not name it expressly. Every use case requires affirmative classification, an accountable owner, a defined purpose, a documented data boundary, and separate stage-specific authority.</w:t>
      </w:r>
    </w:p>
    <w:p>
      <w:pPr>
        <w:pStyle w:val="Heading2"/>
        <w:pBdr>
          <w:left w:val="single" w:sz="14" w:space="5" w:color="B8AECF"/>
        </w:pBdr>
        <w:keepNext/>
        <w:widowControl w:val="true"/>
      </w:pPr>
      <w:r>
        <w:rPr>
          <w:rFonts w:ascii="Inter" w:hAnsi="Inter" w:eastAsia="Inter"/>
          <w:b/>
          <w:color w:val="303A59"/>
          <w:sz w:val="23"/>
        </w:rPr>
        <w:t>2. Constitutional Status and Effect</w:t>
      </w:r>
    </w:p>
    <w:p>
      <w:pPr>
        <w:widowControl w:val="true"/>
      </w:pPr>
      <w:r>
        <w:rPr>
          <w:rFonts w:ascii="Inter" w:hAnsi="Inter" w:eastAsia="Inter"/>
          <w:b w:val="0"/>
          <w:color w:val="252A36"/>
          <w:sz w:val="18"/>
        </w:rPr>
        <w:t>This Version 2.0 is a constitutionally hardened candidate prepared for controlled cross-canon review, dependency validation, founder review, and possible controlled adoption. It is not adopted, locked, or controlling until those steps are completed.</w:t>
      </w:r>
    </w:p>
    <w:p>
      <w:pPr>
        <w:widowControl w:val="true"/>
      </w:pPr>
      <w:r>
        <w:rPr>
          <w:rFonts w:ascii="Inter" w:hAnsi="Inter" w:eastAsia="Inter"/>
          <w:b w:val="0"/>
          <w:color w:val="252A36"/>
          <w:sz w:val="18"/>
        </w:rPr>
        <w:t>If adopted, this Model will establish the AI-specific constitutional overlay for EquineSync. It will govern how AI may interact with every underlying domain while leaving substantive domain authority with the controlling Identity, Relationship, Agreement, Record, Claim, Audit, Communication, Financial, Horse Transfer, Platform Operations, and other applicable canons.</w:t>
      </w:r>
    </w:p>
    <w:p>
      <w:pPr>
        <w:widowControl w:val="true"/>
      </w:pPr>
      <w:r>
        <w:rPr>
          <w:rFonts w:ascii="Inter" w:hAnsi="Inter" w:eastAsia="Inter"/>
          <w:b w:val="0"/>
          <w:color w:val="252A36"/>
          <w:sz w:val="18"/>
        </w:rPr>
        <w:t>Adoption of this Model will not authorize implementation, runtime activation, provider credentials, customer-data transfer, embeddings, indexing, automated actions, schema changes, migration, production mutation, customer pilots, public launch, or any named capability. No product roadmap, marketing statement, user setting, contract clause, consent screen, pilot invitation, or administrative convenience may be treated as equivalent to implementation authority.</w:t>
      </w:r>
    </w:p>
    <w:p>
      <w:pPr>
        <w:pStyle w:val="Heading2"/>
        <w:pBdr>
          <w:left w:val="single" w:sz="14" w:space="5" w:color="B8AECF"/>
        </w:pBdr>
        <w:keepNext/>
        <w:widowControl w:val="true"/>
      </w:pPr>
      <w:r>
        <w:rPr>
          <w:rFonts w:ascii="Inter" w:hAnsi="Inter" w:eastAsia="Inter"/>
          <w:b/>
          <w:color w:val="303A59"/>
          <w:sz w:val="23"/>
        </w:rPr>
        <w:t>3. Scope and Material AI Influence</w:t>
      </w:r>
    </w:p>
    <w:p>
      <w:pPr>
        <w:widowControl w:val="true"/>
      </w:pPr>
      <w:r>
        <w:rPr>
          <w:rFonts w:ascii="Inter" w:hAnsi="Inter" w:eastAsia="Inter"/>
          <w:b w:val="0"/>
          <w:color w:val="252A36"/>
          <w:sz w:val="18"/>
        </w:rPr>
        <w:t>This Model applies to every EquineSync feature, service, workflow, integration, vendor, model, agent, prompt, tool, algorithm, scoring system, recommendation system, computer-vision process, retrieval system, embedding index, automated decision process, internal staff tool, support tool, or vendor-embedded feature that produces or materially influences an output through AI or AI-like methods.</w:t>
      </w:r>
    </w:p>
    <w:p>
      <w:pPr>
        <w:widowControl w:val="true"/>
      </w:pPr>
      <w:r>
        <w:rPr>
          <w:rFonts w:ascii="Inter" w:hAnsi="Inter" w:eastAsia="Inter"/>
          <w:b w:val="0"/>
          <w:color w:val="252A36"/>
          <w:sz w:val="18"/>
        </w:rPr>
        <w:t>The Model applies whether the capability is built by EquineSync, supplied by a third party, embedded in another service, run locally, run in the cloud, used online, used offline, visible to users, used only by EquineSync personnel, or operating behind the scenes.</w:t>
      </w:r>
    </w:p>
    <w:p>
      <w:pPr>
        <w:widowControl w:val="true"/>
      </w:pPr>
      <w:r>
        <w:rPr>
          <w:rFonts w:ascii="Inter" w:hAnsi="Inter" w:eastAsia="Inter"/>
          <w:b w:val="0"/>
          <w:color w:val="252A36"/>
          <w:sz w:val="18"/>
        </w:rPr>
        <w:t>A system may not avoid this Model merely by being described as analytics, rules, automation, personalization, optimization, smart search, risk detection, copilot, assistant, agent, workflow, or decision support. Substance controls classification. A capability has Material AI Influence when probabilistic, learned, inferential, generative, ranked, or AI-selected behavior materially affects what information is shown, what action is proposed, who is prioritized, what tool is used, or what result occurs.</w:t>
      </w:r>
    </w:p>
    <w:p>
      <w:pPr>
        <w:widowControl w:val="true"/>
      </w:pPr>
      <w:r>
        <w:rPr>
          <w:rFonts w:ascii="Inter" w:hAnsi="Inter" w:eastAsia="Inter"/>
          <w:b w:val="0"/>
          <w:color w:val="252A36"/>
          <w:sz w:val="18"/>
        </w:rPr>
        <w:t>Deterministic automation remains governed by the controlling domain canon and platform-operations authority. When deterministic automation is combined with AI selection, scoring, interpretation, routing, threshold-setting, or tool use, the combined workflow is governed by this Model and receives the risk class of its highest-risk component or combined effect.</w:t>
      </w:r>
    </w:p>
    <w:p>
      <w:pPr>
        <w:pStyle w:val="Heading2"/>
        <w:pBdr>
          <w:left w:val="single" w:sz="14" w:space="5" w:color="B8AECF"/>
        </w:pBdr>
        <w:keepNext/>
        <w:widowControl w:val="true"/>
      </w:pPr>
      <w:r>
        <w:rPr>
          <w:rFonts w:ascii="Inter" w:hAnsi="Inter" w:eastAsia="Inter"/>
          <w:b/>
          <w:color w:val="303A59"/>
          <w:sz w:val="23"/>
        </w:rPr>
        <w:t>4. Objectives</w:t>
      </w:r>
    </w:p>
    <w:p>
      <w:pPr>
        <w:pStyle w:val="ListBullet"/>
        <w:keepLines w:val="0"/>
        <w:widowControl w:val="true"/>
      </w:pPr>
      <w:r>
        <w:rPr>
          <w:rFonts w:ascii="Inter" w:hAnsi="Inter" w:eastAsia="Inter"/>
          <w:b w:val="0"/>
          <w:color w:val="252A36"/>
          <w:sz w:val="18"/>
        </w:rPr>
        <w:t>Keep people and horses safer.</w:t>
      </w:r>
    </w:p>
    <w:p>
      <w:pPr>
        <w:pStyle w:val="ListBullet"/>
        <w:keepLines w:val="0"/>
        <w:widowControl w:val="true"/>
      </w:pPr>
      <w:r>
        <w:rPr>
          <w:rFonts w:ascii="Inter" w:hAnsi="Inter" w:eastAsia="Inter"/>
          <w:b w:val="0"/>
          <w:color w:val="252A36"/>
          <w:sz w:val="18"/>
        </w:rPr>
        <w:t>Preserve human authority over consequential and nondelegable decisions.</w:t>
      </w:r>
    </w:p>
    <w:p>
      <w:pPr>
        <w:pStyle w:val="ListBullet"/>
        <w:keepLines w:val="0"/>
        <w:widowControl w:val="true"/>
      </w:pPr>
      <w:r>
        <w:rPr>
          <w:rFonts w:ascii="Inter" w:hAnsi="Inter" w:eastAsia="Inter"/>
          <w:b w:val="0"/>
          <w:color w:val="252A36"/>
          <w:sz w:val="18"/>
        </w:rPr>
        <w:t>Protect customer, horse, health, financial, contractual, minor, safeguarding, and operational data.</w:t>
      </w:r>
    </w:p>
    <w:p>
      <w:pPr>
        <w:pStyle w:val="ListBullet"/>
        <w:keepLines w:val="0"/>
        <w:widowControl w:val="true"/>
      </w:pPr>
      <w:r>
        <w:rPr>
          <w:rFonts w:ascii="Inter" w:hAnsi="Inter" w:eastAsia="Inter"/>
          <w:b w:val="0"/>
          <w:color w:val="252A36"/>
          <w:sz w:val="18"/>
        </w:rPr>
        <w:t>Bind every AI use case to a defined and limited purpose.</w:t>
      </w:r>
    </w:p>
    <w:p>
      <w:pPr>
        <w:pStyle w:val="ListBullet"/>
        <w:keepLines w:val="0"/>
        <w:widowControl w:val="true"/>
      </w:pPr>
      <w:r>
        <w:rPr>
          <w:rFonts w:ascii="Inter" w:hAnsi="Inter" w:eastAsia="Inter"/>
          <w:b w:val="0"/>
          <w:color w:val="252A36"/>
          <w:sz w:val="18"/>
        </w:rPr>
        <w:t>Make AI outputs transparent, source-grounded, reviewable, contestable, and appropriately retained.</w:t>
      </w:r>
    </w:p>
    <w:p>
      <w:pPr>
        <w:pStyle w:val="ListBullet"/>
        <w:keepLines w:val="0"/>
        <w:widowControl w:val="true"/>
      </w:pPr>
      <w:r>
        <w:rPr>
          <w:rFonts w:ascii="Inter" w:hAnsi="Inter" w:eastAsia="Inter"/>
          <w:b w:val="0"/>
          <w:color w:val="252A36"/>
          <w:sz w:val="18"/>
        </w:rPr>
        <w:t>Prevent AI from expanding permissions, creating hidden cross-tenant knowledge, or converting sensitive data into an unauthorized derivative.</w:t>
      </w:r>
    </w:p>
    <w:p>
      <w:pPr>
        <w:pStyle w:val="ListBullet"/>
        <w:keepLines w:val="0"/>
        <w:widowControl w:val="true"/>
      </w:pPr>
      <w:r>
        <w:rPr>
          <w:rFonts w:ascii="Inter" w:hAnsi="Inter" w:eastAsia="Inter"/>
          <w:b w:val="0"/>
          <w:color w:val="252A36"/>
          <w:sz w:val="18"/>
        </w:rPr>
        <w:t>Prevent low-risk components from being combined into a high-risk or prohibited outcome.</w:t>
      </w:r>
    </w:p>
    <w:p>
      <w:pPr>
        <w:pStyle w:val="ListBullet"/>
        <w:keepLines w:val="0"/>
        <w:widowControl w:val="true"/>
      </w:pPr>
      <w:r>
        <w:rPr>
          <w:rFonts w:ascii="Inter" w:hAnsi="Inter" w:eastAsia="Inter"/>
          <w:b w:val="0"/>
          <w:color w:val="252A36"/>
          <w:sz w:val="18"/>
        </w:rPr>
        <w:t>Require useful non-AI access to authoritative records, safety reporting, disputes, essential horse-care information, and human assistance.</w:t>
      </w:r>
    </w:p>
    <w:p>
      <w:pPr>
        <w:pStyle w:val="ListBullet"/>
        <w:keepLines w:val="0"/>
        <w:widowControl w:val="true"/>
      </w:pPr>
      <w:r>
        <w:rPr>
          <w:rFonts w:ascii="Inter" w:hAnsi="Inter" w:eastAsia="Inter"/>
          <w:b w:val="0"/>
          <w:color w:val="252A36"/>
          <w:sz w:val="18"/>
        </w:rPr>
        <w:t>Permit automation only when it is bounded, auditable, interruptible, reversible where practicable, and subject to accountable human control.</w:t>
      </w:r>
    </w:p>
    <w:p>
      <w:pPr>
        <w:pStyle w:val="ListBullet"/>
        <w:keepLines w:val="0"/>
        <w:widowControl w:val="true"/>
      </w:pPr>
      <w:r>
        <w:rPr>
          <w:rFonts w:ascii="Inter" w:hAnsi="Inter" w:eastAsia="Inter"/>
          <w:b w:val="0"/>
          <w:color w:val="252A36"/>
          <w:sz w:val="18"/>
        </w:rPr>
        <w:t>Create stage-specific gates for every AI use case rather than granting platform-wide or capability-class authority.</w:t>
      </w:r>
    </w:p>
    <w:p>
      <w:pPr>
        <w:pStyle w:val="ListBullet"/>
        <w:keepLines w:val="0"/>
        <w:widowControl w:val="true"/>
      </w:pPr>
      <w:r>
        <w:rPr>
          <w:rFonts w:ascii="Inter" w:hAnsi="Inter" w:eastAsia="Inter"/>
          <w:b w:val="0"/>
          <w:color w:val="252A36"/>
          <w:sz w:val="18"/>
        </w:rPr>
        <w:t>Preserve provider replaceability, operational continuity, customer control, and constitutional evidence.</w:t>
      </w:r>
    </w:p>
    <w:p>
      <w:pPr>
        <w:pStyle w:val="Heading2"/>
        <w:pBdr>
          <w:left w:val="single" w:sz="14" w:space="5" w:color="B8AECF"/>
        </w:pBdr>
        <w:keepNext/>
        <w:widowControl w:val="true"/>
      </w:pPr>
      <w:r>
        <w:rPr>
          <w:rFonts w:ascii="Inter" w:hAnsi="Inter" w:eastAsia="Inter"/>
          <w:b/>
          <w:color w:val="303A59"/>
          <w:sz w:val="23"/>
        </w:rPr>
        <w:t>5. Governing Principle: AI Is a Tool, Not an Authority</w:t>
      </w:r>
    </w:p>
    <w:p>
      <w:pPr>
        <w:widowControl w:val="true"/>
      </w:pPr>
      <w:r>
        <w:rPr>
          <w:rFonts w:ascii="Inter" w:hAnsi="Inter" w:eastAsia="Inter"/>
          <w:b w:val="0"/>
          <w:color w:val="252A36"/>
          <w:sz w:val="18"/>
        </w:rPr>
        <w:t>AI within EquineSync is an assistive tool. It may organize information, surface patterns, explain records, draft content, estimate likely outcomes, suggest actions, and perform routine tasks within approved boundaries.</w:t>
      </w:r>
    </w:p>
    <w:p>
      <w:pPr>
        <w:widowControl w:val="true"/>
      </w:pPr>
      <w:r>
        <w:rPr>
          <w:rFonts w:ascii="Inter" w:hAnsi="Inter" w:eastAsia="Inter"/>
          <w:b w:val="0"/>
          <w:color w:val="252A36"/>
          <w:sz w:val="18"/>
        </w:rPr>
        <w:t>AI is not a legal person, owner, veterinarian, trainer, instructor, barn manager, financial officer, legal professional, safeguarding official, employer, regulator, witness, custodian, fiduciary, or constitutional decision-maker. It cannot hold consent, assume responsibility, acquire discretion, accept risk, waive rights, or become the source of governing policy.</w:t>
      </w:r>
    </w:p>
    <w:p>
      <w:pPr>
        <w:widowControl w:val="true"/>
      </w:pPr>
      <w:r>
        <w:rPr>
          <w:rFonts w:ascii="Inter" w:hAnsi="Inter" w:eastAsia="Inter"/>
          <w:b w:val="0"/>
          <w:color w:val="252A36"/>
          <w:sz w:val="18"/>
        </w:rPr>
        <w:t>No person or organization may describe an AI output as “the system's decision” when the applicable decision is legally, professionally, contractually, or constitutionally assigned to a human or organization. The accountable person or organization remains identifiable.</w:t>
      </w:r>
    </w:p>
    <w:p>
      <w:pPr>
        <w:pStyle w:val="Heading2"/>
        <w:pBdr>
          <w:left w:val="single" w:sz="14" w:space="5" w:color="B8AECF"/>
        </w:pBdr>
        <w:keepNext/>
        <w:widowControl w:val="true"/>
      </w:pPr>
      <w:r>
        <w:rPr>
          <w:rFonts w:ascii="Inter" w:hAnsi="Inter" w:eastAsia="Inter"/>
          <w:b/>
          <w:color w:val="303A59"/>
          <w:sz w:val="23"/>
        </w:rPr>
        <w:t>6. Safety-First Supremacy</w:t>
      </w:r>
    </w:p>
    <w:p>
      <w:pPr>
        <w:widowControl w:val="true"/>
      </w:pPr>
      <w:r>
        <w:rPr>
          <w:rFonts w:ascii="Inter" w:hAnsi="Inter" w:eastAsia="Inter"/>
          <w:b w:val="0"/>
          <w:color w:val="252A36"/>
          <w:sz w:val="18"/>
        </w:rPr>
        <w:t>When safety, horse welfare, human welfare, convenience, speed, revenue, engagement, user retention, cost reduction, operational efficiency, or automation conflict, EquineSync AI must prioritize safety and welfare.</w:t>
      </w:r>
    </w:p>
    <w:p>
      <w:pPr>
        <w:widowControl w:val="true"/>
      </w:pPr>
      <w:r>
        <w:rPr>
          <w:rFonts w:ascii="Inter" w:hAnsi="Inter" w:eastAsia="Inter"/>
          <w:b w:val="0"/>
          <w:color w:val="252A36"/>
          <w:sz w:val="18"/>
        </w:rPr>
        <w:t>AI must not provide false reassurance, suppress a material concern to reduce alerts, optimize away a required review, or continue a workflow when available evidence indicates that qualified human review, emergency response, or professional assessment may be required.</w:t>
      </w:r>
    </w:p>
    <w:p>
      <w:pPr>
        <w:widowControl w:val="true"/>
      </w:pPr>
      <w:r>
        <w:rPr>
          <w:rFonts w:ascii="Inter" w:hAnsi="Inter" w:eastAsia="Inter"/>
          <w:b w:val="0"/>
          <w:color w:val="252A36"/>
          <w:sz w:val="18"/>
        </w:rPr>
        <w:t>Commercial targets, model-performance averages, support-volume goals, provider limits, or customer preference may not lower a safety threshold established by controlling canon, professional instruction, deterministic emergency rule, or approved safety case.</w:t>
      </w:r>
    </w:p>
    <w:p>
      <w:pPr>
        <w:pStyle w:val="Heading2"/>
        <w:pBdr>
          <w:left w:val="single" w:sz="14" w:space="5" w:color="B8AECF"/>
        </w:pBdr>
        <w:keepNext/>
        <w:widowControl w:val="true"/>
      </w:pPr>
      <w:r>
        <w:rPr>
          <w:rFonts w:ascii="Inter" w:hAnsi="Inter" w:eastAsia="Inter"/>
          <w:b/>
          <w:color w:val="303A59"/>
          <w:sz w:val="23"/>
        </w:rPr>
        <w:t>7. Human and Organizational Responsibility Cannot Be Delegated Away</w:t>
      </w:r>
    </w:p>
    <w:p>
      <w:pPr>
        <w:widowControl w:val="true"/>
      </w:pPr>
      <w:r>
        <w:rPr>
          <w:rFonts w:ascii="Inter" w:hAnsi="Inter" w:eastAsia="Inter"/>
          <w:b w:val="0"/>
          <w:color w:val="252A36"/>
          <w:sz w:val="18"/>
        </w:rPr>
        <w:t>A person or organization that holds responsibility under law, agreement, professional role, facility policy, employment duty, or controlling canon remains responsible when using AI assistance.</w:t>
      </w:r>
    </w:p>
    <w:p>
      <w:pPr>
        <w:widowControl w:val="true"/>
      </w:pPr>
      <w:r>
        <w:rPr>
          <w:rFonts w:ascii="Inter" w:hAnsi="Inter" w:eastAsia="Inter"/>
          <w:b w:val="0"/>
          <w:color w:val="252A36"/>
          <w:sz w:val="18"/>
        </w:rPr>
        <w:t>Each consequential use case must identify the Responsible Organization, accountable Domain Owner, accountable Product Owner, required Authorized Human Reviewer, and escalation owner. Responsibility may not be assigned solely to “the model,” “the vendor,” “the algorithm,” “the user,” or an undefined team.</w:t>
      </w:r>
    </w:p>
    <w:p>
      <w:pPr>
        <w:widowControl w:val="true"/>
      </w:pPr>
      <w:r>
        <w:rPr>
          <w:rFonts w:ascii="Inter" w:hAnsi="Inter" w:eastAsia="Inter"/>
          <w:b w:val="0"/>
          <w:color w:val="252A36"/>
          <w:sz w:val="18"/>
        </w:rPr>
        <w:t>No person may treat an AI output as automatic permission to avoid required review, professional judgment, informed consent, record verification, safety intervention, or constitutional duty. Vendor contract language, user disclaimers, or “AI may be inaccurate” notices do not cure a design that assigns AI prohibited authority.</w:t>
      </w:r>
    </w:p>
    <w:p>
      <w:pPr>
        <w:pStyle w:val="Heading2"/>
        <w:pBdr>
          <w:left w:val="single" w:sz="14" w:space="5" w:color="B8AECF"/>
        </w:pBdr>
        <w:keepNext/>
        <w:widowControl w:val="true"/>
      </w:pPr>
      <w:r>
        <w:rPr>
          <w:rFonts w:ascii="Inter" w:hAnsi="Inter" w:eastAsia="Inter"/>
          <w:b/>
          <w:color w:val="303A59"/>
          <w:sz w:val="23"/>
        </w:rPr>
        <w:t>8. Anti-Circumvention, Non-Waiver, and No Consent Laundering</w:t>
      </w:r>
    </w:p>
    <w:p>
      <w:pPr>
        <w:widowControl w:val="true"/>
      </w:pPr>
      <w:r>
        <w:rPr>
          <w:rFonts w:ascii="Inter" w:hAnsi="Inter" w:eastAsia="Inter"/>
          <w:b w:val="0"/>
          <w:color w:val="252A36"/>
          <w:sz w:val="18"/>
        </w:rPr>
        <w:t>Frequent use, high accuracy, user habit, low staffing, after-hours operation, customer demand, competitive pressure, administrative convenience, contractual language, click-through consent, or voluntary opt-in does not convert an advisory AI capability into decision authority.</w:t>
      </w:r>
    </w:p>
    <w:p>
      <w:pPr>
        <w:widowControl w:val="true"/>
      </w:pPr>
      <w:r>
        <w:rPr>
          <w:rFonts w:ascii="Inter" w:hAnsi="Inter" w:eastAsia="Inter"/>
          <w:b w:val="0"/>
          <w:color w:val="252A36"/>
          <w:sz w:val="18"/>
        </w:rPr>
        <w:t>A user, tenant, employee, owner, guardian, or professional may not consent to waive a constitutional prohibition, permit hidden training, authorize cross-tenant disclosure, or delegate a nondelegable human-authority decision to AI under this Model. Consent may authorize a permitted optional feature only after the use case is otherwise lawful, constitutionally eligible, and separately implemented.</w:t>
      </w:r>
    </w:p>
    <w:p>
      <w:pPr>
        <w:widowControl w:val="true"/>
      </w:pPr>
      <w:r>
        <w:rPr>
          <w:rFonts w:ascii="Inter" w:hAnsi="Inter" w:eastAsia="Inter"/>
          <w:b w:val="0"/>
          <w:color w:val="252A36"/>
          <w:sz w:val="18"/>
        </w:rPr>
        <w:t>No use case may be divided, renamed, embedded, outsourced, or composed from smaller steps to evade a higher tier, stronger control, professional-review requirement, or prohibition. An unchallenged practice does not become authorized through custom, acquiescence, or passage of time.</w:t>
      </w:r>
    </w:p>
    <w:p>
      <w:pPr>
        <w:pStyle w:val="Heading2"/>
        <w:pBdr>
          <w:left w:val="single" w:sz="14" w:space="5" w:color="B8AECF"/>
        </w:pBdr>
        <w:keepNext/>
        <w:widowControl w:val="true"/>
      </w:pPr>
      <w:r>
        <w:rPr>
          <w:rFonts w:ascii="Inter" w:hAnsi="Inter" w:eastAsia="Inter"/>
          <w:b/>
          <w:color w:val="303A59"/>
          <w:sz w:val="23"/>
        </w:rPr>
        <w:t>9. Provider and Model Neutrality</w:t>
      </w:r>
    </w:p>
    <w:p>
      <w:pPr>
        <w:widowControl w:val="true"/>
      </w:pPr>
      <w:r>
        <w:rPr>
          <w:rFonts w:ascii="Inter" w:hAnsi="Inter" w:eastAsia="Inter"/>
          <w:b w:val="0"/>
          <w:color w:val="252A36"/>
          <w:sz w:val="18"/>
        </w:rPr>
        <w:t>No AI vendor, foundation model, proprietary score, model family, hosting provider, agent framework, benchmark, or provider safety representation becomes constitutional authority.</w:t>
      </w:r>
    </w:p>
    <w:p>
      <w:pPr>
        <w:widowControl w:val="true"/>
      </w:pPr>
      <w:r>
        <w:rPr>
          <w:rFonts w:ascii="Inter" w:hAnsi="Inter" w:eastAsia="Inter"/>
          <w:b w:val="0"/>
          <w:color w:val="252A36"/>
          <w:sz w:val="18"/>
        </w:rPr>
        <w:t>EquineSync must preserve the ability to replace, suspend, isolate, or remove an AI provider without losing control of customer data, derived data, Retrieval Indexes, prompts, audit evidence, safety controls, authoritative records, or essential operations. Provider-specific behavior may be relied upon only when documented, tested, contractually supported where applicable, and incorporated into the approved safety case.</w:t>
      </w:r>
    </w:p>
    <w:p>
      <w:pPr>
        <w:widowControl w:val="true"/>
      </w:pPr>
      <w:r>
        <w:rPr>
          <w:rFonts w:ascii="Inter" w:hAnsi="Inter" w:eastAsia="Inter"/>
          <w:b w:val="0"/>
          <w:color w:val="252A36"/>
          <w:sz w:val="18"/>
        </w:rPr>
        <w:t>A provider acquisition, insolvency, discontinued model, terms change, forced upgrade, material subprocessor change, or loss of required contractual protection is a governance event and may require suspension even when the service remains technically available.</w:t>
      </w:r>
    </w:p>
    <w:p>
      <w:pPr>
        <w:pStyle w:val="Heading2"/>
        <w:pBdr>
          <w:left w:val="single" w:sz="14" w:space="5" w:color="B8AECF"/>
        </w:pBdr>
        <w:keepNext/>
        <w:widowControl w:val="true"/>
      </w:pPr>
      <w:r>
        <w:rPr>
          <w:rFonts w:ascii="Inter" w:hAnsi="Inter" w:eastAsia="Inter"/>
          <w:b/>
          <w:color w:val="303A59"/>
          <w:sz w:val="23"/>
        </w:rPr>
        <w:t>10. Constitutional Authority Stack and Conflict Resolution</w:t>
      </w:r>
    </w:p>
    <w:p>
      <w:pPr>
        <w:widowControl w:val="true"/>
      </w:pPr>
      <w:r>
        <w:rPr>
          <w:rFonts w:ascii="Inter" w:hAnsi="Inter" w:eastAsia="Inter"/>
          <w:b w:val="0"/>
          <w:color w:val="252A36"/>
          <w:sz w:val="18"/>
        </w:rPr>
        <w:t>AI is subordinate to every controlling EquineSync canon applicable to the underlying subject matter. This Model governs the AI-specific layer; the controlling domain canon governs the substantive right, duty, record, decision, or workflow.</w:t>
      </w:r>
    </w:p>
    <w:p>
      <w:pPr>
        <w:widowControl w:val="true"/>
      </w:pPr>
      <w:r>
        <w:rPr>
          <w:rFonts w:ascii="Inter" w:hAnsi="Inter" w:eastAsia="Inter"/>
          <w:b w:val="0"/>
          <w:color w:val="252A36"/>
          <w:sz w:val="18"/>
        </w:rPr>
        <w:t>The authority stack is:</w:t>
      </w:r>
    </w:p>
    <w:p>
      <w:pPr>
        <w:pStyle w:val="ListNumber"/>
        <w:widowControl w:val="true"/>
      </w:pPr>
      <w:r>
        <w:rPr>
          <w:rFonts w:ascii="Inter" w:hAnsi="Inter" w:eastAsia="Inter"/>
          <w:b w:val="0"/>
          <w:color w:val="252A36"/>
          <w:sz w:val="18"/>
        </w:rPr>
        <w:t>Applicable law, court order, regulatory obligation, and binding professional restriction.</w:t>
      </w:r>
    </w:p>
    <w:p>
      <w:pPr>
        <w:pStyle w:val="ListNumber"/>
        <w:widowControl w:val="true"/>
      </w:pPr>
      <w:r>
        <w:rPr>
          <w:rFonts w:ascii="Inter" w:hAnsi="Inter" w:eastAsia="Inter"/>
          <w:b w:val="0"/>
          <w:color w:val="252A36"/>
          <w:sz w:val="18"/>
        </w:rPr>
        <w:t>Founder-approved and locked EquineSync constitutional canon.</w:t>
      </w:r>
    </w:p>
    <w:p>
      <w:pPr>
        <w:pStyle w:val="ListNumber"/>
        <w:widowControl w:val="true"/>
      </w:pPr>
      <w:r>
        <w:rPr>
          <w:rFonts w:ascii="Inter" w:hAnsi="Inter" w:eastAsia="Inter"/>
          <w:b w:val="0"/>
          <w:color w:val="252A36"/>
          <w:sz w:val="18"/>
        </w:rPr>
        <w:t>Founder-approved implementation atlas, release framework, and named implementation authority.</w:t>
      </w:r>
    </w:p>
    <w:p>
      <w:pPr>
        <w:pStyle w:val="ListNumber"/>
        <w:widowControl w:val="true"/>
      </w:pPr>
      <w:r>
        <w:rPr>
          <w:rFonts w:ascii="Inter" w:hAnsi="Inter" w:eastAsia="Inter"/>
          <w:b w:val="0"/>
          <w:color w:val="252A36"/>
          <w:sz w:val="18"/>
        </w:rPr>
        <w:t>Approved use-case safety case, registry entry, and stage-specific release authorization.</w:t>
      </w:r>
    </w:p>
    <w:p>
      <w:pPr>
        <w:pStyle w:val="ListNumber"/>
        <w:widowControl w:val="true"/>
      </w:pPr>
      <w:r>
        <w:rPr>
          <w:rFonts w:ascii="Inter" w:hAnsi="Inter" w:eastAsia="Inter"/>
          <w:b w:val="0"/>
          <w:color w:val="252A36"/>
          <w:sz w:val="18"/>
        </w:rPr>
        <w:t>Product configuration, prompts, provider settings, workflows, user preferences, and model output.</w:t>
      </w:r>
    </w:p>
    <w:p>
      <w:pPr>
        <w:widowControl w:val="true"/>
      </w:pPr>
      <w:r>
        <w:rPr>
          <w:rFonts w:ascii="Inter" w:hAnsi="Inter" w:eastAsia="Inter"/>
          <w:b w:val="0"/>
          <w:color w:val="252A36"/>
          <w:sz w:val="18"/>
        </w:rPr>
        <w:t>A lower layer may never amend, waive, reinterpret, or contradict a higher layer. Where two controlling canons appear to conflict, the AI capability must stop or fall back to the more protective rule, preserve evidence, and route the conflict through controlled constitutional review. The product team, model, provider, tenant administrator, or user may not resolve a constitutional conflict informally.</w:t>
      </w:r>
    </w:p>
    <w:p>
      <w:pPr>
        <w:widowControl w:val="true"/>
      </w:pPr>
      <w:r>
        <w:rPr>
          <w:rFonts w:ascii="Inter" w:hAnsi="Inter" w:eastAsia="Inter"/>
          <w:b w:val="0"/>
          <w:color w:val="252A36"/>
          <w:sz w:val="18"/>
        </w:rPr>
        <w:t>No silence in this Model grants permission. No broad provision overrides a specific prohibition. A future document may amend this Model only when it expressly identifies the affected provision, follows constitutional amendment procedure, preserves lineage, and receives the required founder authority.</w:t>
      </w:r>
    </w:p>
    <w:p>
      <w:pPr>
        <w:pStyle w:val="Heading2"/>
        <w:pBdr>
          <w:left w:val="single" w:sz="14" w:space="5" w:color="B8AECF"/>
        </w:pBdr>
        <w:keepNext/>
        <w:widowControl w:val="true"/>
      </w:pPr>
      <w:r>
        <w:rPr>
          <w:rFonts w:ascii="Inter" w:hAnsi="Inter" w:eastAsia="Inter"/>
          <w:b/>
          <w:color w:val="303A59"/>
          <w:sz w:val="23"/>
        </w:rPr>
        <w:t>11. Definitions</w:t>
      </w:r>
    </w:p>
    <w:p>
      <w:pPr>
        <w:widowControl w:val="true"/>
      </w:pPr>
      <w:r>
        <w:rPr>
          <w:rFonts w:ascii="Inter" w:hAnsi="Inter" w:eastAsia="Inter"/>
          <w:b w:val="0"/>
          <w:color w:val="252A36"/>
          <w:sz w:val="18"/>
        </w:rPr>
        <w:t>For purposes of this Model, the following definitions apply. A downstream implementation may add narrower technical definitions but may not weaken these constitutional meanings.</w:t>
      </w:r>
    </w:p>
    <w:p>
      <w:pPr>
        <w:pStyle w:val="ListBullet"/>
        <w:keepLines w:val="0"/>
        <w:widowControl w:val="true"/>
      </w:pPr>
      <w:r>
        <w:rPr>
          <w:rFonts w:ascii="Inter" w:hAnsi="Inter" w:eastAsia="Inter"/>
          <w:b/>
          <w:color w:val="252A36"/>
          <w:sz w:val="18"/>
        </w:rPr>
        <w:t>AI System:</w:t>
      </w:r>
      <w:r>
        <w:rPr>
          <w:rFonts w:ascii="Inter" w:hAnsi="Inter" w:eastAsia="Inter"/>
          <w:b w:val="0"/>
          <w:color w:val="252A36"/>
          <w:sz w:val="18"/>
        </w:rPr>
        <w:t xml:space="preserve"> Any model, algorithm, agent, scoring process, computer-vision process, generative process, retrieval-augmented process, or automated reasoning capability covered by this Model.</w:t>
      </w:r>
    </w:p>
    <w:p>
      <w:pPr>
        <w:pStyle w:val="ListBullet"/>
        <w:keepLines w:val="0"/>
        <w:widowControl w:val="true"/>
      </w:pPr>
      <w:r>
        <w:rPr>
          <w:rFonts w:ascii="Inter" w:hAnsi="Inter" w:eastAsia="Inter"/>
          <w:b/>
          <w:color w:val="252A36"/>
          <w:sz w:val="18"/>
        </w:rPr>
        <w:t>AI Output:</w:t>
      </w:r>
      <w:r>
        <w:rPr>
          <w:rFonts w:ascii="Inter" w:hAnsi="Inter" w:eastAsia="Inter"/>
          <w:b w:val="0"/>
          <w:color w:val="252A36"/>
          <w:sz w:val="18"/>
        </w:rPr>
        <w:t xml:space="preserve"> Any generated text, image, classification, score, prediction, ranking, summary, recommendation, extraction, proposed action, or automated action produced or materially influenced by an AI System.</w:t>
      </w:r>
    </w:p>
    <w:p>
      <w:pPr>
        <w:pStyle w:val="ListBullet"/>
        <w:keepLines w:val="0"/>
        <w:widowControl w:val="true"/>
      </w:pPr>
      <w:r>
        <w:rPr>
          <w:rFonts w:ascii="Inter" w:hAnsi="Inter" w:eastAsia="Inter"/>
          <w:b/>
          <w:color w:val="252A36"/>
          <w:sz w:val="18"/>
        </w:rPr>
        <w:t>AI-Assisted Decision:</w:t>
      </w:r>
      <w:r>
        <w:rPr>
          <w:rFonts w:ascii="Inter" w:hAnsi="Inter" w:eastAsia="Inter"/>
          <w:b w:val="0"/>
          <w:color w:val="252A36"/>
          <w:sz w:val="18"/>
        </w:rPr>
        <w:t xml:space="preserve"> A human decision for which AI materially selected, ranked, summarized, recommended, framed, or proposed the relevant outcome.</w:t>
      </w:r>
    </w:p>
    <w:p>
      <w:pPr>
        <w:pStyle w:val="ListBullet"/>
        <w:keepLines w:val="0"/>
        <w:widowControl w:val="true"/>
      </w:pPr>
      <w:r>
        <w:rPr>
          <w:rFonts w:ascii="Inter" w:hAnsi="Inter" w:eastAsia="Inter"/>
          <w:b/>
          <w:color w:val="252A36"/>
          <w:sz w:val="18"/>
        </w:rPr>
        <w:t>Automated Action:</w:t>
      </w:r>
      <w:r>
        <w:rPr>
          <w:rFonts w:ascii="Inter" w:hAnsi="Inter" w:eastAsia="Inter"/>
          <w:b w:val="0"/>
          <w:color w:val="252A36"/>
          <w:sz w:val="18"/>
        </w:rPr>
        <w:t xml:space="preserve"> A side effect executed without case-specific human confirmation at the point of execution.</w:t>
      </w:r>
    </w:p>
    <w:p>
      <w:pPr>
        <w:pStyle w:val="ListBullet"/>
        <w:keepLines w:val="0"/>
        <w:widowControl w:val="true"/>
      </w:pPr>
      <w:r>
        <w:rPr>
          <w:rFonts w:ascii="Inter" w:hAnsi="Inter" w:eastAsia="Inter"/>
          <w:b/>
          <w:color w:val="252A36"/>
          <w:sz w:val="18"/>
        </w:rPr>
        <w:t>Automated Decision:</w:t>
      </w:r>
      <w:r>
        <w:rPr>
          <w:rFonts w:ascii="Inter" w:hAnsi="Inter" w:eastAsia="Inter"/>
          <w:b w:val="0"/>
          <w:color w:val="252A36"/>
          <w:sz w:val="18"/>
        </w:rPr>
        <w:t xml:space="preserve"> A conclusion or action produced without Meaningful Human Review at the point of decision.</w:t>
      </w:r>
    </w:p>
    <w:p>
      <w:pPr>
        <w:pStyle w:val="ListBullet"/>
        <w:keepLines w:val="0"/>
        <w:widowControl w:val="true"/>
      </w:pPr>
      <w:r>
        <w:rPr>
          <w:rFonts w:ascii="Inter" w:hAnsi="Inter" w:eastAsia="Inter"/>
          <w:b/>
          <w:color w:val="252A36"/>
          <w:sz w:val="18"/>
        </w:rPr>
        <w:t>Authorized Human:</w:t>
      </w:r>
      <w:r>
        <w:rPr>
          <w:rFonts w:ascii="Inter" w:hAnsi="Inter" w:eastAsia="Inter"/>
          <w:b w:val="0"/>
          <w:color w:val="252A36"/>
          <w:sz w:val="18"/>
        </w:rPr>
        <w:t xml:space="preserve"> A person who independently holds the required permission, role, competence, responsibility, time, information, and practical authority to review or approve a decision or action.</w:t>
      </w:r>
    </w:p>
    <w:p>
      <w:pPr>
        <w:pStyle w:val="ListBullet"/>
        <w:keepLines w:val="0"/>
        <w:widowControl w:val="true"/>
      </w:pPr>
      <w:r>
        <w:rPr>
          <w:rFonts w:ascii="Inter" w:hAnsi="Inter" w:eastAsia="Inter"/>
          <w:b/>
          <w:color w:val="252A36"/>
          <w:sz w:val="18"/>
        </w:rPr>
        <w:t>Consequential Decision:</w:t>
      </w:r>
      <w:r>
        <w:rPr>
          <w:rFonts w:ascii="Inter" w:hAnsi="Inter" w:eastAsia="Inter"/>
          <w:b w:val="0"/>
          <w:color w:val="252A36"/>
          <w:sz w:val="18"/>
        </w:rPr>
        <w:t xml:space="preserve"> A decision that may materially affect safety, welfare, health, legal rights, contracts, ownership, finances, access, discipline, employment, safeguarding, evidence, retention, reputation, essential care, or a person's or horse's treatment by others.</w:t>
      </w:r>
    </w:p>
    <w:p>
      <w:pPr>
        <w:pStyle w:val="ListBullet"/>
        <w:keepLines w:val="0"/>
        <w:widowControl w:val="true"/>
      </w:pPr>
      <w:r>
        <w:rPr>
          <w:rFonts w:ascii="Inter" w:hAnsi="Inter" w:eastAsia="Inter"/>
          <w:b/>
          <w:color w:val="252A36"/>
          <w:sz w:val="18"/>
        </w:rPr>
        <w:t>Customer Operational Data:</w:t>
      </w:r>
      <w:r>
        <w:rPr>
          <w:rFonts w:ascii="Inter" w:hAnsi="Inter" w:eastAsia="Inter"/>
          <w:b w:val="0"/>
          <w:color w:val="252A36"/>
          <w:sz w:val="18"/>
        </w:rPr>
        <w:t xml:space="preserve"> Customer, tenant, user, horse, facility, provider, communication, financial, health, document, image, event, activity, support, and workflow data entrusted to or generated through EquineSync for customer operations.</w:t>
      </w:r>
    </w:p>
    <w:p>
      <w:pPr>
        <w:pStyle w:val="ListBullet"/>
        <w:keepLines w:val="0"/>
        <w:widowControl w:val="true"/>
      </w:pPr>
      <w:r>
        <w:rPr>
          <w:rFonts w:ascii="Inter" w:hAnsi="Inter" w:eastAsia="Inter"/>
          <w:b/>
          <w:color w:val="252A36"/>
          <w:sz w:val="18"/>
        </w:rPr>
        <w:t>Derived Data:</w:t>
      </w:r>
      <w:r>
        <w:rPr>
          <w:rFonts w:ascii="Inter" w:hAnsi="Inter" w:eastAsia="Inter"/>
          <w:b w:val="0"/>
          <w:color w:val="252A36"/>
          <w:sz w:val="18"/>
        </w:rPr>
        <w:t xml:space="preserve"> Embeddings, features, labels, scores, profiles, summaries, vectors, classifications, synthetic examples, evaluation examples, behavioral signals, caches, and other information created from or materially revealing Customer Operational Data.</w:t>
      </w:r>
    </w:p>
    <w:p>
      <w:pPr>
        <w:pStyle w:val="ListBullet"/>
        <w:keepLines w:val="0"/>
        <w:widowControl w:val="true"/>
      </w:pPr>
      <w:r>
        <w:rPr>
          <w:rFonts w:ascii="Inter" w:hAnsi="Inter" w:eastAsia="Inter"/>
          <w:b/>
          <w:color w:val="252A36"/>
          <w:sz w:val="18"/>
        </w:rPr>
        <w:t>Essential Horse Care:</w:t>
      </w:r>
      <w:r>
        <w:rPr>
          <w:rFonts w:ascii="Inter" w:hAnsi="Inter" w:eastAsia="Inter"/>
          <w:b w:val="0"/>
          <w:color w:val="252A36"/>
          <w:sz w:val="18"/>
        </w:rPr>
        <w:t xml:space="preserve"> Feed, water, medication, shelter, urgent health response, welfare protection, and access to information reasonably necessary to avoid harm to a horse.</w:t>
      </w:r>
    </w:p>
    <w:p>
      <w:pPr>
        <w:pStyle w:val="ListBullet"/>
        <w:keepLines w:val="0"/>
        <w:widowControl w:val="true"/>
      </w:pPr>
      <w:r>
        <w:rPr>
          <w:rFonts w:ascii="Inter" w:hAnsi="Inter" w:eastAsia="Inter"/>
          <w:b/>
          <w:color w:val="252A36"/>
          <w:sz w:val="18"/>
        </w:rPr>
        <w:t>Fact:</w:t>
      </w:r>
      <w:r>
        <w:rPr>
          <w:rFonts w:ascii="Inter" w:hAnsi="Inter" w:eastAsia="Inter"/>
          <w:b w:val="0"/>
          <w:color w:val="252A36"/>
          <w:sz w:val="18"/>
        </w:rPr>
        <w:t xml:space="preserve"> Information directly established by an identified Source Record, without material interpretive transformation.</w:t>
      </w:r>
    </w:p>
    <w:p>
      <w:pPr>
        <w:pStyle w:val="ListBullet"/>
        <w:keepLines w:val="0"/>
        <w:widowControl w:val="true"/>
      </w:pPr>
      <w:r>
        <w:rPr>
          <w:rFonts w:ascii="Inter" w:hAnsi="Inter" w:eastAsia="Inter"/>
          <w:b/>
          <w:color w:val="252A36"/>
          <w:sz w:val="18"/>
        </w:rPr>
        <w:t>General or Shared Model:</w:t>
      </w:r>
      <w:r>
        <w:rPr>
          <w:rFonts w:ascii="Inter" w:hAnsi="Inter" w:eastAsia="Inter"/>
          <w:b w:val="0"/>
          <w:color w:val="252A36"/>
          <w:sz w:val="18"/>
        </w:rPr>
        <w:t xml:space="preserve"> A model, service, benchmark, evaluation process, or improvement process whose learned behavior or results may benefit users, tenants, products, providers, or purposes beyond the customer whose data was supplied.</w:t>
      </w:r>
    </w:p>
    <w:p>
      <w:pPr>
        <w:pStyle w:val="ListBullet"/>
        <w:keepLines w:val="0"/>
        <w:widowControl w:val="true"/>
      </w:pPr>
      <w:r>
        <w:rPr>
          <w:rFonts w:ascii="Inter" w:hAnsi="Inter" w:eastAsia="Inter"/>
          <w:b/>
          <w:color w:val="252A36"/>
          <w:sz w:val="18"/>
        </w:rPr>
        <w:t>Inference:</w:t>
      </w:r>
      <w:r>
        <w:rPr>
          <w:rFonts w:ascii="Inter" w:hAnsi="Inter" w:eastAsia="Inter"/>
          <w:b w:val="0"/>
          <w:color w:val="252A36"/>
          <w:sz w:val="18"/>
        </w:rPr>
        <w:t xml:space="preserve"> A conclusion, pattern, estimate, prediction, ranking, or interpretation not directly established as fact by a Source Record.</w:t>
      </w:r>
    </w:p>
    <w:p>
      <w:pPr>
        <w:pStyle w:val="ListBullet"/>
        <w:keepLines w:val="0"/>
        <w:widowControl w:val="true"/>
      </w:pPr>
      <w:r>
        <w:rPr>
          <w:rFonts w:ascii="Inter" w:hAnsi="Inter" w:eastAsia="Inter"/>
          <w:b/>
          <w:color w:val="252A36"/>
          <w:sz w:val="18"/>
        </w:rPr>
        <w:t>Material AI Influence:</w:t>
      </w:r>
      <w:r>
        <w:rPr>
          <w:rFonts w:ascii="Inter" w:hAnsi="Inter" w:eastAsia="Inter"/>
          <w:b w:val="0"/>
          <w:color w:val="252A36"/>
          <w:sz w:val="18"/>
        </w:rPr>
        <w:t xml:space="preserve"> AI involvement that materially changes information selection, prioritization, framing, recommendation, routing, action, or outcome.</w:t>
      </w:r>
    </w:p>
    <w:p>
      <w:pPr>
        <w:pStyle w:val="ListBullet"/>
        <w:keepLines w:val="0"/>
        <w:widowControl w:val="true"/>
      </w:pPr>
      <w:r>
        <w:rPr>
          <w:rFonts w:ascii="Inter" w:hAnsi="Inter" w:eastAsia="Inter"/>
          <w:b/>
          <w:color w:val="252A36"/>
          <w:sz w:val="18"/>
        </w:rPr>
        <w:t>Material Model Change:</w:t>
      </w:r>
      <w:r>
        <w:rPr>
          <w:rFonts w:ascii="Inter" w:hAnsi="Inter" w:eastAsia="Inter"/>
          <w:b w:val="0"/>
          <w:color w:val="252A36"/>
          <w:sz w:val="18"/>
        </w:rPr>
        <w:t xml:space="preserve"> A provider, ownership, version, threshold, prompt, policy, tool, data source, hosting, retention, subprocessor, evaluation, or behavior change that could alter risk, accuracy, data use, permissions, outputs, or user impact.</w:t>
      </w:r>
    </w:p>
    <w:p>
      <w:pPr>
        <w:pStyle w:val="ListBullet"/>
        <w:keepLines w:val="0"/>
        <w:widowControl w:val="true"/>
      </w:pPr>
      <w:r>
        <w:rPr>
          <w:rFonts w:ascii="Inter" w:hAnsi="Inter" w:eastAsia="Inter"/>
          <w:b/>
          <w:color w:val="252A36"/>
          <w:sz w:val="18"/>
        </w:rPr>
        <w:t>Meaningful Human Review:</w:t>
      </w:r>
      <w:r>
        <w:rPr>
          <w:rFonts w:ascii="Inter" w:hAnsi="Inter" w:eastAsia="Inter"/>
          <w:b w:val="0"/>
          <w:color w:val="252A36"/>
          <w:sz w:val="18"/>
        </w:rPr>
        <w:t xml:space="preserve"> Timely and independent review by an Authorized Human who can inspect material inputs and limitations, consider contrary evidence, reject or modify the output, and exercise judgment rather than merely confirm the AI result.</w:t>
      </w:r>
    </w:p>
    <w:p>
      <w:pPr>
        <w:pStyle w:val="ListBullet"/>
        <w:keepLines w:val="0"/>
        <w:widowControl w:val="true"/>
      </w:pPr>
      <w:r>
        <w:rPr>
          <w:rFonts w:ascii="Inter" w:hAnsi="Inter" w:eastAsia="Inter"/>
          <w:b/>
          <w:color w:val="252A36"/>
          <w:sz w:val="18"/>
        </w:rPr>
        <w:t>Professional Judgment:</w:t>
      </w:r>
      <w:r>
        <w:rPr>
          <w:rFonts w:ascii="Inter" w:hAnsi="Inter" w:eastAsia="Inter"/>
          <w:b w:val="0"/>
          <w:color w:val="252A36"/>
          <w:sz w:val="18"/>
        </w:rPr>
        <w:t xml:space="preserve"> Judgment legally, ethically, contractually, or customarily assigned to a licensed, credentialed, qualified, or responsible human professional.</w:t>
      </w:r>
    </w:p>
    <w:p>
      <w:pPr>
        <w:pStyle w:val="ListBullet"/>
        <w:keepLines w:val="0"/>
        <w:widowControl w:val="true"/>
      </w:pPr>
      <w:r>
        <w:rPr>
          <w:rFonts w:ascii="Inter" w:hAnsi="Inter" w:eastAsia="Inter"/>
          <w:b/>
          <w:color w:val="252A36"/>
          <w:sz w:val="18"/>
        </w:rPr>
        <w:t>Purpose Limitation:</w:t>
      </w:r>
      <w:r>
        <w:rPr>
          <w:rFonts w:ascii="Inter" w:hAnsi="Inter" w:eastAsia="Inter"/>
          <w:b w:val="0"/>
          <w:color w:val="252A36"/>
          <w:sz w:val="18"/>
        </w:rPr>
        <w:t xml:space="preserve"> The rule that data, models, and outputs may be used only for the specific approved use-case purpose and not for an adjacent or later purpose without new authority.</w:t>
      </w:r>
    </w:p>
    <w:p>
      <w:pPr>
        <w:pStyle w:val="ListBullet"/>
        <w:keepLines w:val="0"/>
        <w:widowControl w:val="true"/>
      </w:pPr>
      <w:r>
        <w:rPr>
          <w:rFonts w:ascii="Inter" w:hAnsi="Inter" w:eastAsia="Inter"/>
          <w:b/>
          <w:color w:val="252A36"/>
          <w:sz w:val="18"/>
        </w:rPr>
        <w:t>Retrieval Index:</w:t>
      </w:r>
      <w:r>
        <w:rPr>
          <w:rFonts w:ascii="Inter" w:hAnsi="Inter" w:eastAsia="Inter"/>
          <w:b w:val="0"/>
          <w:color w:val="252A36"/>
          <w:sz w:val="18"/>
        </w:rPr>
        <w:t xml:space="preserve"> An embedding store, search index, cache, vector database, knowledge base, or similar derivative used to retrieve customer content for AI assistance.</w:t>
      </w:r>
    </w:p>
    <w:p>
      <w:pPr>
        <w:pStyle w:val="ListBullet"/>
        <w:keepLines w:val="0"/>
        <w:widowControl w:val="true"/>
      </w:pPr>
      <w:r>
        <w:rPr>
          <w:rFonts w:ascii="Inter" w:hAnsi="Inter" w:eastAsia="Inter"/>
          <w:b/>
          <w:color w:val="252A36"/>
          <w:sz w:val="18"/>
        </w:rPr>
        <w:t>Safety Case:</w:t>
      </w:r>
      <w:r>
        <w:rPr>
          <w:rFonts w:ascii="Inter" w:hAnsi="Inter" w:eastAsia="Inter"/>
          <w:b w:val="0"/>
          <w:color w:val="252A36"/>
          <w:sz w:val="18"/>
        </w:rPr>
        <w:t xml:space="preserve"> The controlled, evidence-backed argument that a named AI use case is acceptably safe for a defined stage, population, jurisdiction, data boundary, model version, and operating condition.</w:t>
      </w:r>
    </w:p>
    <w:p>
      <w:pPr>
        <w:pStyle w:val="ListBullet"/>
        <w:keepLines w:val="0"/>
        <w:widowControl w:val="true"/>
      </w:pPr>
      <w:r>
        <w:rPr>
          <w:rFonts w:ascii="Inter" w:hAnsi="Inter" w:eastAsia="Inter"/>
          <w:b/>
          <w:color w:val="252A36"/>
          <w:sz w:val="18"/>
        </w:rPr>
        <w:t>Source Record:</w:t>
      </w:r>
      <w:r>
        <w:rPr>
          <w:rFonts w:ascii="Inter" w:hAnsi="Inter" w:eastAsia="Inter"/>
          <w:b w:val="0"/>
          <w:color w:val="252A36"/>
          <w:sz w:val="18"/>
        </w:rPr>
        <w:t xml:space="preserve"> An authoritative or governed record used to support an AI Output.</w:t>
      </w:r>
    </w:p>
    <w:p>
      <w:pPr>
        <w:pStyle w:val="ListBullet"/>
        <w:keepLines w:val="0"/>
        <w:widowControl w:val="true"/>
      </w:pPr>
      <w:r>
        <w:rPr>
          <w:rFonts w:ascii="Inter" w:hAnsi="Inter" w:eastAsia="Inter"/>
          <w:b/>
          <w:color w:val="252A36"/>
          <w:sz w:val="18"/>
        </w:rPr>
        <w:t>Supervised Automation:</w:t>
      </w:r>
      <w:r>
        <w:rPr>
          <w:rFonts w:ascii="Inter" w:hAnsi="Inter" w:eastAsia="Inter"/>
          <w:b w:val="0"/>
          <w:color w:val="252A36"/>
          <w:sz w:val="18"/>
        </w:rPr>
        <w:t xml:space="preserve"> Execution of predefined, authorized, limited, auditable actions under human-configured rules, thresholds, permissions, stop conditions, and override controls.</w:t>
      </w:r>
    </w:p>
    <w:p>
      <w:pPr>
        <w:pStyle w:val="ListBullet"/>
        <w:keepLines w:val="0"/>
        <w:widowControl w:val="true"/>
      </w:pPr>
      <w:r>
        <w:rPr>
          <w:rFonts w:ascii="Inter" w:hAnsi="Inter" w:eastAsia="Inter"/>
          <w:b/>
          <w:color w:val="252A36"/>
          <w:sz w:val="18"/>
        </w:rPr>
        <w:t>Untrusted Content:</w:t>
      </w:r>
      <w:r>
        <w:rPr>
          <w:rFonts w:ascii="Inter" w:hAnsi="Inter" w:eastAsia="Inter"/>
          <w:b w:val="0"/>
          <w:color w:val="252A36"/>
          <w:sz w:val="18"/>
        </w:rPr>
        <w:t xml:space="preserve"> Any user, document, message, web, attachment, image, metadata, or third-party content that may contain instructions or data capable of manipulating an AI System.</w:t>
      </w:r>
    </w:p>
    <w:p>
      <w:pPr>
        <w:pStyle w:val="ListBullet"/>
        <w:keepLines w:val="0"/>
        <w:widowControl w:val="true"/>
      </w:pPr>
      <w:r>
        <w:rPr>
          <w:rFonts w:ascii="Inter" w:hAnsi="Inter" w:eastAsia="Inter"/>
          <w:b/>
          <w:color w:val="252A36"/>
          <w:sz w:val="18"/>
        </w:rPr>
        <w:t>Predictive Emergency Decision:</w:t>
      </w:r>
      <w:r>
        <w:rPr>
          <w:rFonts w:ascii="Inter" w:hAnsi="Inter" w:eastAsia="Inter"/>
          <w:b w:val="0"/>
          <w:color w:val="252A36"/>
          <w:sz w:val="18"/>
        </w:rPr>
        <w:t xml:space="preserve"> A prediction that independently determines emergency status, treatment, dispatch, evacuation, euthanasia, removal, denial of care, or another emergency disposition.</w:t>
      </w:r>
    </w:p>
    <w:p>
      <w:pPr>
        <w:pStyle w:val="ListBullet"/>
        <w:keepLines w:val="0"/>
        <w:widowControl w:val="true"/>
      </w:pPr>
      <w:r>
        <w:rPr>
          <w:rFonts w:ascii="Inter" w:hAnsi="Inter" w:eastAsia="Inter"/>
          <w:b/>
          <w:color w:val="252A36"/>
          <w:sz w:val="18"/>
        </w:rPr>
        <w:t>Rider Ability Determination:</w:t>
      </w:r>
      <w:r>
        <w:rPr>
          <w:rFonts w:ascii="Inter" w:hAnsi="Inter" w:eastAsia="Inter"/>
          <w:b w:val="0"/>
          <w:color w:val="252A36"/>
          <w:sz w:val="18"/>
        </w:rPr>
        <w:t xml:space="preserve"> A final judgment, certification, level assignment, or suitability conclusion concerning a rider's competence, readiness, or ability.</w:t>
      </w:r>
    </w:p>
    <w:p>
      <w:pPr>
        <w:pStyle w:val="ListBullet"/>
        <w:keepLines w:val="0"/>
        <w:widowControl w:val="true"/>
      </w:pPr>
      <w:r>
        <w:rPr>
          <w:rFonts w:ascii="Inter" w:hAnsi="Inter" w:eastAsia="Inter"/>
          <w:b/>
          <w:color w:val="252A36"/>
          <w:sz w:val="18"/>
        </w:rPr>
        <w:t>Lameness Determination:</w:t>
      </w:r>
      <w:r>
        <w:rPr>
          <w:rFonts w:ascii="Inter" w:hAnsi="Inter" w:eastAsia="Inter"/>
          <w:b w:val="0"/>
          <w:color w:val="252A36"/>
          <w:sz w:val="18"/>
        </w:rPr>
        <w:t xml:space="preserve"> A final conclusion that a horse is lame, sound, fit to work, or clinically free of gait-related impairment.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II: DECISION AUTHORITY AND HUMAN CONTROL</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12. Decision-Authority Framework</w:t>
      </w:r>
    </w:p>
    <w:p>
      <w:pPr>
        <w:widowControl w:val="true"/>
      </w:pPr>
      <w:r>
        <w:rPr>
          <w:rFonts w:ascii="Inter" w:hAnsi="Inter" w:eastAsia="Inter"/>
          <w:b w:val="0"/>
          <w:color w:val="252A36"/>
          <w:sz w:val="18"/>
        </w:rPr>
        <w:t>Every AI use case must be assigned one maximum permitted tier and one risk class before development with non-synthetic data. The tier determines what the AI may produce or execute; the risk class determines the minimum controls and evidence required.</w:t>
      </w:r>
    </w:p>
    <w:p>
      <w:pPr>
        <w:widowControl w:val="true"/>
      </w:pPr>
      <w:r>
        <w:rPr>
          <w:rFonts w:ascii="Inter" w:hAnsi="Inter" w:eastAsia="Inter"/>
          <w:b w:val="0"/>
          <w:color w:val="252A36"/>
          <w:sz w:val="18"/>
        </w:rPr>
        <w:t>A capability may operate below its maximum tier but may not exceed it without a new safety case, registry amendment, evaluation, and stage-specific approval. The classification applies to the whole workflow and its reasonably foreseeable cumulative effect, not merely to each model call or tool in isolation.</w:t>
      </w:r>
    </w:p>
    <w:p>
      <w:pPr>
        <w:widowControl w:val="true"/>
      </w:pPr>
      <w:r>
        <w:rPr>
          <w:rFonts w:ascii="Inter" w:hAnsi="Inter" w:eastAsia="Inter"/>
          <w:b w:val="0"/>
          <w:color w:val="252A36"/>
          <w:sz w:val="18"/>
        </w:rPr>
        <w:t>Where a workflow contains multiple components, the highest applicable tier restriction and highest risk class control. A series of Tier 1 through Tier 4 steps may not be composed into a Tier 5 outcome.</w:t>
      </w:r>
    </w:p>
    <w:p>
      <w:pPr>
        <w:pStyle w:val="Heading2"/>
        <w:pBdr>
          <w:left w:val="single" w:sz="14" w:space="5" w:color="B8AECF"/>
        </w:pBdr>
        <w:keepNext/>
        <w:widowControl w:val="true"/>
      </w:pPr>
      <w:r>
        <w:rPr>
          <w:rFonts w:ascii="Inter" w:hAnsi="Inter" w:eastAsia="Inter"/>
          <w:b/>
          <w:color w:val="303A59"/>
          <w:sz w:val="23"/>
        </w:rPr>
        <w:t>13. Tier 1 - Informational Assistance</w:t>
      </w:r>
    </w:p>
    <w:p>
      <w:pPr>
        <w:widowControl w:val="true"/>
      </w:pPr>
      <w:r>
        <w:rPr>
          <w:rFonts w:ascii="Inter" w:hAnsi="Inter" w:eastAsia="Inter"/>
          <w:b w:val="0"/>
          <w:color w:val="252A36"/>
          <w:sz w:val="18"/>
        </w:rPr>
        <w:t>Tier 1 permits read-only assistance such as search, retrieval, formatting, extraction, translation, explanation, summarization, and organization. The AI does not rank people, prescribe action, or mutate authoritative records.</w:t>
      </w:r>
    </w:p>
    <w:p>
      <w:pPr>
        <w:pStyle w:val="ListBullet"/>
        <w:keepLines w:val="0"/>
        <w:widowControl w:val="true"/>
      </w:pPr>
      <w:r>
        <w:rPr>
          <w:rFonts w:ascii="Inter" w:hAnsi="Inter" w:eastAsia="Inter"/>
          <w:b w:val="0"/>
          <w:color w:val="252A36"/>
          <w:sz w:val="18"/>
        </w:rPr>
        <w:t>Outputs must identify relevant Source Records when available.</w:t>
      </w:r>
    </w:p>
    <w:p>
      <w:pPr>
        <w:pStyle w:val="ListBullet"/>
        <w:keepLines w:val="0"/>
        <w:widowControl w:val="true"/>
      </w:pPr>
      <w:r>
        <w:rPr>
          <w:rFonts w:ascii="Inter" w:hAnsi="Inter" w:eastAsia="Inter"/>
          <w:b w:val="0"/>
          <w:color w:val="252A36"/>
          <w:sz w:val="18"/>
        </w:rPr>
        <w:t>The AI must not imply that a summary is more authoritative than the underlying record.</w:t>
      </w:r>
    </w:p>
    <w:p>
      <w:pPr>
        <w:pStyle w:val="ListBullet"/>
        <w:keepLines w:val="0"/>
        <w:widowControl w:val="true"/>
      </w:pPr>
      <w:r>
        <w:rPr>
          <w:rFonts w:ascii="Inter" w:hAnsi="Inter" w:eastAsia="Inter"/>
          <w:b w:val="0"/>
          <w:color w:val="252A36"/>
          <w:sz w:val="18"/>
        </w:rPr>
        <w:t>Permissions must be enforced before retrieval and before display.</w:t>
      </w:r>
    </w:p>
    <w:p>
      <w:pPr>
        <w:pStyle w:val="Heading2"/>
        <w:pBdr>
          <w:left w:val="single" w:sz="14" w:space="5" w:color="B8AECF"/>
        </w:pBdr>
        <w:keepNext/>
        <w:widowControl w:val="true"/>
      </w:pPr>
      <w:r>
        <w:rPr>
          <w:rFonts w:ascii="Inter" w:hAnsi="Inter" w:eastAsia="Inter"/>
          <w:b/>
          <w:color w:val="303A59"/>
          <w:sz w:val="23"/>
        </w:rPr>
        <w:t>14. Tier 2 - Advisory Recommendation</w:t>
      </w:r>
    </w:p>
    <w:p>
      <w:pPr>
        <w:widowControl w:val="true"/>
      </w:pPr>
      <w:r>
        <w:rPr>
          <w:rFonts w:ascii="Inter" w:hAnsi="Inter" w:eastAsia="Inter"/>
          <w:b w:val="0"/>
          <w:color w:val="252A36"/>
          <w:sz w:val="18"/>
        </w:rPr>
        <w:t>Tier 2 permits nonbinding recommendations, rankings, forecasts, pattern detection, anomaly detection, health-risk signals, feed options, and other analytical assistance.</w:t>
      </w:r>
    </w:p>
    <w:p>
      <w:pPr>
        <w:pStyle w:val="ListBullet"/>
        <w:keepLines w:val="0"/>
        <w:widowControl w:val="true"/>
      </w:pPr>
      <w:r>
        <w:rPr>
          <w:rFonts w:ascii="Inter" w:hAnsi="Inter" w:eastAsia="Inter"/>
          <w:b w:val="0"/>
          <w:color w:val="252A36"/>
          <w:sz w:val="18"/>
        </w:rPr>
        <w:t>The output must be clearly labeled as advice, inference, estimate, or prediction.</w:t>
      </w:r>
    </w:p>
    <w:p>
      <w:pPr>
        <w:pStyle w:val="ListBullet"/>
        <w:keepLines w:val="0"/>
        <w:widowControl w:val="true"/>
      </w:pPr>
      <w:r>
        <w:rPr>
          <w:rFonts w:ascii="Inter" w:hAnsi="Inter" w:eastAsia="Inter"/>
          <w:b w:val="0"/>
          <w:color w:val="252A36"/>
          <w:sz w:val="18"/>
        </w:rPr>
        <w:t>An Authorized Human retains responsibility for any decision based on the output.</w:t>
      </w:r>
    </w:p>
    <w:p>
      <w:pPr>
        <w:pStyle w:val="ListBullet"/>
        <w:keepLines w:val="0"/>
        <w:widowControl w:val="true"/>
      </w:pPr>
      <w:r>
        <w:rPr>
          <w:rFonts w:ascii="Inter" w:hAnsi="Inter" w:eastAsia="Inter"/>
          <w:b w:val="0"/>
          <w:color w:val="252A36"/>
          <w:sz w:val="18"/>
        </w:rPr>
        <w:t>The AI must explain material inputs, assumptions, uncertainty, and known limitations.</w:t>
      </w:r>
    </w:p>
    <w:p>
      <w:pPr>
        <w:pStyle w:val="ListBullet"/>
        <w:keepLines w:val="0"/>
        <w:widowControl w:val="true"/>
      </w:pPr>
      <w:r>
        <w:rPr>
          <w:rFonts w:ascii="Inter" w:hAnsi="Inter" w:eastAsia="Inter"/>
          <w:b w:val="0"/>
          <w:color w:val="252A36"/>
          <w:sz w:val="18"/>
        </w:rPr>
        <w:t>Tier 2 may create a review task or alert but may not independently impose the underlying consequence.</w:t>
      </w:r>
    </w:p>
    <w:p>
      <w:pPr>
        <w:pStyle w:val="Heading2"/>
        <w:pBdr>
          <w:left w:val="single" w:sz="14" w:space="5" w:color="B8AECF"/>
        </w:pBdr>
        <w:keepNext/>
        <w:widowControl w:val="true"/>
      </w:pPr>
      <w:r>
        <w:rPr>
          <w:rFonts w:ascii="Inter" w:hAnsi="Inter" w:eastAsia="Inter"/>
          <w:b/>
          <w:color w:val="303A59"/>
          <w:sz w:val="23"/>
        </w:rPr>
        <w:t>15. Tier 3 - Proposed Action Requiring Confirmation</w:t>
      </w:r>
    </w:p>
    <w:p>
      <w:pPr>
        <w:widowControl w:val="true"/>
      </w:pPr>
      <w:r>
        <w:rPr>
          <w:rFonts w:ascii="Inter" w:hAnsi="Inter" w:eastAsia="Inter"/>
          <w:b w:val="0"/>
          <w:color w:val="252A36"/>
          <w:sz w:val="18"/>
        </w:rPr>
        <w:t>Tier 3 permits AI to prepare a proposed action, record change, communication, schedule adjustment, workflow step, financial administrative step, or other operation for review.</w:t>
      </w:r>
    </w:p>
    <w:p>
      <w:pPr>
        <w:pStyle w:val="ListBullet"/>
        <w:keepLines w:val="0"/>
        <w:widowControl w:val="true"/>
      </w:pPr>
      <w:r>
        <w:rPr>
          <w:rFonts w:ascii="Inter" w:hAnsi="Inter" w:eastAsia="Inter"/>
          <w:b w:val="0"/>
          <w:color w:val="252A36"/>
          <w:sz w:val="18"/>
        </w:rPr>
        <w:t>The proposal must show the intended action and material effects before confirmation.</w:t>
      </w:r>
    </w:p>
    <w:p>
      <w:pPr>
        <w:pStyle w:val="ListBullet"/>
        <w:keepLines w:val="0"/>
        <w:widowControl w:val="true"/>
      </w:pPr>
      <w:r>
        <w:rPr>
          <w:rFonts w:ascii="Inter" w:hAnsi="Inter" w:eastAsia="Inter"/>
          <w:b w:val="0"/>
          <w:color w:val="252A36"/>
          <w:sz w:val="18"/>
        </w:rPr>
        <w:t>Approval must come from an Authorized Human with the required domain permission.</w:t>
      </w:r>
    </w:p>
    <w:p>
      <w:pPr>
        <w:pStyle w:val="ListBullet"/>
        <w:keepLines w:val="0"/>
        <w:widowControl w:val="true"/>
      </w:pPr>
      <w:r>
        <w:rPr>
          <w:rFonts w:ascii="Inter" w:hAnsi="Inter" w:eastAsia="Inter"/>
          <w:b w:val="0"/>
          <w:color w:val="252A36"/>
          <w:sz w:val="18"/>
        </w:rPr>
        <w:t>Silence, inactivity, prechecked consent, or failure to respond is not approval.</w:t>
      </w:r>
    </w:p>
    <w:p>
      <w:pPr>
        <w:pStyle w:val="ListBullet"/>
        <w:keepLines w:val="0"/>
        <w:widowControl w:val="true"/>
      </w:pPr>
      <w:r>
        <w:rPr>
          <w:rFonts w:ascii="Inter" w:hAnsi="Inter" w:eastAsia="Inter"/>
          <w:b w:val="0"/>
          <w:color w:val="252A36"/>
          <w:sz w:val="18"/>
        </w:rPr>
        <w:t>The approved action and the approving person must be auditable.</w:t>
      </w:r>
    </w:p>
    <w:p>
      <w:pPr>
        <w:pStyle w:val="Heading2"/>
        <w:pBdr>
          <w:left w:val="single" w:sz="14" w:space="5" w:color="B8AECF"/>
        </w:pBdr>
        <w:keepNext/>
        <w:widowControl w:val="true"/>
      </w:pPr>
      <w:r>
        <w:rPr>
          <w:rFonts w:ascii="Inter" w:hAnsi="Inter" w:eastAsia="Inter"/>
          <w:b/>
          <w:color w:val="303A59"/>
          <w:sz w:val="23"/>
        </w:rPr>
        <w:t>16. Tier 4 - Supervised Automation</w:t>
      </w:r>
    </w:p>
    <w:p>
      <w:pPr>
        <w:widowControl w:val="true"/>
      </w:pPr>
      <w:r>
        <w:rPr>
          <w:rFonts w:ascii="Inter" w:hAnsi="Inter" w:eastAsia="Inter"/>
          <w:b w:val="0"/>
          <w:color w:val="252A36"/>
          <w:sz w:val="18"/>
        </w:rPr>
        <w:t>Tier 4 permits routine automated execution only when the action is predefined, authorized, narrow, monitored, auditable, and subject to human override. Tier 4 is automation of an approved policy or workflow, not delegation of policy-making, discretionary judgment, or consequential authority.</w:t>
      </w:r>
    </w:p>
    <w:p>
      <w:pPr>
        <w:pStyle w:val="ListBullet"/>
        <w:keepLines w:val="0"/>
        <w:widowControl w:val="true"/>
      </w:pPr>
      <w:r>
        <w:rPr>
          <w:rFonts w:ascii="Inter" w:hAnsi="Inter" w:eastAsia="Inter"/>
          <w:b w:val="0"/>
          <w:color w:val="252A36"/>
          <w:sz w:val="18"/>
        </w:rPr>
        <w:t>Rules, thresholds, scopes, recipients, limits, and stop conditions must be configured and approved in advance.</w:t>
      </w:r>
    </w:p>
    <w:p>
      <w:pPr>
        <w:pStyle w:val="ListBullet"/>
        <w:keepLines w:val="0"/>
        <w:widowControl w:val="true"/>
      </w:pPr>
      <w:r>
        <w:rPr>
          <w:rFonts w:ascii="Inter" w:hAnsi="Inter" w:eastAsia="Inter"/>
          <w:b w:val="0"/>
          <w:color w:val="252A36"/>
          <w:sz w:val="18"/>
        </w:rPr>
        <w:t>Deterministic rules must control legal obligation, payment authorization, eligibility, access, and other facts that AI is not authorized to decide.</w:t>
      </w:r>
    </w:p>
    <w:p>
      <w:pPr>
        <w:pStyle w:val="ListBullet"/>
        <w:keepLines w:val="0"/>
        <w:widowControl w:val="true"/>
      </w:pPr>
      <w:r>
        <w:rPr>
          <w:rFonts w:ascii="Inter" w:hAnsi="Inter" w:eastAsia="Inter"/>
          <w:b w:val="0"/>
          <w:color w:val="252A36"/>
          <w:sz w:val="18"/>
        </w:rPr>
        <w:t>The AI may not invent a new policy, charge, obligation, sanction, clinical instruction, access rule, safety standard, recipient, or data purpose.</w:t>
      </w:r>
    </w:p>
    <w:p>
      <w:pPr>
        <w:pStyle w:val="ListBullet"/>
        <w:keepLines w:val="0"/>
        <w:widowControl w:val="true"/>
      </w:pPr>
      <w:r>
        <w:rPr>
          <w:rFonts w:ascii="Inter" w:hAnsi="Inter" w:eastAsia="Inter"/>
          <w:b w:val="0"/>
          <w:color w:val="252A36"/>
          <w:sz w:val="18"/>
        </w:rPr>
        <w:t>Each tool call must have independent authorization, validated parameters, bounded side effects, and an attributable agent identity.</w:t>
      </w:r>
    </w:p>
    <w:p>
      <w:pPr>
        <w:pStyle w:val="ListBullet"/>
        <w:keepLines w:val="0"/>
        <w:widowControl w:val="true"/>
      </w:pPr>
      <w:r>
        <w:rPr>
          <w:rFonts w:ascii="Inter" w:hAnsi="Inter" w:eastAsia="Inter"/>
          <w:b w:val="0"/>
          <w:color w:val="252A36"/>
          <w:sz w:val="18"/>
        </w:rPr>
        <w:t>Authority must be monotonic: later steps may narrow but may not expand the authority established at the start of the workflow.</w:t>
      </w:r>
    </w:p>
    <w:p>
      <w:pPr>
        <w:pStyle w:val="ListBullet"/>
        <w:keepLines w:val="0"/>
        <w:widowControl w:val="true"/>
      </w:pPr>
      <w:r>
        <w:rPr>
          <w:rFonts w:ascii="Inter" w:hAnsi="Inter" w:eastAsia="Inter"/>
          <w:b w:val="0"/>
          <w:color w:val="252A36"/>
          <w:sz w:val="18"/>
        </w:rPr>
        <w:t>Material actions require preview, simulation, dual control, or stronger confirmation proportionate to the risk.</w:t>
      </w:r>
    </w:p>
    <w:p>
      <w:pPr>
        <w:pStyle w:val="ListBullet"/>
        <w:keepLines w:val="0"/>
        <w:widowControl w:val="true"/>
      </w:pPr>
      <w:r>
        <w:rPr>
          <w:rFonts w:ascii="Inter" w:hAnsi="Inter" w:eastAsia="Inter"/>
          <w:b w:val="0"/>
          <w:color w:val="252A36"/>
          <w:sz w:val="18"/>
        </w:rPr>
        <w:t>Workflows must use idempotency, duplicate-action prevention, transaction limits, retry limits, recursion limits, safe timeout behavior, and partial-failure detection.</w:t>
      </w:r>
    </w:p>
    <w:p>
      <w:pPr>
        <w:pStyle w:val="ListBullet"/>
        <w:keepLines w:val="0"/>
        <w:widowControl w:val="true"/>
      </w:pPr>
      <w:r>
        <w:rPr>
          <w:rFonts w:ascii="Inter" w:hAnsi="Inter" w:eastAsia="Inter"/>
          <w:b w:val="0"/>
          <w:color w:val="252A36"/>
          <w:sz w:val="18"/>
        </w:rPr>
        <w:t>Bulk approval may not substitute for case-specific review when circumstances materially differ or when law, safety, welfare, professional duty, or controlling canon requires individual consideration.</w:t>
      </w:r>
    </w:p>
    <w:p>
      <w:pPr>
        <w:pStyle w:val="ListBullet"/>
        <w:keepLines w:val="0"/>
        <w:widowControl w:val="true"/>
      </w:pPr>
      <w:r>
        <w:rPr>
          <w:rFonts w:ascii="Inter" w:hAnsi="Inter" w:eastAsia="Inter"/>
          <w:b w:val="0"/>
          <w:color w:val="252A36"/>
          <w:sz w:val="18"/>
        </w:rPr>
        <w:t>Actions must be reversible where reasonably practicable. Irreversible or difficult-to-reverse actions require stronger pre-action controls and may be ineligible for Tier 4.</w:t>
      </w:r>
    </w:p>
    <w:p>
      <w:pPr>
        <w:pStyle w:val="ListBullet"/>
        <w:keepLines w:val="0"/>
        <w:widowControl w:val="true"/>
      </w:pPr>
      <w:r>
        <w:rPr>
          <w:rFonts w:ascii="Inter" w:hAnsi="Inter" w:eastAsia="Inter"/>
          <w:b w:val="0"/>
          <w:color w:val="252A36"/>
          <w:sz w:val="18"/>
        </w:rPr>
        <w:t>A designated human owner must be able to pause or disable the automation promptly through a control independent of the same model, provider, and agent path.</w:t>
      </w:r>
    </w:p>
    <w:p>
      <w:pPr>
        <w:pStyle w:val="ListBullet"/>
        <w:keepLines w:val="0"/>
        <w:widowControl w:val="true"/>
      </w:pPr>
      <w:r>
        <w:rPr>
          <w:rFonts w:ascii="Inter" w:hAnsi="Inter" w:eastAsia="Inter"/>
          <w:b w:val="0"/>
          <w:color w:val="252A36"/>
          <w:sz w:val="18"/>
        </w:rPr>
        <w:t>Tier 4 must fall back safely when confidence, connectivity, permissions, provider availability, source integrity, source freshness, model identity, or human-review capacity is insufficient.</w:t>
      </w:r>
    </w:p>
    <w:p>
      <w:pPr>
        <w:pStyle w:val="ListBullet"/>
        <w:keepLines w:val="0"/>
        <w:widowControl w:val="true"/>
      </w:pPr>
      <w:r>
        <w:rPr>
          <w:rFonts w:ascii="Inter" w:hAnsi="Inter" w:eastAsia="Inter"/>
          <w:b w:val="0"/>
          <w:color w:val="252A36"/>
          <w:sz w:val="18"/>
        </w:rPr>
        <w:t>A permitted action may not be chained with other permitted actions to create a prohibited or unapproved consequential outcome.</w:t>
      </w:r>
    </w:p>
    <w:p>
      <w:pPr>
        <w:pStyle w:val="Heading2"/>
        <w:pBdr>
          <w:left w:val="single" w:sz="14" w:space="5" w:color="B8AECF"/>
        </w:pBdr>
        <w:keepNext/>
        <w:widowControl w:val="true"/>
      </w:pPr>
      <w:r>
        <w:rPr>
          <w:rFonts w:ascii="Inter" w:hAnsi="Inter" w:eastAsia="Inter"/>
          <w:b/>
          <w:color w:val="303A59"/>
          <w:sz w:val="23"/>
        </w:rPr>
        <w:t>17. Tier 5 - Prohibited Autonomous Authority</w:t>
      </w:r>
    </w:p>
    <w:p>
      <w:pPr>
        <w:widowControl w:val="true"/>
      </w:pPr>
      <w:r>
        <w:rPr>
          <w:rFonts w:ascii="Inter" w:hAnsi="Inter" w:eastAsia="Inter"/>
          <w:b w:val="0"/>
          <w:color w:val="252A36"/>
          <w:sz w:val="18"/>
        </w:rPr>
        <w:t>Tier 5 is not an enabled capability class. It identifies decisions and actions that AI may not make independently within EquineSync.</w:t>
      </w:r>
    </w:p>
    <w:p>
      <w:pPr>
        <w:widowControl w:val="true"/>
      </w:pPr>
      <w:r>
        <w:rPr>
          <w:rFonts w:ascii="Inter" w:hAnsi="Inter" w:eastAsia="Inter"/>
          <w:b w:val="0"/>
          <w:color w:val="252A36"/>
          <w:sz w:val="18"/>
        </w:rPr>
        <w:t>No model, agent, workflow, provider service, product setting, tenant configuration, pilot agreement, user consent, professional preference, or emergency shortcut may exercise Tier 5 authority under this Model. The listed zones remain reserved to authorized humans and controlling domain processes.</w:t>
      </w:r>
    </w:p>
    <w:p>
      <w:pPr>
        <w:widowControl w:val="true"/>
      </w:pPr>
      <w:r>
        <w:rPr>
          <w:rFonts w:ascii="Inter" w:hAnsi="Inter" w:eastAsia="Inter"/>
          <w:b w:val="0"/>
          <w:color w:val="252A36"/>
          <w:sz w:val="18"/>
        </w:rPr>
        <w:t>A future proposal to permit any Tier 5 authority requires an express constitutional amendment, founder approval, professional and legal review, independent evidence, new implementation authority, and preservation of every prior prohibition. Ordinary product or implementation governance cannot create Tier 5 authority.</w:t>
      </w:r>
    </w:p>
    <w:p>
      <w:pPr>
        <w:pStyle w:val="Heading2"/>
        <w:pBdr>
          <w:left w:val="single" w:sz="14" w:space="5" w:color="B8AECF"/>
        </w:pBdr>
        <w:keepNext/>
        <w:widowControl w:val="true"/>
      </w:pPr>
      <w:r>
        <w:rPr>
          <w:rFonts w:ascii="Inter" w:hAnsi="Inter" w:eastAsia="Inter"/>
          <w:b/>
          <w:color w:val="303A59"/>
          <w:sz w:val="23"/>
        </w:rPr>
        <w:t>18. Consequential Decision Test</w:t>
      </w:r>
    </w:p>
    <w:p>
      <w:pPr>
        <w:widowControl w:val="true"/>
      </w:pPr>
      <w:r>
        <w:rPr>
          <w:rFonts w:ascii="Inter" w:hAnsi="Inter" w:eastAsia="Inter"/>
          <w:b w:val="0"/>
          <w:color w:val="252A36"/>
          <w:sz w:val="18"/>
        </w:rPr>
        <w:t>A decision is consequential when an error, delay, omission, bias, unauthorized disclosure, cumulative pattern, scaled automation, or automated action could materially affect a person, horse, legal right, financial responsibility, essential care, safety condition, contractual relationship, employment, reputation, access, or authoritative record.</w:t>
      </w:r>
    </w:p>
    <w:p>
      <w:pPr>
        <w:widowControl w:val="true"/>
      </w:pPr>
      <w:r>
        <w:rPr>
          <w:rFonts w:ascii="Inter" w:hAnsi="Inter" w:eastAsia="Inter"/>
          <w:b w:val="0"/>
          <w:color w:val="252A36"/>
          <w:sz w:val="18"/>
        </w:rPr>
        <w:t>The test considers direct effects, reasonably foreseeable downstream effects, effects created by repeated low-impact outputs, and effects created when another person predictably relies on the AI output.</w:t>
      </w:r>
    </w:p>
    <w:p>
      <w:pPr>
        <w:widowControl w:val="true"/>
      </w:pPr>
      <w:r>
        <w:rPr>
          <w:rFonts w:ascii="Inter" w:hAnsi="Inter" w:eastAsia="Inter"/>
          <w:b w:val="0"/>
          <w:color w:val="252A36"/>
          <w:sz w:val="18"/>
        </w:rPr>
        <w:t>Where classification is uncertain, the use case must be treated as consequential until a documented review determines otherwise. Product language such as “recommendation only” does not make a use case nonconsequential when the system is designed or expected to drive the outcome.</w:t>
      </w:r>
    </w:p>
    <w:p>
      <w:pPr>
        <w:pStyle w:val="Heading2"/>
        <w:pBdr>
          <w:left w:val="single" w:sz="14" w:space="5" w:color="B8AECF"/>
        </w:pBdr>
        <w:keepNext/>
        <w:widowControl w:val="true"/>
      </w:pPr>
      <w:r>
        <w:rPr>
          <w:rFonts w:ascii="Inter" w:hAnsi="Inter" w:eastAsia="Inter"/>
          <w:b/>
          <w:color w:val="303A59"/>
          <w:sz w:val="23"/>
        </w:rPr>
        <w:t>19. Absolute Human-Authority and Professional-Judgment Zones</w:t>
      </w:r>
    </w:p>
    <w:p>
      <w:pPr>
        <w:pStyle w:val="ListBullet"/>
        <w:keepLines w:val="0"/>
        <w:widowControl w:val="true"/>
      </w:pPr>
      <w:r>
        <w:rPr>
          <w:rFonts w:ascii="Inter" w:hAnsi="Inter" w:eastAsia="Inter"/>
          <w:b w:val="0"/>
          <w:color w:val="252A36"/>
          <w:sz w:val="18"/>
        </w:rPr>
        <w:t>Diagnosis, treatment, medication, veterinary disposition, euthanasia, and final horse-welfare determinations.</w:t>
      </w:r>
    </w:p>
    <w:p>
      <w:pPr>
        <w:pStyle w:val="ListBullet"/>
        <w:keepLines w:val="0"/>
        <w:widowControl w:val="true"/>
      </w:pPr>
      <w:r>
        <w:rPr>
          <w:rFonts w:ascii="Inter" w:hAnsi="Inter" w:eastAsia="Inter"/>
          <w:b w:val="0"/>
          <w:color w:val="252A36"/>
          <w:sz w:val="18"/>
        </w:rPr>
        <w:t>Rider Ability Determinations, instructor certification, final rider-horse suitability decisions, and final permission to participate in a higher-risk activity.</w:t>
      </w:r>
    </w:p>
    <w:p>
      <w:pPr>
        <w:pStyle w:val="ListBullet"/>
        <w:keepLines w:val="0"/>
        <w:widowControl w:val="true"/>
      </w:pPr>
      <w:r>
        <w:rPr>
          <w:rFonts w:ascii="Inter" w:hAnsi="Inter" w:eastAsia="Inter"/>
          <w:b w:val="0"/>
          <w:color w:val="252A36"/>
          <w:sz w:val="18"/>
        </w:rPr>
        <w:t>Lameness Determinations, soundness determinations, fitness-to-work determinations, and return-to-work clearance.</w:t>
      </w:r>
    </w:p>
    <w:p>
      <w:pPr>
        <w:pStyle w:val="ListBullet"/>
        <w:keepLines w:val="0"/>
        <w:widowControl w:val="true"/>
      </w:pPr>
      <w:r>
        <w:rPr>
          <w:rFonts w:ascii="Inter" w:hAnsi="Inter" w:eastAsia="Inter"/>
          <w:b w:val="0"/>
          <w:color w:val="252A36"/>
          <w:sz w:val="18"/>
        </w:rPr>
        <w:t>Horse ownership, custody, transfer, surrender, sale, retirement, death status, abandonment, or final identity determinations.</w:t>
      </w:r>
    </w:p>
    <w:p>
      <w:pPr>
        <w:pStyle w:val="ListBullet"/>
        <w:keepLines w:val="0"/>
        <w:widowControl w:val="true"/>
      </w:pPr>
      <w:r>
        <w:rPr>
          <w:rFonts w:ascii="Inter" w:hAnsi="Inter" w:eastAsia="Inter"/>
          <w:b w:val="0"/>
          <w:color w:val="252A36"/>
          <w:sz w:val="18"/>
        </w:rPr>
        <w:t>Execution, acceptance, rescission, waiver, or binding legal interpretation of contracts, consents, or authorizations.</w:t>
      </w:r>
    </w:p>
    <w:p>
      <w:pPr>
        <w:pStyle w:val="ListBullet"/>
        <w:keepLines w:val="0"/>
        <w:widowControl w:val="true"/>
      </w:pPr>
      <w:r>
        <w:rPr>
          <w:rFonts w:ascii="Inter" w:hAnsi="Inter" w:eastAsia="Inter"/>
          <w:b w:val="0"/>
          <w:color w:val="252A36"/>
          <w:sz w:val="18"/>
        </w:rPr>
        <w:t>Creation of financial liability, imposition of unauthorized charges, creditworthiness or ability-to-pay determinations, final dispute resolution, denial of a refund, write-off authority, payout entitlement, or legal collections strategy.</w:t>
      </w:r>
    </w:p>
    <w:p>
      <w:pPr>
        <w:pStyle w:val="ListBullet"/>
        <w:keepLines w:val="0"/>
        <w:widowControl w:val="true"/>
      </w:pPr>
      <w:r>
        <w:rPr>
          <w:rFonts w:ascii="Inter" w:hAnsi="Inter" w:eastAsia="Inter"/>
          <w:b w:val="0"/>
          <w:color w:val="252A36"/>
          <w:sz w:val="18"/>
        </w:rPr>
        <w:t>Suspension, discipline, termination, employment action, credential revocation, permanent access restriction, or adverse decision based on employee, rider, provider, or customer scoring.</w:t>
      </w:r>
    </w:p>
    <w:p>
      <w:pPr>
        <w:pStyle w:val="ListBullet"/>
        <w:keepLines w:val="0"/>
        <w:widowControl w:val="true"/>
      </w:pPr>
      <w:r>
        <w:rPr>
          <w:rFonts w:ascii="Inter" w:hAnsi="Inter" w:eastAsia="Inter"/>
          <w:b w:val="0"/>
          <w:color w:val="252A36"/>
          <w:sz w:val="18"/>
        </w:rPr>
        <w:t>Safeguarding, abuse, neglect, SafeSport, guardian, minor-protection, credibility, or intent adjudication.</w:t>
      </w:r>
    </w:p>
    <w:p>
      <w:pPr>
        <w:pStyle w:val="ListBullet"/>
        <w:keepLines w:val="0"/>
        <w:widowControl w:val="true"/>
      </w:pPr>
      <w:r>
        <w:rPr>
          <w:rFonts w:ascii="Inter" w:hAnsi="Inter" w:eastAsia="Inter"/>
          <w:b w:val="0"/>
          <w:color w:val="252A36"/>
          <w:sz w:val="18"/>
        </w:rPr>
        <w:t>Deletion, legal hold, evidentiary classification, spoliation determination, final retention disposition, or declaration that a disputed claim is proven.</w:t>
      </w:r>
    </w:p>
    <w:p>
      <w:pPr>
        <w:pStyle w:val="ListBullet"/>
        <w:keepLines w:val="0"/>
        <w:widowControl w:val="true"/>
      </w:pPr>
      <w:r>
        <w:rPr>
          <w:rFonts w:ascii="Inter" w:hAnsi="Inter" w:eastAsia="Inter"/>
          <w:b w:val="0"/>
          <w:color w:val="252A36"/>
          <w:sz w:val="18"/>
        </w:rPr>
        <w:t>Predictive Emergency Decisions and final emergency disposition.</w:t>
      </w:r>
    </w:p>
    <w:p>
      <w:pPr>
        <w:pStyle w:val="ListBullet"/>
        <w:keepLines w:val="0"/>
        <w:widowControl w:val="true"/>
      </w:pPr>
      <w:r>
        <w:rPr>
          <w:rFonts w:ascii="Inter" w:hAnsi="Inter" w:eastAsia="Inter"/>
          <w:b w:val="0"/>
          <w:color w:val="252A36"/>
          <w:sz w:val="18"/>
        </w:rPr>
        <w:t>Any decision that law, licensure, professional ethics, insurance, agreement, or controlling canon reserves to a qualified human.</w:t>
      </w:r>
    </w:p>
    <w:p>
      <w:pPr>
        <w:widowControl w:val="true"/>
      </w:pPr>
      <w:r>
        <w:rPr>
          <w:rFonts w:ascii="Inter" w:hAnsi="Inter" w:eastAsia="Inter"/>
          <w:b w:val="0"/>
          <w:color w:val="252A36"/>
          <w:sz w:val="18"/>
        </w:rPr>
        <w:t>AI may assist an Authorized Human in these zones only at a lower tier expressly permitted elsewhere in this Model. Assistance may not be designed so that the human is functionally compelled to accept the AI outcome.</w:t>
      </w:r>
    </w:p>
    <w:p>
      <w:pPr>
        <w:pStyle w:val="Heading2"/>
        <w:pBdr>
          <w:left w:val="single" w:sz="14" w:space="5" w:color="B8AECF"/>
        </w:pBdr>
        <w:keepNext/>
        <w:widowControl w:val="true"/>
      </w:pPr>
      <w:r>
        <w:rPr>
          <w:rFonts w:ascii="Inter" w:hAnsi="Inter" w:eastAsia="Inter"/>
          <w:b/>
          <w:color w:val="303A59"/>
          <w:sz w:val="23"/>
        </w:rPr>
        <w:t>20. Meaningful Human Confirmation Requirements</w:t>
      </w:r>
    </w:p>
    <w:p>
      <w:pPr>
        <w:widowControl w:val="true"/>
      </w:pPr>
      <w:r>
        <w:rPr>
          <w:rFonts w:ascii="Inter" w:hAnsi="Inter" w:eastAsia="Inter"/>
          <w:b w:val="0"/>
          <w:color w:val="252A36"/>
          <w:sz w:val="18"/>
        </w:rPr>
        <w:t>Human confirmation must be meaningful, informed, attributable, timely, case-specific where required, and performed by a person who can understand the decision and its material consequences.</w:t>
      </w:r>
    </w:p>
    <w:p>
      <w:pPr>
        <w:pStyle w:val="ListBullet"/>
        <w:keepLines w:val="0"/>
        <w:widowControl w:val="true"/>
      </w:pPr>
      <w:r>
        <w:rPr>
          <w:rFonts w:ascii="Inter" w:hAnsi="Inter" w:eastAsia="Inter"/>
          <w:b w:val="0"/>
          <w:color w:val="252A36"/>
          <w:sz w:val="18"/>
        </w:rPr>
        <w:t>The reviewer must have the required domain authority, independence, training, competence, information, and practical ability to identify a material error.</w:t>
      </w:r>
    </w:p>
    <w:p>
      <w:pPr>
        <w:pStyle w:val="ListBullet"/>
        <w:keepLines w:val="0"/>
        <w:widowControl w:val="true"/>
      </w:pPr>
      <w:r>
        <w:rPr>
          <w:rFonts w:ascii="Inter" w:hAnsi="Inter" w:eastAsia="Inter"/>
          <w:b w:val="0"/>
          <w:color w:val="252A36"/>
          <w:sz w:val="18"/>
        </w:rPr>
        <w:t>The reviewer must have sufficient time and manageable workload. A review process is not meaningful when throughput targets make inspection unrealistic.</w:t>
      </w:r>
    </w:p>
    <w:p>
      <w:pPr>
        <w:pStyle w:val="ListBullet"/>
        <w:keepLines w:val="0"/>
        <w:widowControl w:val="true"/>
      </w:pPr>
      <w:r>
        <w:rPr>
          <w:rFonts w:ascii="Inter" w:hAnsi="Inter" w:eastAsia="Inter"/>
          <w:b w:val="0"/>
          <w:color w:val="252A36"/>
          <w:sz w:val="18"/>
        </w:rPr>
        <w:t>The interface must disclose the proposed action, affected records or parties, material uncertainty, source age, reasonably available contrary evidence, and known limitations.</w:t>
      </w:r>
    </w:p>
    <w:p>
      <w:pPr>
        <w:pStyle w:val="ListBullet"/>
        <w:keepLines w:val="0"/>
        <w:widowControl w:val="true"/>
      </w:pPr>
      <w:r>
        <w:rPr>
          <w:rFonts w:ascii="Inter" w:hAnsi="Inter" w:eastAsia="Inter"/>
          <w:b w:val="0"/>
          <w:color w:val="252A36"/>
          <w:sz w:val="18"/>
        </w:rPr>
        <w:t>The reviewer must be able to reject, modify, defer, request more information, or escalate the proposal without retaliation, hidden penalty, or artificial friction.</w:t>
      </w:r>
    </w:p>
    <w:p>
      <w:pPr>
        <w:pStyle w:val="ListBullet"/>
        <w:keepLines w:val="0"/>
        <w:widowControl w:val="true"/>
      </w:pPr>
      <w:r>
        <w:rPr>
          <w:rFonts w:ascii="Inter" w:hAnsi="Inter" w:eastAsia="Inter"/>
          <w:b w:val="0"/>
          <w:color w:val="252A36"/>
          <w:sz w:val="18"/>
        </w:rPr>
        <w:t>Silence, inactivity, prechecked consent, default acceptance, failure to respond, or previous acceptance is not approval.</w:t>
      </w:r>
    </w:p>
    <w:p>
      <w:pPr>
        <w:pStyle w:val="ListBullet"/>
        <w:keepLines w:val="0"/>
        <w:widowControl w:val="true"/>
      </w:pPr>
      <w:r>
        <w:rPr>
          <w:rFonts w:ascii="Inter" w:hAnsi="Inter" w:eastAsia="Inter"/>
          <w:b w:val="0"/>
          <w:color w:val="252A36"/>
          <w:sz w:val="18"/>
        </w:rPr>
        <w:t>Repeated acceptance without inspection, excessive approval speed, patterned overrides, or unusual agreement rates must trigger review for automation bias, coercion, inadequate staffing, or rubber-stamping.</w:t>
      </w:r>
    </w:p>
    <w:p>
      <w:pPr>
        <w:pStyle w:val="ListBullet"/>
        <w:keepLines w:val="0"/>
        <w:widowControl w:val="true"/>
      </w:pPr>
      <w:r>
        <w:rPr>
          <w:rFonts w:ascii="Inter" w:hAnsi="Inter" w:eastAsia="Inter"/>
          <w:b w:val="0"/>
          <w:color w:val="252A36"/>
          <w:sz w:val="18"/>
        </w:rPr>
        <w:t>A confirmation interface must not obscure uncertainty, bundle unrelated actions, hide financial or safety effects, or use authority cues and urgency to pressure acceptance.</w:t>
      </w:r>
    </w:p>
    <w:p>
      <w:pPr>
        <w:pStyle w:val="ListBullet"/>
        <w:keepLines w:val="0"/>
        <w:widowControl w:val="true"/>
      </w:pPr>
      <w:r>
        <w:rPr>
          <w:rFonts w:ascii="Inter" w:hAnsi="Inter" w:eastAsia="Inter"/>
          <w:b w:val="0"/>
          <w:color w:val="252A36"/>
          <w:sz w:val="18"/>
        </w:rPr>
        <w:t>The reviewer may not be the person whose performance is evaluated solely by accepting or accelerating the AI recommendation when that conflict could impair independent judgment.</w:t>
      </w:r>
    </w:p>
    <w:p>
      <w:pPr>
        <w:widowControl w:val="true"/>
      </w:pPr>
      <w:r>
        <w:rPr>
          <w:rFonts w:ascii="Inter" w:hAnsi="Inter" w:eastAsia="Inter"/>
          <w:b w:val="0"/>
          <w:color w:val="252A36"/>
          <w:sz w:val="18"/>
        </w:rPr>
        <w:t>Human review is not meaningful when the reviewer lacks time, information, authority, competence, independence, or a practical ability to disagree.</w:t>
      </w:r>
    </w:p>
    <w:p>
      <w:pPr>
        <w:pStyle w:val="Heading2"/>
        <w:pBdr>
          <w:left w:val="single" w:sz="14" w:space="5" w:color="B8AECF"/>
        </w:pBdr>
        <w:keepNext/>
        <w:widowControl w:val="true"/>
      </w:pPr>
      <w:r>
        <w:rPr>
          <w:rFonts w:ascii="Inter" w:hAnsi="Inter" w:eastAsia="Inter"/>
          <w:b/>
          <w:color w:val="303A59"/>
          <w:sz w:val="23"/>
        </w:rPr>
        <w:t>21. Reversibility, Non-Retaliation, and Safe Failure</w:t>
      </w:r>
    </w:p>
    <w:p>
      <w:pPr>
        <w:widowControl w:val="true"/>
      </w:pPr>
      <w:r>
        <w:rPr>
          <w:rFonts w:ascii="Inter" w:hAnsi="Inter" w:eastAsia="Inter"/>
          <w:b w:val="0"/>
          <w:color w:val="252A36"/>
          <w:sz w:val="18"/>
        </w:rPr>
        <w:t>AI-assisted systems must prefer reversible steps, drafts, queued actions, and reviewable states where feasible. When reversal is impossible or materially difficult, pre-action controls must be proportionately stronger and the use case may be ineligible for automation.</w:t>
      </w:r>
    </w:p>
    <w:p>
      <w:pPr>
        <w:widowControl w:val="true"/>
      </w:pPr>
      <w:r>
        <w:rPr>
          <w:rFonts w:ascii="Inter" w:hAnsi="Inter" w:eastAsia="Inter"/>
          <w:b w:val="0"/>
          <w:color w:val="252A36"/>
          <w:sz w:val="18"/>
        </w:rPr>
        <w:t>Consequential workflows must fail closed against unauthorized mutation, disclosure, payment, access change, record destruction, or policy expansion. Safety alerts may fail toward visible escalation where the cost of silence is greater, but an alert may not be presented as a professional diagnosis or final emergency determination.</w:t>
      </w:r>
    </w:p>
    <w:p>
      <w:pPr>
        <w:widowControl w:val="true"/>
      </w:pPr>
      <w:r>
        <w:rPr>
          <w:rFonts w:ascii="Inter" w:hAnsi="Inter" w:eastAsia="Inter"/>
          <w:b w:val="0"/>
          <w:color w:val="252A36"/>
          <w:sz w:val="18"/>
        </w:rPr>
        <w:t>On failure, the system must preserve the last known trustworthy state, avoid duplicate action, identify partial completion, and surface the unresolved condition to an Authorized Human. A failed AI feature must not block access to authoritative records, dispute channels, safety reporting, or Essential Horse Care information.</w:t>
      </w:r>
    </w:p>
    <w:p>
      <w:pPr>
        <w:widowControl w:val="true"/>
      </w:pPr>
      <w:r>
        <w:rPr>
          <w:rFonts w:ascii="Inter" w:hAnsi="Inter" w:eastAsia="Inter"/>
          <w:b w:val="0"/>
          <w:color w:val="252A36"/>
          <w:sz w:val="18"/>
        </w:rPr>
        <w:t>No user may suffer retaliation, hidden ranking penalty, service degradation, delayed record access, or loss of essential assistance merely for declining an optional AI feature, challenging an output, requesting human review, or reporting an incident.</w:t>
      </w:r>
    </w:p>
    <w:p>
      <w:pPr>
        <w:pStyle w:val="Heading2"/>
        <w:pBdr>
          <w:left w:val="single" w:sz="14" w:space="5" w:color="B8AECF"/>
        </w:pBdr>
        <w:keepNext/>
        <w:widowControl w:val="true"/>
      </w:pPr>
      <w:r>
        <w:rPr>
          <w:rFonts w:ascii="Inter" w:hAnsi="Inter" w:eastAsia="Inter"/>
          <w:b/>
          <w:color w:val="303A59"/>
          <w:sz w:val="23"/>
        </w:rPr>
        <w:t>22. Pause, Override, Kill, and Suspension Controls</w:t>
      </w:r>
    </w:p>
    <w:p>
      <w:pPr>
        <w:widowControl w:val="true"/>
      </w:pPr>
      <w:r>
        <w:rPr>
          <w:rFonts w:ascii="Inter" w:hAnsi="Inter" w:eastAsia="Inter"/>
          <w:b w:val="0"/>
          <w:color w:val="252A36"/>
          <w:sz w:val="18"/>
        </w:rPr>
        <w:t>Every Tier 3 or Tier 4 capability with material impact must have an identified owner, a practical pause mechanism, an emergency disable path, and a documented fallback process. Tier 4 requires an independent kill control that does not depend on the same model, provider, credential path, or agent orchestration.</w:t>
      </w:r>
    </w:p>
    <w:p>
      <w:pPr>
        <w:widowControl w:val="true"/>
      </w:pPr>
      <w:r>
        <w:rPr>
          <w:rFonts w:ascii="Inter" w:hAnsi="Inter" w:eastAsia="Inter"/>
          <w:b w:val="0"/>
          <w:color w:val="252A36"/>
          <w:sz w:val="18"/>
        </w:rPr>
        <w:t>A human override must not be silently reversed by the AI. Repeated overrides, repeated re-proposals of rejected actions, or attempts to route around an override must trigger governance review.</w:t>
      </w:r>
    </w:p>
    <w:p>
      <w:pPr>
        <w:widowControl w:val="true"/>
      </w:pPr>
      <w:r>
        <w:rPr>
          <w:rFonts w:ascii="Inter" w:hAnsi="Inter" w:eastAsia="Inter"/>
          <w:b w:val="0"/>
          <w:color w:val="252A36"/>
          <w:sz w:val="18"/>
        </w:rPr>
        <w:t>Mandatory suspension triggers in Appendix K require immediate or prompt suspension without waiting for ordinary release cadence. Suspension authority must be available to Security, Privacy, Platform Operations, and the accountable Domain Owner within defined limits, with evidence preservation and founder escalation for material cases.</w:t>
      </w:r>
    </w:p>
    <w:p>
      <w:pPr>
        <w:pStyle w:val="Heading2"/>
        <w:pBdr>
          <w:left w:val="single" w:sz="14" w:space="5" w:color="B8AECF"/>
        </w:pBdr>
        <w:keepNext/>
        <w:widowControl w:val="true"/>
      </w:pPr>
      <w:r>
        <w:rPr>
          <w:rFonts w:ascii="Inter" w:hAnsi="Inter" w:eastAsia="Inter"/>
          <w:b/>
          <w:color w:val="303A59"/>
          <w:sz w:val="23"/>
        </w:rPr>
        <w:t>23. No Autonomous Expansion, Delegation, or Composition of Scope</w:t>
      </w:r>
    </w:p>
    <w:p>
      <w:pPr>
        <w:widowControl w:val="true"/>
      </w:pPr>
      <w:r>
        <w:rPr>
          <w:rFonts w:ascii="Inter" w:hAnsi="Inter" w:eastAsia="Inter"/>
          <w:b w:val="0"/>
          <w:color w:val="252A36"/>
          <w:sz w:val="18"/>
        </w:rPr>
        <w:t>An AI agent may not discover additional systems, tools, data sources, recipients, payment methods, models, agents, or actions and then authorize itself to use them. Tool access must be explicitly registered, allowlisted, scoped, and evaluated.</w:t>
      </w:r>
    </w:p>
    <w:p>
      <w:pPr>
        <w:widowControl w:val="true"/>
      </w:pPr>
      <w:r>
        <w:rPr>
          <w:rFonts w:ascii="Inter" w:hAnsi="Inter" w:eastAsia="Inter"/>
          <w:b w:val="0"/>
          <w:color w:val="252A36"/>
          <w:sz w:val="18"/>
        </w:rPr>
        <w:t>Permission to plan is not permission to execute. Permission to execute one step is not permission to select a different recipient, increase an amount, broaden a query, access a related record, use a new tool, delegate to another agent, or repeat the action.</w:t>
      </w:r>
    </w:p>
    <w:p>
      <w:pPr>
        <w:widowControl w:val="true"/>
      </w:pPr>
      <w:r>
        <w:rPr>
          <w:rFonts w:ascii="Inter" w:hAnsi="Inter" w:eastAsia="Inter"/>
          <w:b w:val="0"/>
          <w:color w:val="252A36"/>
          <w:sz w:val="18"/>
        </w:rPr>
        <w:t>No agent may divide one prohibited act into smaller permitted steps, chain benign tools into a consequential outcome, use one tenant's data to improve another tenant's result, or appoint another agent to evade its own limits. The constitutional boundary applies to the composed system and resulting effect.</w:t>
      </w:r>
    </w:p>
    <w:p>
      <w:pPr>
        <w:pStyle w:val="Heading2"/>
        <w:pBdr>
          <w:left w:val="single" w:sz="14" w:space="5" w:color="B8AECF"/>
        </w:pBdr>
        <w:keepNext/>
        <w:widowControl w:val="true"/>
      </w:pPr>
      <w:r>
        <w:rPr>
          <w:rFonts w:ascii="Inter" w:hAnsi="Inter" w:eastAsia="Inter"/>
          <w:b/>
          <w:color w:val="303A59"/>
          <w:sz w:val="23"/>
        </w:rPr>
        <w:t>24. Emergency Uncertainty Rule</w:t>
      </w:r>
    </w:p>
    <w:p>
      <w:pPr>
        <w:widowControl w:val="true"/>
      </w:pPr>
      <w:r>
        <w:rPr>
          <w:rFonts w:ascii="Inter" w:hAnsi="Inter" w:eastAsia="Inter"/>
          <w:b w:val="0"/>
          <w:color w:val="252A36"/>
          <w:sz w:val="18"/>
        </w:rPr>
        <w:t>When available information could indicate an emergency, the AI must not resolve uncertainty by providing reassurance or by substituting a prediction for professional assessment. It must clearly identify the concern, recommend immediate human evaluation or appropriate emergency action, and avoid delaying care.</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III: DATA, PRIVACY, PERMISSIONS, AND TRAINING</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25. High-Trust Customer Data Stewardship Standard</w:t>
      </w:r>
    </w:p>
    <w:p>
      <w:pPr>
        <w:widowControl w:val="true"/>
      </w:pPr>
      <w:r>
        <w:rPr>
          <w:rFonts w:ascii="Inter" w:hAnsi="Inter" w:eastAsia="Inter"/>
          <w:b w:val="0"/>
          <w:color w:val="252A36"/>
          <w:sz w:val="18"/>
        </w:rPr>
        <w:t>EquineSync will treat Customer Operational Data as high-trust information entrusted for defined operational purposes. This includes financial information, horse health information, human health information where present, communications, agreements, photographs, identity data, facility operations, minor and safeguarding information, support content, and other confidential or potentially privileged material.</w:t>
      </w:r>
    </w:p>
    <w:p>
      <w:pPr>
        <w:widowControl w:val="true"/>
      </w:pPr>
      <w:r>
        <w:rPr>
          <w:rFonts w:ascii="Inter" w:hAnsi="Inter" w:eastAsia="Inter"/>
          <w:b w:val="0"/>
          <w:color w:val="252A36"/>
          <w:sz w:val="18"/>
        </w:rPr>
        <w:t>This “high-trust stewardship” standard is a constitutional policy standard. It does not attempt to create, disclaim, or characterize any specific legal fiduciary status. It requires strict purpose limitation, minimum necessary processing, permission enforcement, security, retention control, transparency, accountability, and customer control regardless of whether a particular law uses different terminology.</w:t>
      </w:r>
    </w:p>
    <w:p>
      <w:pPr>
        <w:widowControl w:val="true"/>
      </w:pPr>
      <w:r>
        <w:rPr>
          <w:rFonts w:ascii="Inter" w:hAnsi="Inter" w:eastAsia="Inter"/>
          <w:b w:val="0"/>
          <w:color w:val="252A36"/>
          <w:sz w:val="18"/>
        </w:rPr>
        <w:t>AI convenience, technical capability, provider practice, or model improvement does not reduce confidentiality, permission, retention, professional, contractual, or security obligations.</w:t>
      </w:r>
    </w:p>
    <w:p>
      <w:pPr>
        <w:pStyle w:val="Heading2"/>
        <w:pBdr>
          <w:left w:val="single" w:sz="14" w:space="5" w:color="B8AECF"/>
        </w:pBdr>
        <w:keepNext/>
        <w:widowControl w:val="true"/>
      </w:pPr>
      <w:r>
        <w:rPr>
          <w:rFonts w:ascii="Inter" w:hAnsi="Inter" w:eastAsia="Inter"/>
          <w:b/>
          <w:color w:val="303A59"/>
          <w:sz w:val="23"/>
        </w:rPr>
        <w:t>26. Absolute Prohibition on General or Shared Model Training</w:t>
      </w:r>
    </w:p>
    <w:p>
      <w:pPr>
        <w:widowControl w:val="true"/>
      </w:pPr>
      <w:r>
        <w:rPr>
          <w:rFonts w:ascii="Inter" w:hAnsi="Inter" w:eastAsia="Inter"/>
          <w:b w:val="0"/>
          <w:color w:val="252A36"/>
          <w:sz w:val="18"/>
        </w:rPr>
        <w:t>EquineSync Customer Operational Data and Derived Data must not be used to train, fine-tune, reinforce, distill, benchmark for generalized improvement, evaluate for generalized improvement, create synthetic training corpora, or otherwise improve a General or Shared Model.</w:t>
      </w:r>
    </w:p>
    <w:p>
      <w:pPr>
        <w:widowControl w:val="true"/>
      </w:pPr>
      <w:r>
        <w:rPr>
          <w:rFonts w:ascii="Inter" w:hAnsi="Inter" w:eastAsia="Inter"/>
          <w:b w:val="0"/>
          <w:color w:val="252A36"/>
          <w:sz w:val="18"/>
        </w:rPr>
        <w:t>This prohibition applies to raw data, prompts, attachments, images, messages, records, outputs, corrections, ratings, user feedback containing customer content, embeddings, labels, features, tool traces, support content, and datasets derived from customer operations.</w:t>
      </w:r>
    </w:p>
    <w:p>
      <w:pPr>
        <w:widowControl w:val="true"/>
      </w:pPr>
      <w:r>
        <w:rPr>
          <w:rFonts w:ascii="Inter" w:hAnsi="Inter" w:eastAsia="Inter"/>
          <w:b w:val="0"/>
          <w:color w:val="252A36"/>
          <w:sz w:val="18"/>
        </w:rPr>
        <w:t>De-identification, aggregation, token removal, pseudonymization, contractual labeling, or customer opt-in does not create authority under this Version 2.0. The prohibition follows the origin, meaning, and purpose of the data, not merely whether direct identifiers were removed.</w:t>
      </w:r>
    </w:p>
    <w:p>
      <w:pPr>
        <w:widowControl w:val="true"/>
      </w:pPr>
      <w:r>
        <w:rPr>
          <w:rFonts w:ascii="Inter" w:hAnsi="Inter" w:eastAsia="Inter"/>
          <w:b w:val="0"/>
          <w:color w:val="252A36"/>
          <w:sz w:val="18"/>
        </w:rPr>
        <w:t>A provider may process the minimum necessary data transiently to deliver an authorized feature only under approved terms and controls. Transient processing is not permission to retain, permit provider human review, learn from, compare across customers, benchmark, evaluate for provider improvement, or repurpose the data.</w:t>
      </w:r>
    </w:p>
    <w:p>
      <w:pPr>
        <w:widowControl w:val="true"/>
      </w:pPr>
      <w:r>
        <w:rPr>
          <w:rFonts w:ascii="Inter" w:hAnsi="Inter" w:eastAsia="Inter"/>
          <w:b w:val="0"/>
          <w:color w:val="252A36"/>
          <w:sz w:val="18"/>
        </w:rPr>
        <w:t>Changing this prohibition requires an express constitutional amendment. It may not be changed by a privacy-policy update, provider terms, user consent screen, tenant setting, implementation RF, or commercial agreement.</w:t>
      </w:r>
    </w:p>
    <w:p>
      <w:pPr>
        <w:pStyle w:val="Heading2"/>
        <w:pBdr>
          <w:left w:val="single" w:sz="14" w:space="5" w:color="B8AECF"/>
        </w:pBdr>
        <w:keepNext/>
        <w:widowControl w:val="true"/>
      </w:pPr>
      <w:r>
        <w:rPr>
          <w:rFonts w:ascii="Inter" w:hAnsi="Inter" w:eastAsia="Inter"/>
          <w:b/>
          <w:color w:val="303A59"/>
          <w:sz w:val="23"/>
        </w:rPr>
        <w:t>27. Permitted Development and Evaluation Data</w:t>
      </w:r>
    </w:p>
    <w:p>
      <w:pPr>
        <w:widowControl w:val="true"/>
      </w:pPr>
      <w:r>
        <w:rPr>
          <w:rFonts w:ascii="Inter" w:hAnsi="Inter" w:eastAsia="Inter"/>
          <w:b w:val="0"/>
          <w:color w:val="252A36"/>
          <w:sz w:val="18"/>
        </w:rPr>
        <w:t>Permitted data may include:</w:t>
      </w:r>
    </w:p>
    <w:p>
      <w:pPr>
        <w:pStyle w:val="ListBullet"/>
        <w:keepLines w:val="0"/>
        <w:widowControl w:val="true"/>
      </w:pPr>
      <w:r>
        <w:rPr>
          <w:rFonts w:ascii="Inter" w:hAnsi="Inter" w:eastAsia="Inter"/>
          <w:b w:val="0"/>
          <w:color w:val="252A36"/>
          <w:sz w:val="18"/>
        </w:rPr>
        <w:t>synthetic data designed and tested to avoid reconstruction of customer information;</w:t>
      </w:r>
    </w:p>
    <w:p>
      <w:pPr>
        <w:pStyle w:val="ListBullet"/>
        <w:keepLines w:val="0"/>
        <w:widowControl w:val="true"/>
      </w:pPr>
      <w:r>
        <w:rPr>
          <w:rFonts w:ascii="Inter" w:hAnsi="Inter" w:eastAsia="Inter"/>
          <w:b w:val="0"/>
          <w:color w:val="252A36"/>
          <w:sz w:val="18"/>
        </w:rPr>
        <w:t>public or properly licensed data whose collection, intended use, intellectual-property rights, privacy status, and license permit the specific development or evaluation purpose;</w:t>
      </w:r>
    </w:p>
    <w:p>
      <w:pPr>
        <w:pStyle w:val="ListBullet"/>
        <w:keepLines w:val="0"/>
        <w:widowControl w:val="true"/>
      </w:pPr>
      <w:r>
        <w:rPr>
          <w:rFonts w:ascii="Inter" w:hAnsi="Inter" w:eastAsia="Inter"/>
          <w:b w:val="0"/>
          <w:color w:val="252A36"/>
          <w:sz w:val="18"/>
        </w:rPr>
        <w:t>founder-approved internal test data created for development;</w:t>
      </w:r>
    </w:p>
    <w:p>
      <w:pPr>
        <w:pStyle w:val="ListBullet"/>
        <w:keepLines w:val="0"/>
        <w:widowControl w:val="true"/>
      </w:pPr>
      <w:r>
        <w:rPr>
          <w:rFonts w:ascii="Inter" w:hAnsi="Inter" w:eastAsia="Inter"/>
          <w:b w:val="0"/>
          <w:color w:val="252A36"/>
          <w:sz w:val="18"/>
        </w:rPr>
        <w:t>customer data supplied for a narrowly defined support, security, or incident purpose only when authorized, access-controlled, time-limited, and excluded from model training or generalized evaluation.</w:t>
      </w:r>
    </w:p>
    <w:p>
      <w:pPr>
        <w:widowControl w:val="true"/>
      </w:pPr>
      <w:r>
        <w:rPr>
          <w:rFonts w:ascii="Inter" w:hAnsi="Inter" w:eastAsia="Inter"/>
          <w:b w:val="0"/>
          <w:color w:val="252A36"/>
          <w:sz w:val="18"/>
        </w:rPr>
        <w:t>“Publicly accessible” does not mean free of privacy, copyright, contractual, ethical, or professional restrictions. Scraping availability is not legal authority or acceptable provenance.</w:t>
      </w:r>
    </w:p>
    <w:p>
      <w:pPr>
        <w:widowControl w:val="true"/>
      </w:pPr>
      <w:r>
        <w:rPr>
          <w:rFonts w:ascii="Inter" w:hAnsi="Inter" w:eastAsia="Inter"/>
          <w:b w:val="0"/>
          <w:color w:val="252A36"/>
          <w:sz w:val="18"/>
        </w:rPr>
        <w:t>Evaluation data must be separated from production authority, documented, access-controlled, and retired when no longer needed. Customer data may not be relabeled as test data to evade Section 26.</w:t>
      </w:r>
    </w:p>
    <w:p>
      <w:pPr>
        <w:pStyle w:val="Heading2"/>
        <w:pBdr>
          <w:left w:val="single" w:sz="14" w:space="5" w:color="B8AECF"/>
        </w:pBdr>
        <w:keepNext/>
        <w:widowControl w:val="true"/>
      </w:pPr>
      <w:r>
        <w:rPr>
          <w:rFonts w:ascii="Inter" w:hAnsi="Inter" w:eastAsia="Inter"/>
          <w:b/>
          <w:color w:val="303A59"/>
          <w:sz w:val="23"/>
        </w:rPr>
        <w:t>28. Tenant-Specific Adaptation, Retrieval, and Future Learning</w:t>
      </w:r>
    </w:p>
    <w:p>
      <w:pPr>
        <w:widowControl w:val="true"/>
      </w:pPr>
      <w:r>
        <w:rPr>
          <w:rFonts w:ascii="Inter" w:hAnsi="Inter" w:eastAsia="Inter"/>
          <w:b w:val="0"/>
          <w:color w:val="252A36"/>
          <w:sz w:val="18"/>
        </w:rPr>
        <w:t>No tenant-specific training, fine-tuning, reinforcement, persistent behavioral learning, or model-weight adaptation from Customer Operational Data is authorized by this Model.</w:t>
      </w:r>
    </w:p>
    <w:p>
      <w:pPr>
        <w:widowControl w:val="true"/>
      </w:pPr>
      <w:r>
        <w:rPr>
          <w:rFonts w:ascii="Inter" w:hAnsi="Inter" w:eastAsia="Inter"/>
          <w:b w:val="0"/>
          <w:color w:val="252A36"/>
          <w:sz w:val="18"/>
        </w:rPr>
        <w:t>Retrieval-augmented generation, tenant-specific search, temporary session context, and permission-aware Retrieval Indexes may be separately authorized because they do not necessarily change model weights. They remain Customer Operational Data processing and are subject to purpose limitation, permissions, retention, deletion, isolation, audit, and vendor-exit requirements.</w:t>
      </w:r>
    </w:p>
    <w:p>
      <w:pPr>
        <w:widowControl w:val="true"/>
      </w:pPr>
      <w:r>
        <w:rPr>
          <w:rFonts w:ascii="Inter" w:hAnsi="Inter" w:eastAsia="Inter"/>
          <w:b w:val="0"/>
          <w:color w:val="252A36"/>
          <w:sz w:val="18"/>
        </w:rPr>
        <w:t>Any future proposal for tenant-specific learning must receive a constitutional amendment or express founder-approved supplemental authority, separate implementation review, explicit customer controls, a documented benefit and necessity case, data-purpose boundaries, leakage testing, deletion behavior, and proof that the adaptation cannot influence another tenant or a General or Shared Model.</w:t>
      </w:r>
    </w:p>
    <w:p>
      <w:pPr>
        <w:pStyle w:val="Heading2"/>
        <w:pBdr>
          <w:left w:val="single" w:sz="14" w:space="5" w:color="B8AECF"/>
        </w:pBdr>
        <w:keepNext/>
        <w:widowControl w:val="true"/>
      </w:pPr>
      <w:r>
        <w:rPr>
          <w:rFonts w:ascii="Inter" w:hAnsi="Inter" w:eastAsia="Inter"/>
          <w:b/>
          <w:color w:val="303A59"/>
          <w:sz w:val="23"/>
        </w:rPr>
        <w:t>29. Purpose Limitation; Prompt, Output, Index, Memory, and Provider Retention</w:t>
      </w:r>
    </w:p>
    <w:p>
      <w:pPr>
        <w:widowControl w:val="true"/>
      </w:pPr>
      <w:r>
        <w:rPr>
          <w:rFonts w:ascii="Inter" w:hAnsi="Inter" w:eastAsia="Inter"/>
          <w:b w:val="0"/>
          <w:color w:val="252A36"/>
          <w:sz w:val="18"/>
        </w:rPr>
        <w:t>Prompts, attachments, outputs, tool traces, Derived Data, Retrieval Indexes, caches, memories, and provider logs may be created and retained only for the approved use-case purpose, audit, security, dispute handling, or reliability need. Retention periods and deletion events must be documented per use case and aligned with the underlying record authority.</w:t>
      </w:r>
    </w:p>
    <w:p>
      <w:pPr>
        <w:widowControl w:val="true"/>
      </w:pPr>
      <w:r>
        <w:rPr>
          <w:rFonts w:ascii="Inter" w:hAnsi="Inter" w:eastAsia="Inter"/>
          <w:b w:val="0"/>
          <w:color w:val="252A36"/>
          <w:sz w:val="18"/>
        </w:rPr>
        <w:t>Data collected for one AI use case may not be reused for another use case, analytics product, performance score, customer ranking, employee monitoring, model evaluation, or commercial purpose without new authority. A technically adjacent purpose is still a new purpose when it changes who benefits, who is affected, what is inferred, or what consequence follows.</w:t>
      </w:r>
    </w:p>
    <w:p>
      <w:pPr>
        <w:widowControl w:val="true"/>
      </w:pPr>
      <w:r>
        <w:rPr>
          <w:rFonts w:ascii="Inter" w:hAnsi="Inter" w:eastAsia="Inter"/>
          <w:b w:val="0"/>
          <w:color w:val="252A36"/>
          <w:sz w:val="18"/>
        </w:rPr>
        <w:t>Provider-side retention and provider human review must be disabled or contractually prohibited wherever available. Any unavoidable provider retention or access must be disclosed, risk-assessed, strictly time-limited, and approved before production use.</w:t>
      </w:r>
    </w:p>
    <w:p>
      <w:pPr>
        <w:widowControl w:val="true"/>
      </w:pPr>
      <w:r>
        <w:rPr>
          <w:rFonts w:ascii="Inter" w:hAnsi="Inter" w:eastAsia="Inter"/>
          <w:b w:val="0"/>
          <w:color w:val="252A36"/>
          <w:sz w:val="18"/>
        </w:rPr>
        <w:t>Retrieval Indexes and memory stores must be tenant-isolated, permission-aware at query and result time, reconstructable where practicable, and subject to deletion, legal hold, export, correction, and vendor-exit requirements. Hidden indefinite retention and hidden persistent profiles are prohibited.</w:t>
      </w:r>
    </w:p>
    <w:p>
      <w:pPr>
        <w:pStyle w:val="Heading2"/>
        <w:pBdr>
          <w:left w:val="single" w:sz="14" w:space="5" w:color="B8AECF"/>
        </w:pBdr>
        <w:keepNext/>
        <w:widowControl w:val="true"/>
      </w:pPr>
      <w:r>
        <w:rPr>
          <w:rFonts w:ascii="Inter" w:hAnsi="Inter" w:eastAsia="Inter"/>
          <w:b/>
          <w:color w:val="303A59"/>
          <w:sz w:val="23"/>
        </w:rPr>
        <w:t>30. Minimum Necessary Data and Context Boundaries</w:t>
      </w:r>
    </w:p>
    <w:p>
      <w:pPr>
        <w:widowControl w:val="true"/>
      </w:pPr>
      <w:r>
        <w:rPr>
          <w:rFonts w:ascii="Inter" w:hAnsi="Inter" w:eastAsia="Inter"/>
          <w:b w:val="0"/>
          <w:color w:val="252A36"/>
          <w:sz w:val="18"/>
        </w:rPr>
        <w:t>An AI System may receive only the minimum data reasonably necessary for the specific approved task. A use case must not transmit an entire horse record, financial ledger, message history, tenant dataset, minor profile, or document collection when a narrower subset will suffice.</w:t>
      </w:r>
    </w:p>
    <w:p>
      <w:pPr>
        <w:widowControl w:val="true"/>
      </w:pPr>
      <w:r>
        <w:rPr>
          <w:rFonts w:ascii="Inter" w:hAnsi="Inter" w:eastAsia="Inter"/>
          <w:b w:val="0"/>
          <w:color w:val="252A36"/>
          <w:sz w:val="18"/>
        </w:rPr>
        <w:t>The minimum-necessary rule applies to fields, records, time periods, tenants, relationships, recipients, prompt context, retrieval results, tool responses, provider logs, and audit copies. Data minimization must be enforced technically where feasible, not left solely to user judgment.</w:t>
      </w:r>
    </w:p>
    <w:p>
      <w:pPr>
        <w:widowControl w:val="true"/>
      </w:pPr>
      <w:r>
        <w:rPr>
          <w:rFonts w:ascii="Inter" w:hAnsi="Inter" w:eastAsia="Inter"/>
          <w:b w:val="0"/>
          <w:color w:val="252A36"/>
          <w:sz w:val="18"/>
        </w:rPr>
        <w:t>A model's larger context window, provider convenience, or desire for potentially better output is not sufficient justification for broader disclosure.</w:t>
      </w:r>
    </w:p>
    <w:p>
      <w:pPr>
        <w:pStyle w:val="Heading2"/>
        <w:pBdr>
          <w:left w:val="single" w:sz="14" w:space="5" w:color="B8AECF"/>
        </w:pBdr>
        <w:keepNext/>
        <w:widowControl w:val="true"/>
      </w:pPr>
      <w:r>
        <w:rPr>
          <w:rFonts w:ascii="Inter" w:hAnsi="Inter" w:eastAsia="Inter"/>
          <w:b/>
          <w:color w:val="303A59"/>
          <w:sz w:val="23"/>
        </w:rPr>
        <w:t>31. Permission, Relationship, Purpose, and Inference Boundaries</w:t>
      </w:r>
    </w:p>
    <w:p>
      <w:pPr>
        <w:widowControl w:val="true"/>
      </w:pPr>
      <w:r>
        <w:rPr>
          <w:rFonts w:ascii="Inter" w:hAnsi="Inter" w:eastAsia="Inter"/>
          <w:b w:val="0"/>
          <w:color w:val="252A36"/>
          <w:sz w:val="18"/>
        </w:rPr>
        <w:t>AI inherits the narrowest applicable permissions of the requesting user, current tenant, current relationship, relevant record, approved purpose, and intended action.</w:t>
      </w:r>
    </w:p>
    <w:p>
      <w:pPr>
        <w:widowControl w:val="true"/>
      </w:pPr>
      <w:r>
        <w:rPr>
          <w:rFonts w:ascii="Inter" w:hAnsi="Inter" w:eastAsia="Inter"/>
          <w:b w:val="0"/>
          <w:color w:val="252A36"/>
          <w:sz w:val="18"/>
        </w:rPr>
        <w:t>Permission must be checked at request time, retrieval time, ranking time, tool-invocation time, output time, and mutation time. A valid initial request does not authorize every subsequent step in an agentic workflow.</w:t>
      </w:r>
    </w:p>
    <w:p>
      <w:pPr>
        <w:widowControl w:val="true"/>
      </w:pPr>
      <w:r>
        <w:rPr>
          <w:rFonts w:ascii="Inter" w:hAnsi="Inter" w:eastAsia="Inter"/>
          <w:b w:val="0"/>
          <w:color w:val="252A36"/>
          <w:sz w:val="18"/>
        </w:rPr>
        <w:t>AI may not retrieve, infer, summarize, rank, or expose information that the user could not lawfully and directly access through EquineSync. It may not combine individually permitted fragments to reveal a prohibited whole, disclose the existence of a hidden record, use a higher-privileged service account to bypass actual authority, or retain information after the relationship or permission has ended.</w:t>
      </w:r>
    </w:p>
    <w:p>
      <w:pPr>
        <w:widowControl w:val="true"/>
      </w:pPr>
      <w:r>
        <w:rPr>
          <w:rFonts w:ascii="Inter" w:hAnsi="Inter" w:eastAsia="Inter"/>
          <w:b w:val="0"/>
          <w:color w:val="252A36"/>
          <w:sz w:val="18"/>
        </w:rPr>
        <w:t>A model may not infer sensitive attributes, financial hardship, medical status, safeguarding status, legal strategy, or other restricted information merely because the underlying fragments are technically accessible for another purpose.</w:t>
      </w:r>
    </w:p>
    <w:p>
      <w:pPr>
        <w:pStyle w:val="Heading2"/>
        <w:pBdr>
          <w:left w:val="single" w:sz="14" w:space="5" w:color="B8AECF"/>
        </w:pBdr>
        <w:keepNext/>
        <w:widowControl w:val="true"/>
      </w:pPr>
      <w:r>
        <w:rPr>
          <w:rFonts w:ascii="Inter" w:hAnsi="Inter" w:eastAsia="Inter"/>
          <w:b/>
          <w:color w:val="303A59"/>
          <w:sz w:val="23"/>
        </w:rPr>
        <w:t>32. No Cross-Tenant Learning, Benchmarking, or Disclosure</w:t>
      </w:r>
    </w:p>
    <w:p>
      <w:pPr>
        <w:widowControl w:val="true"/>
      </w:pPr>
      <w:r>
        <w:rPr>
          <w:rFonts w:ascii="Inter" w:hAnsi="Inter" w:eastAsia="Inter"/>
          <w:b w:val="0"/>
          <w:color w:val="252A36"/>
          <w:sz w:val="18"/>
        </w:rPr>
        <w:t>AI may not compare, learn from, rank against, or disclose identifiable or tenant-specific data across barns, facilities, businesses, providers, owners, users, employees, minors, riders, or horses.</w:t>
      </w:r>
    </w:p>
    <w:p>
      <w:pPr>
        <w:widowControl w:val="true"/>
      </w:pPr>
      <w:r>
        <w:rPr>
          <w:rFonts w:ascii="Inter" w:hAnsi="Inter" w:eastAsia="Inter"/>
          <w:b w:val="0"/>
          <w:color w:val="252A36"/>
          <w:sz w:val="18"/>
        </w:rPr>
        <w:t>Any future benchmarking requires separately governed aggregation, de-identification, minimum cohort standards, anti-reidentification testing, purpose limits, customer notice, suppression rules, and explicit founder authority. This Model does not authorize benchmarking, peer comparison, league tables, reputation scores, or cross-tenant model improvement.</w:t>
      </w:r>
    </w:p>
    <w:p>
      <w:pPr>
        <w:widowControl w:val="true"/>
      </w:pPr>
      <w:r>
        <w:rPr>
          <w:rFonts w:ascii="Inter" w:hAnsi="Inter" w:eastAsia="Inter"/>
          <w:b w:val="0"/>
          <w:color w:val="252A36"/>
          <w:sz w:val="18"/>
        </w:rPr>
        <w:t>A tenant may not contribute another person's or organization's data to a shared benchmark merely because the tenant possesses a copy. Third-party rights and source authority must be verified.</w:t>
      </w:r>
    </w:p>
    <w:p>
      <w:pPr>
        <w:pStyle w:val="Heading2"/>
        <w:pBdr>
          <w:left w:val="single" w:sz="14" w:space="5" w:color="B8AECF"/>
        </w:pBdr>
        <w:keepNext/>
        <w:widowControl w:val="true"/>
      </w:pPr>
      <w:r>
        <w:rPr>
          <w:rFonts w:ascii="Inter" w:hAnsi="Inter" w:eastAsia="Inter"/>
          <w:b/>
          <w:color w:val="303A59"/>
          <w:sz w:val="23"/>
        </w:rPr>
        <w:t>33. Sensitive Data Categories</w:t>
      </w:r>
    </w:p>
    <w:p>
      <w:pPr>
        <w:pStyle w:val="ListBullet"/>
        <w:keepLines w:val="0"/>
        <w:widowControl w:val="true"/>
      </w:pPr>
      <w:r>
        <w:rPr>
          <w:rFonts w:ascii="Inter" w:hAnsi="Inter" w:eastAsia="Inter"/>
          <w:b w:val="0"/>
          <w:color w:val="252A36"/>
          <w:sz w:val="18"/>
        </w:rPr>
        <w:t>Financial accounts, payment details, balances, obligations, pricing, revenue, payroll, provider earnings, and accounting information.</w:t>
      </w:r>
    </w:p>
    <w:p>
      <w:pPr>
        <w:pStyle w:val="ListBullet"/>
        <w:keepLines w:val="0"/>
        <w:widowControl w:val="true"/>
      </w:pPr>
      <w:r>
        <w:rPr>
          <w:rFonts w:ascii="Inter" w:hAnsi="Inter" w:eastAsia="Inter"/>
          <w:b w:val="0"/>
          <w:color w:val="252A36"/>
          <w:sz w:val="18"/>
        </w:rPr>
        <w:t>Horse and human health information, medication, injury, rehabilitation, disability, and emergency records.</w:t>
      </w:r>
    </w:p>
    <w:p>
      <w:pPr>
        <w:pStyle w:val="ListBullet"/>
        <w:keepLines w:val="0"/>
        <w:widowControl w:val="true"/>
      </w:pPr>
      <w:r>
        <w:rPr>
          <w:rFonts w:ascii="Inter" w:hAnsi="Inter" w:eastAsia="Inter"/>
          <w:b w:val="0"/>
          <w:color w:val="252A36"/>
          <w:sz w:val="18"/>
        </w:rPr>
        <w:t>Minor, guardian, safeguarding, abuse, neglect, and behavioral information.</w:t>
      </w:r>
    </w:p>
    <w:p>
      <w:pPr>
        <w:pStyle w:val="ListBullet"/>
        <w:keepLines w:val="0"/>
        <w:widowControl w:val="true"/>
      </w:pPr>
      <w:r>
        <w:rPr>
          <w:rFonts w:ascii="Inter" w:hAnsi="Inter" w:eastAsia="Inter"/>
          <w:b w:val="0"/>
          <w:color w:val="252A36"/>
          <w:sz w:val="18"/>
        </w:rPr>
        <w:t>Identity, authentication, authorization, credential, government identifier, and contact information.</w:t>
      </w:r>
    </w:p>
    <w:p>
      <w:pPr>
        <w:pStyle w:val="ListBullet"/>
        <w:keepLines w:val="0"/>
        <w:widowControl w:val="true"/>
      </w:pPr>
      <w:r>
        <w:rPr>
          <w:rFonts w:ascii="Inter" w:hAnsi="Inter" w:eastAsia="Inter"/>
          <w:b w:val="0"/>
          <w:color w:val="252A36"/>
          <w:sz w:val="18"/>
        </w:rPr>
        <w:t>Contracts, waivers, consents, disputes, legal holds, claims, evidence, and potentially privileged communications.</w:t>
      </w:r>
    </w:p>
    <w:p>
      <w:pPr>
        <w:pStyle w:val="ListBullet"/>
        <w:keepLines w:val="0"/>
        <w:widowControl w:val="true"/>
      </w:pPr>
      <w:r>
        <w:rPr>
          <w:rFonts w:ascii="Inter" w:hAnsi="Inter" w:eastAsia="Inter"/>
          <w:b w:val="0"/>
          <w:color w:val="252A36"/>
          <w:sz w:val="18"/>
        </w:rPr>
        <w:t>Precise facility, stable, residence, travel, schedule, and location information.</w:t>
      </w:r>
    </w:p>
    <w:p>
      <w:pPr>
        <w:pStyle w:val="Heading2"/>
        <w:pBdr>
          <w:left w:val="single" w:sz="14" w:space="5" w:color="B8AECF"/>
        </w:pBdr>
        <w:keepNext/>
        <w:widowControl w:val="true"/>
      </w:pPr>
      <w:r>
        <w:rPr>
          <w:rFonts w:ascii="Inter" w:hAnsi="Inter" w:eastAsia="Inter"/>
          <w:b/>
          <w:color w:val="303A59"/>
          <w:sz w:val="23"/>
        </w:rPr>
        <w:t>34. Minors and Safeguarding Data</w:t>
      </w:r>
    </w:p>
    <w:p>
      <w:pPr>
        <w:widowControl w:val="true"/>
      </w:pPr>
      <w:r>
        <w:rPr>
          <w:rFonts w:ascii="Inter" w:hAnsi="Inter" w:eastAsia="Inter"/>
          <w:b w:val="0"/>
          <w:color w:val="252A36"/>
          <w:sz w:val="18"/>
        </w:rPr>
        <w:t>AI may not create hidden profiles of minors, engage in manipulative or secret relationship-building, bypass guardian or safeguarding requirements, or use minor data for advertising, commercial profiling, discipline, or behavioral labeling.</w:t>
      </w:r>
    </w:p>
    <w:p>
      <w:pPr>
        <w:widowControl w:val="true"/>
      </w:pPr>
      <w:r>
        <w:rPr>
          <w:rFonts w:ascii="Inter" w:hAnsi="Inter" w:eastAsia="Inter"/>
          <w:b w:val="0"/>
          <w:color w:val="252A36"/>
          <w:sz w:val="18"/>
        </w:rPr>
        <w:t>AI may not initiate or sustain private off-platform contact with a minor, encourage secrecy, impersonate a trusted adult, or create persistent conversational memory about a minor outside the governed record and permission structure.</w:t>
      </w:r>
    </w:p>
    <w:p>
      <w:pPr>
        <w:widowControl w:val="true"/>
      </w:pPr>
      <w:r>
        <w:rPr>
          <w:rFonts w:ascii="Inter" w:hAnsi="Inter" w:eastAsia="Inter"/>
          <w:b w:val="0"/>
          <w:color w:val="252A36"/>
          <w:sz w:val="18"/>
        </w:rPr>
        <w:t>AI may support age-appropriate education, scheduling, record summaries, and safety prompts only within the applicable guardian, permission, and communication rules. Safeguarding signals may be routed for human review, but AI may not adjudicate abuse, neglect, credibility, intent, or sanctions.</w:t>
      </w:r>
    </w:p>
    <w:p>
      <w:pPr>
        <w:pStyle w:val="Heading2"/>
        <w:pBdr>
          <w:left w:val="single" w:sz="14" w:space="5" w:color="B8AECF"/>
        </w:pBdr>
        <w:keepNext/>
        <w:widowControl w:val="true"/>
      </w:pPr>
      <w:r>
        <w:rPr>
          <w:rFonts w:ascii="Inter" w:hAnsi="Inter" w:eastAsia="Inter"/>
          <w:b/>
          <w:color w:val="303A59"/>
          <w:sz w:val="23"/>
        </w:rPr>
        <w:t>35. Confidential, Professional, and Potentially Privileged Material</w:t>
      </w:r>
    </w:p>
    <w:p>
      <w:pPr>
        <w:widowControl w:val="true"/>
      </w:pPr>
      <w:r>
        <w:rPr>
          <w:rFonts w:ascii="Inter" w:hAnsi="Inter" w:eastAsia="Inter"/>
          <w:b w:val="0"/>
          <w:color w:val="252A36"/>
          <w:sz w:val="18"/>
        </w:rPr>
        <w:t>AI workflows must not assume that access to a document authorizes broad reuse. Materials marked or reasonably understood to be confidential, legal, insurance-related, employment-related, veterinary, health-related, safeguarding-related, trade-secret, or potentially privileged require narrow access, purpose limitation, and careful provider disclosure controls.</w:t>
      </w:r>
    </w:p>
    <w:p>
      <w:pPr>
        <w:widowControl w:val="true"/>
      </w:pPr>
      <w:r>
        <w:rPr>
          <w:rFonts w:ascii="Inter" w:hAnsi="Inter" w:eastAsia="Inter"/>
          <w:b w:val="0"/>
          <w:color w:val="252A36"/>
          <w:sz w:val="18"/>
        </w:rPr>
        <w:t>EquineSync must not represent that a privilege or regulated status applies when it has not been legally established, but uncertainty must be resolved toward restricted handling until an Authorized Human determines the proper treatment.</w:t>
      </w:r>
    </w:p>
    <w:p>
      <w:pPr>
        <w:widowControl w:val="true"/>
      </w:pPr>
      <w:r>
        <w:rPr>
          <w:rFonts w:ascii="Inter" w:hAnsi="Inter" w:eastAsia="Inter"/>
          <w:b w:val="0"/>
          <w:color w:val="252A36"/>
          <w:sz w:val="18"/>
        </w:rPr>
        <w:t>AI may summarize such material for an authorized user only within the approved use case. It may not use the material to train models, create generalized guidance, infer legal strategy, score a party, or disclose the existence or substance of restricted records to an unauthorized person.</w:t>
      </w:r>
    </w:p>
    <w:p>
      <w:pPr>
        <w:pStyle w:val="Heading2"/>
        <w:pBdr>
          <w:left w:val="single" w:sz="14" w:space="5" w:color="B8AECF"/>
        </w:pBdr>
        <w:keepNext/>
        <w:widowControl w:val="true"/>
      </w:pPr>
      <w:r>
        <w:rPr>
          <w:rFonts w:ascii="Inter" w:hAnsi="Inter" w:eastAsia="Inter"/>
          <w:b/>
          <w:color w:val="303A59"/>
          <w:sz w:val="23"/>
        </w:rPr>
        <w:t>36. Data Location, Subprocessors, and Transfer</w:t>
      </w:r>
    </w:p>
    <w:p>
      <w:pPr>
        <w:widowControl w:val="true"/>
      </w:pPr>
      <w:r>
        <w:rPr>
          <w:rFonts w:ascii="Inter" w:hAnsi="Inter" w:eastAsia="Inter"/>
          <w:b w:val="0"/>
          <w:color w:val="252A36"/>
          <w:sz w:val="18"/>
        </w:rPr>
        <w:t>Each production AI provider must disclose material subprocessors, processing locations, retention behavior, security commitments, government-access handling, and data-transfer mechanisms. Use cases involving regulated or especially sensitive data may require regional processing or local execution.</w:t>
      </w:r>
    </w:p>
    <w:p>
      <w:pPr>
        <w:widowControl w:val="true"/>
      </w:pPr>
      <w:r>
        <w:rPr>
          <w:rFonts w:ascii="Inter" w:hAnsi="Inter" w:eastAsia="Inter"/>
          <w:b w:val="0"/>
          <w:color w:val="252A36"/>
          <w:sz w:val="18"/>
        </w:rPr>
        <w:t>A new processing region, subprocessor, provider-controlled human-review program, model-hosting arrangement, or material transfer mechanism is a Material Model Change requiring review. EquineSync must retain the practical ability to suspend data transfer without losing access to authoritative records.</w:t>
      </w:r>
    </w:p>
    <w:p>
      <w:pPr>
        <w:pStyle w:val="Heading2"/>
        <w:pBdr>
          <w:left w:val="single" w:sz="14" w:space="5" w:color="B8AECF"/>
        </w:pBdr>
        <w:keepNext/>
        <w:widowControl w:val="true"/>
      </w:pPr>
      <w:r>
        <w:rPr>
          <w:rFonts w:ascii="Inter" w:hAnsi="Inter" w:eastAsia="Inter"/>
          <w:b/>
          <w:color w:val="303A59"/>
          <w:sz w:val="23"/>
        </w:rPr>
        <w:t>37. Deletion, Correction, Export, Portability, and Derived Data</w:t>
      </w:r>
    </w:p>
    <w:p>
      <w:pPr>
        <w:widowControl w:val="true"/>
      </w:pPr>
      <w:r>
        <w:rPr>
          <w:rFonts w:ascii="Inter" w:hAnsi="Inter" w:eastAsia="Inter"/>
          <w:b w:val="0"/>
          <w:color w:val="252A36"/>
          <w:sz w:val="18"/>
        </w:rPr>
        <w:t>AI-derived content, embeddings, indexes, caches, memories, labels, scores, profiles, provider artifacts, and other Derived Data must be included in applicable deletion, correction, export, retention, legal-hold, and vendor-exit procedures.</w:t>
      </w:r>
    </w:p>
    <w:p>
      <w:pPr>
        <w:widowControl w:val="true"/>
      </w:pPr>
      <w:r>
        <w:rPr>
          <w:rFonts w:ascii="Inter" w:hAnsi="Inter" w:eastAsia="Inter"/>
          <w:b w:val="0"/>
          <w:color w:val="252A36"/>
          <w:sz w:val="18"/>
        </w:rPr>
        <w:t>Deletion or correction of an underlying Source Record must propagate to active retrieval and inference systems within a defined period appropriate to risk. A hidden derivative profile may not continue to influence outputs contrary to governing retention or correction rules.</w:t>
      </w:r>
    </w:p>
    <w:p>
      <w:pPr>
        <w:widowControl w:val="true"/>
      </w:pPr>
      <w:r>
        <w:rPr>
          <w:rFonts w:ascii="Inter" w:hAnsi="Inter" w:eastAsia="Inter"/>
          <w:b w:val="0"/>
          <w:color w:val="252A36"/>
          <w:sz w:val="18"/>
        </w:rPr>
        <w:t>Exports must distinguish Source Records from AI Output and Derived Data, preserve material provenance, and avoid creating a false impression that an AI inference is an authoritative fact.</w:t>
      </w:r>
    </w:p>
    <w:p>
      <w:pPr>
        <w:widowControl w:val="true"/>
      </w:pPr>
      <w:r>
        <w:rPr>
          <w:rFonts w:ascii="Inter" w:hAnsi="Inter" w:eastAsia="Inter"/>
          <w:b w:val="0"/>
          <w:color w:val="252A36"/>
          <w:sz w:val="18"/>
        </w:rPr>
        <w:t>Where a provider cannot support required deletion, correction, export, or evidence preservation, the affected use case may not enter or remain in production.</w:t>
      </w:r>
    </w:p>
    <w:p>
      <w:pPr>
        <w:pStyle w:val="Heading2"/>
        <w:pBdr>
          <w:left w:val="single" w:sz="14" w:space="5" w:color="B8AECF"/>
        </w:pBdr>
        <w:keepNext/>
        <w:widowControl w:val="true"/>
      </w:pPr>
      <w:r>
        <w:rPr>
          <w:rFonts w:ascii="Inter" w:hAnsi="Inter" w:eastAsia="Inter"/>
          <w:b/>
          <w:color w:val="303A59"/>
          <w:sz w:val="23"/>
        </w:rPr>
        <w:t>38. Offline and Low-Connectivity AI</w:t>
      </w:r>
    </w:p>
    <w:p>
      <w:pPr>
        <w:widowControl w:val="true"/>
      </w:pPr>
      <w:r>
        <w:rPr>
          <w:rFonts w:ascii="Inter" w:hAnsi="Inter" w:eastAsia="Inter"/>
          <w:b w:val="0"/>
          <w:color w:val="252A36"/>
          <w:sz w:val="18"/>
        </w:rPr>
        <w:t>Offline AI may provide local assistance only where the model, device trust, encryption, data scope, permissions, provenance, storage, update process, and synchronization behavior are separately approved.</w:t>
      </w:r>
    </w:p>
    <w:p>
      <w:pPr>
        <w:widowControl w:val="true"/>
      </w:pPr>
      <w:r>
        <w:rPr>
          <w:rFonts w:ascii="Inter" w:hAnsi="Inter" w:eastAsia="Inter"/>
          <w:b w:val="0"/>
          <w:color w:val="252A36"/>
          <w:sz w:val="18"/>
        </w:rPr>
        <w:t>Offline AI may not silently mutate authoritative records. Proposed changes must remain attributable, reviewable, conflict-aware, and subject to the same decision tiers as online use.</w:t>
      </w:r>
    </w:p>
    <w:p>
      <w:pPr>
        <w:widowControl w:val="true"/>
      </w:pPr>
      <w:r>
        <w:rPr>
          <w:rFonts w:ascii="Inter" w:hAnsi="Inter" w:eastAsia="Inter"/>
          <w:b w:val="0"/>
          <w:color w:val="252A36"/>
          <w:sz w:val="18"/>
        </w:rPr>
        <w:t>A lost, shared, rooted, jailbroken, compromised, or unsupported device must not retain unrestricted AI access to sensitive customer content. Local models and indexes require remote revocation, secure deletion where practicable, and safe behavior when permissions or records have changed while the device was offline.</w:t>
      </w:r>
    </w:p>
    <w:p>
      <w:pPr>
        <w:pStyle w:val="Heading2"/>
        <w:pBdr>
          <w:left w:val="single" w:sz="14" w:space="5" w:color="B8AECF"/>
        </w:pBdr>
        <w:keepNext/>
        <w:widowControl w:val="true"/>
      </w:pPr>
      <w:r>
        <w:rPr>
          <w:rFonts w:ascii="Inter" w:hAnsi="Inter" w:eastAsia="Inter"/>
          <w:b/>
          <w:color w:val="303A59"/>
          <w:sz w:val="23"/>
        </w:rPr>
        <w:t>39. AI Memory and Personalization</w:t>
      </w:r>
    </w:p>
    <w:p>
      <w:pPr>
        <w:widowControl w:val="true"/>
      </w:pPr>
      <w:r>
        <w:rPr>
          <w:rFonts w:ascii="Inter" w:hAnsi="Inter" w:eastAsia="Inter"/>
          <w:b w:val="0"/>
          <w:color w:val="252A36"/>
          <w:sz w:val="18"/>
        </w:rPr>
        <w:t>Persistent AI memory or personalization is not authorized by default. Any approved memory must be purpose-specific, visible to the authorized user, permission-aware, editable, deletable, exportable, time-bounded, and excluded from General or Shared Model training.</w:t>
      </w:r>
    </w:p>
    <w:p>
      <w:pPr>
        <w:widowControl w:val="true"/>
      </w:pPr>
      <w:r>
        <w:rPr>
          <w:rFonts w:ascii="Inter" w:hAnsi="Inter" w:eastAsia="Inter"/>
          <w:b w:val="0"/>
          <w:color w:val="252A36"/>
          <w:sz w:val="18"/>
        </w:rPr>
        <w:t>AI memory may not become a hidden source of truth, silently override current records, retain permissions after a relationship ends, or create a cross-tenant or cross-role profile.</w:t>
      </w:r>
    </w:p>
    <w:p>
      <w:pPr>
        <w:widowControl w:val="true"/>
      </w:pPr>
      <w:r>
        <w:rPr>
          <w:rFonts w:ascii="Inter" w:hAnsi="Inter" w:eastAsia="Inter"/>
          <w:b w:val="0"/>
          <w:color w:val="252A36"/>
          <w:sz w:val="18"/>
        </w:rPr>
        <w:t>Sensitive financial, health, safeguarding, legal, minor, credential, location, and professional information must not be stored in conversational memory unless the named use case demonstrates necessity, stronger controls, and explicit authority. Persistent memory about minors is prohibited unless a future narrowly tailored authority expressly permits it.</w:t>
      </w:r>
    </w:p>
    <w:p>
      <w:pPr>
        <w:widowControl w:val="true"/>
      </w:pPr>
      <w:r>
        <w:rPr>
          <w:rFonts w:ascii="Inter" w:hAnsi="Inter" w:eastAsia="Inter"/>
          <w:b w:val="0"/>
          <w:color w:val="252A36"/>
          <w:sz w:val="18"/>
        </w:rPr>
        <w:t>Session context must be cleared or retained according to the approved purpose and may not be repurposed as behavioral telemetry or product-improvement data.</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IV: TRANSPARENCY, PROVENANCE, AND EPISTEMIC INTEGRITY</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40. AI Identification, Internal Provenance, and User-Facing Labeling</w:t>
      </w:r>
    </w:p>
    <w:p>
      <w:pPr>
        <w:widowControl w:val="true"/>
      </w:pPr>
      <w:r>
        <w:rPr>
          <w:rFonts w:ascii="Inter" w:hAnsi="Inter" w:eastAsia="Inter"/>
          <w:b w:val="0"/>
          <w:color w:val="252A36"/>
          <w:sz w:val="18"/>
        </w:rPr>
        <w:t>AI involvement must be identifiable in system evidence for every governed output. User-facing labeling must be clear and proportionate to the degree of AI influence and the consequence of reliance.</w:t>
      </w:r>
    </w:p>
    <w:p>
      <w:pPr>
        <w:pStyle w:val="ListBullet"/>
        <w:keepLines w:val="0"/>
        <w:widowControl w:val="true"/>
      </w:pPr>
      <w:r>
        <w:rPr>
          <w:rFonts w:ascii="Inter" w:hAnsi="Inter" w:eastAsia="Inter"/>
          <w:b w:val="0"/>
          <w:color w:val="252A36"/>
          <w:sz w:val="18"/>
        </w:rPr>
        <w:t>Direct AI responses, recommendations, risk signals, estimates, synthetic media, and automated actions must be labeled at the point of use.</w:t>
      </w:r>
    </w:p>
    <w:p>
      <w:pPr>
        <w:pStyle w:val="ListBullet"/>
        <w:keepLines w:val="0"/>
        <w:widowControl w:val="true"/>
      </w:pPr>
      <w:r>
        <w:rPr>
          <w:rFonts w:ascii="Inter" w:hAnsi="Inter" w:eastAsia="Inter"/>
          <w:b w:val="0"/>
          <w:color w:val="252A36"/>
          <w:sz w:val="18"/>
        </w:rPr>
        <w:t>Human-edited drafts may use context-appropriate disclosure, but internal provenance of material AI assistance must remain preserved when the content becomes consequential or authoritative.</w:t>
      </w:r>
    </w:p>
    <w:p>
      <w:pPr>
        <w:pStyle w:val="ListBullet"/>
        <w:keepLines w:val="0"/>
        <w:widowControl w:val="true"/>
      </w:pPr>
      <w:r>
        <w:rPr>
          <w:rFonts w:ascii="Inter" w:hAnsi="Inter" w:eastAsia="Inter"/>
          <w:b w:val="0"/>
          <w:color w:val="252A36"/>
          <w:sz w:val="18"/>
        </w:rPr>
        <w:t>Labels may not imply professional validation, regulatory approval, guaranteed accuracy, or human review that did not occur.</w:t>
      </w:r>
    </w:p>
    <w:p>
      <w:pPr>
        <w:pStyle w:val="ListBullet"/>
        <w:keepLines w:val="0"/>
        <w:widowControl w:val="true"/>
      </w:pPr>
      <w:r>
        <w:rPr>
          <w:rFonts w:ascii="Inter" w:hAnsi="Inter" w:eastAsia="Inter"/>
          <w:b w:val="0"/>
          <w:color w:val="252A36"/>
          <w:sz w:val="18"/>
        </w:rPr>
        <w:t>A label cannot cure a prohibited use case, inadequate source support, missing consent, or unsafe design.</w:t>
      </w:r>
    </w:p>
    <w:p>
      <w:pPr>
        <w:widowControl w:val="true"/>
      </w:pPr>
      <w:r>
        <w:rPr>
          <w:rFonts w:ascii="Inter" w:hAnsi="Inter" w:eastAsia="Inter"/>
          <w:b w:val="0"/>
          <w:color w:val="252A36"/>
          <w:sz w:val="18"/>
        </w:rPr>
        <w:t>The labeling standard in Appendix F is a minimum floor. A use-case safety case may require stronger wording or repeated notice.</w:t>
      </w:r>
    </w:p>
    <w:p>
      <w:pPr>
        <w:pStyle w:val="Heading2"/>
        <w:pBdr>
          <w:left w:val="single" w:sz="14" w:space="5" w:color="B8AECF"/>
        </w:pBdr>
        <w:keepNext/>
        <w:widowControl w:val="true"/>
      </w:pPr>
      <w:r>
        <w:rPr>
          <w:rFonts w:ascii="Inter" w:hAnsi="Inter" w:eastAsia="Inter"/>
          <w:b/>
          <w:color w:val="303A59"/>
          <w:sz w:val="23"/>
        </w:rPr>
        <w:t>41. Source Disclosure, Authority, Freshness, and Contradiction</w:t>
      </w:r>
    </w:p>
    <w:p>
      <w:pPr>
        <w:widowControl w:val="true"/>
      </w:pPr>
      <w:r>
        <w:rPr>
          <w:rFonts w:ascii="Inter" w:hAnsi="Inter" w:eastAsia="Inter"/>
          <w:b w:val="0"/>
          <w:color w:val="252A36"/>
          <w:sz w:val="18"/>
        </w:rPr>
        <w:t>AI must identify the Source Records that materially support an output when doing so does not violate permissions or security. Source references must be specific enough for an authorized user to inspect the record and verify the conclusion.</w:t>
      </w:r>
    </w:p>
    <w:p>
      <w:pPr>
        <w:widowControl w:val="true"/>
      </w:pPr>
      <w:r>
        <w:rPr>
          <w:rFonts w:ascii="Inter" w:hAnsi="Inter" w:eastAsia="Inter"/>
          <w:b w:val="0"/>
          <w:color w:val="252A36"/>
          <w:sz w:val="18"/>
        </w:rPr>
        <w:t>The system must distinguish authoritative records, user assertions, disputed claims, superseded records, external information, model knowledge, and unverified extracted content. A citation is not proof that a source is authoritative or current.</w:t>
      </w:r>
    </w:p>
    <w:p>
      <w:pPr>
        <w:widowControl w:val="true"/>
      </w:pPr>
      <w:r>
        <w:rPr>
          <w:rFonts w:ascii="Inter" w:hAnsi="Inter" w:eastAsia="Inter"/>
          <w:b w:val="0"/>
          <w:color w:val="252A36"/>
          <w:sz w:val="18"/>
        </w:rPr>
        <w:t>The output must disclose the relevant record date or coverage period when staleness could matter. It must surface material contradictory records, unresolved corrections, missing periods, and known source-quality concerns rather than selecting only evidence supporting the generated answer.</w:t>
      </w:r>
    </w:p>
    <w:p>
      <w:pPr>
        <w:widowControl w:val="true"/>
      </w:pPr>
      <w:r>
        <w:rPr>
          <w:rFonts w:ascii="Inter" w:hAnsi="Inter" w:eastAsia="Inter"/>
          <w:b w:val="0"/>
          <w:color w:val="252A36"/>
          <w:sz w:val="18"/>
        </w:rPr>
        <w:t>An output must not cite a source the user cannot access, reveal a hidden record, fabricate a citation, or present a stale or lower-authority source as current merely because it ranked highly in retrieval.</w:t>
      </w:r>
    </w:p>
    <w:p>
      <w:pPr>
        <w:pStyle w:val="Heading2"/>
        <w:pBdr>
          <w:left w:val="single" w:sz="14" w:space="5" w:color="B8AECF"/>
        </w:pBdr>
        <w:keepNext/>
        <w:widowControl w:val="true"/>
      </w:pPr>
      <w:r>
        <w:rPr>
          <w:rFonts w:ascii="Inter" w:hAnsi="Inter" w:eastAsia="Inter"/>
          <w:b/>
          <w:color w:val="303A59"/>
          <w:sz w:val="23"/>
        </w:rPr>
        <w:t>42. Fact, Inference, Recommendation, and Estimate</w:t>
      </w:r>
    </w:p>
    <w:p>
      <w:pPr>
        <w:widowControl w:val="true"/>
      </w:pPr>
      <w:r>
        <w:rPr>
          <w:rFonts w:ascii="Inter" w:hAnsi="Inter" w:eastAsia="Inter"/>
          <w:b w:val="0"/>
          <w:color w:val="252A36"/>
          <w:sz w:val="18"/>
        </w:rPr>
        <w:t>AI must distinguish recorded facts from inference, recommendation, prediction, ranking, and estimate. Mixed outputs must make the distinction understandable rather than blending all information into one authoritative-sounding paragraph.</w:t>
      </w:r>
    </w:p>
    <w:p>
      <w:pPr>
        <w:pStyle w:val="Heading2"/>
        <w:pBdr>
          <w:left w:val="single" w:sz="14" w:space="5" w:color="B8AECF"/>
        </w:pBdr>
        <w:keepNext/>
        <w:widowControl w:val="true"/>
      </w:pPr>
      <w:r>
        <w:rPr>
          <w:rFonts w:ascii="Inter" w:hAnsi="Inter" w:eastAsia="Inter"/>
          <w:b/>
          <w:color w:val="303A59"/>
          <w:sz w:val="23"/>
        </w:rPr>
        <w:t>43. Confidence, Calibration, and Uncertainty</w:t>
      </w:r>
    </w:p>
    <w:p>
      <w:pPr>
        <w:widowControl w:val="true"/>
      </w:pPr>
      <w:r>
        <w:rPr>
          <w:rFonts w:ascii="Inter" w:hAnsi="Inter" w:eastAsia="Inter"/>
          <w:b w:val="0"/>
          <w:color w:val="252A36"/>
          <w:sz w:val="18"/>
        </w:rPr>
        <w:t>AI must disclose material uncertainty, missing data, conflicting records, weak evidence, model limitations, source staleness, and conditions that could change the result.</w:t>
      </w:r>
    </w:p>
    <w:p>
      <w:pPr>
        <w:widowControl w:val="true"/>
      </w:pPr>
      <w:r>
        <w:rPr>
          <w:rFonts w:ascii="Inter" w:hAnsi="Inter" w:eastAsia="Inter"/>
          <w:b w:val="0"/>
          <w:color w:val="252A36"/>
          <w:sz w:val="18"/>
        </w:rPr>
        <w:t>A numerical confidence score must not be displayed without explaining what it represents, how it was calibrated, the population and task for which it was evaluated, and what it does not establish. Confidence in model output is not confidence that the underlying records are complete or correct.</w:t>
      </w:r>
    </w:p>
    <w:p>
      <w:pPr>
        <w:widowControl w:val="true"/>
      </w:pPr>
      <w:r>
        <w:rPr>
          <w:rFonts w:ascii="Inter" w:hAnsi="Inter" w:eastAsia="Inter"/>
          <w:b w:val="0"/>
          <w:color w:val="252A36"/>
          <w:sz w:val="18"/>
        </w:rPr>
        <w:t>Where calibrated confidence is unavailable or unreliable, the product must use plain-language limitations rather than decorative precision.</w:t>
      </w:r>
    </w:p>
    <w:p>
      <w:pPr>
        <w:pStyle w:val="Heading2"/>
        <w:pBdr>
          <w:left w:val="single" w:sz="14" w:space="5" w:color="B8AECF"/>
        </w:pBdr>
        <w:keepNext/>
        <w:widowControl w:val="true"/>
      </w:pPr>
      <w:r>
        <w:rPr>
          <w:rFonts w:ascii="Inter" w:hAnsi="Inter" w:eastAsia="Inter"/>
          <w:b/>
          <w:color w:val="303A59"/>
          <w:sz w:val="23"/>
        </w:rPr>
        <w:t>44. Explicit Estimate Labeling</w:t>
      </w:r>
    </w:p>
    <w:p>
      <w:pPr>
        <w:widowControl w:val="true"/>
      </w:pPr>
      <w:r>
        <w:rPr>
          <w:rFonts w:ascii="Inter" w:hAnsi="Inter" w:eastAsia="Inter"/>
          <w:b w:val="0"/>
          <w:color w:val="252A36"/>
          <w:sz w:val="18"/>
        </w:rPr>
        <w:t>Financial forecasts, inventory forecasts, health-risk scores, feed calculations, workload projections, timing predictions, and similar approximations must be labeled as estimates. Material assumptions and data dates must be available to the user.</w:t>
      </w:r>
    </w:p>
    <w:p>
      <w:pPr>
        <w:pStyle w:val="Heading2"/>
        <w:pBdr>
          <w:left w:val="single" w:sz="14" w:space="5" w:color="B8AECF"/>
        </w:pBdr>
        <w:keepNext/>
        <w:widowControl w:val="true"/>
      </w:pPr>
      <w:r>
        <w:rPr>
          <w:rFonts w:ascii="Inter" w:hAnsi="Inter" w:eastAsia="Inter"/>
          <w:b/>
          <w:color w:val="303A59"/>
          <w:sz w:val="23"/>
        </w:rPr>
        <w:t>45. Insufficient Evidence, Out-of-Scope Conditions, and Requests for More Information</w:t>
      </w:r>
    </w:p>
    <w:p>
      <w:pPr>
        <w:widowControl w:val="true"/>
      </w:pPr>
      <w:r>
        <w:rPr>
          <w:rFonts w:ascii="Inter" w:hAnsi="Inter" w:eastAsia="Inter"/>
          <w:b w:val="0"/>
          <w:color w:val="252A36"/>
          <w:sz w:val="18"/>
        </w:rPr>
        <w:t>When evidence is insufficient, stale, contradictory, outside the evaluated population, outside the supported jurisdiction, or materially different from the conditions covered by the safety case, AI must abstain, narrow its answer, or request additional information.</w:t>
      </w:r>
    </w:p>
    <w:p>
      <w:pPr>
        <w:widowControl w:val="true"/>
      </w:pPr>
      <w:r>
        <w:rPr>
          <w:rFonts w:ascii="Inter" w:hAnsi="Inter" w:eastAsia="Inter"/>
          <w:b w:val="0"/>
          <w:color w:val="252A36"/>
          <w:sz w:val="18"/>
        </w:rPr>
        <w:t>AI must not fill a material gap with a confident assumption, generalized breed stereotype, inferred consent, inferred financial capacity, guessed professional instruction, fabricated source, or unsupported estimate.</w:t>
      </w:r>
    </w:p>
    <w:p>
      <w:pPr>
        <w:widowControl w:val="true"/>
      </w:pPr>
      <w:r>
        <w:rPr>
          <w:rFonts w:ascii="Inter" w:hAnsi="Inter" w:eastAsia="Inter"/>
          <w:b w:val="0"/>
          <w:color w:val="252A36"/>
          <w:sz w:val="18"/>
        </w:rPr>
        <w:t>Requests for more information must remain within the user's permissions and the minimum-necessary rule. The system must not pressure a user to disclose sensitive data merely to obtain ordinary product access or human assistance.</w:t>
      </w:r>
    </w:p>
    <w:p>
      <w:pPr>
        <w:pStyle w:val="Heading2"/>
        <w:pBdr>
          <w:left w:val="single" w:sz="14" w:space="5" w:color="B8AECF"/>
        </w:pBdr>
        <w:keepNext/>
        <w:widowControl w:val="true"/>
      </w:pPr>
      <w:r>
        <w:rPr>
          <w:rFonts w:ascii="Inter" w:hAnsi="Inter" w:eastAsia="Inter"/>
          <w:b/>
          <w:color w:val="303A59"/>
          <w:sz w:val="23"/>
        </w:rPr>
        <w:t>46. Unsupported Claims, Hallucination, and Citation Integrity</w:t>
      </w:r>
    </w:p>
    <w:p>
      <w:pPr>
        <w:widowControl w:val="true"/>
      </w:pPr>
      <w:r>
        <w:rPr>
          <w:rFonts w:ascii="Inter" w:hAnsi="Inter" w:eastAsia="Inter"/>
          <w:b w:val="0"/>
          <w:color w:val="252A36"/>
          <w:sz w:val="18"/>
        </w:rPr>
        <w:t>AI must not invent records, appointments, obligations, balances, diagnoses, professional instructions, people, horse events, citations, contract terms, or consent. Use cases must include evaluation and monitoring for unsupported claims proportionate to risk.</w:t>
      </w:r>
    </w:p>
    <w:p>
      <w:pPr>
        <w:widowControl w:val="true"/>
      </w:pPr>
      <w:r>
        <w:rPr>
          <w:rFonts w:ascii="Inter" w:hAnsi="Inter" w:eastAsia="Inter"/>
          <w:b w:val="0"/>
          <w:color w:val="252A36"/>
          <w:sz w:val="18"/>
        </w:rPr>
        <w:t>Where an answer cannot be grounded in permitted sources, the system must say so. It may provide a general explanation only when clearly separated from tenant-specific facts and when doing so does not create professional, safety, legal, or financial risk.</w:t>
      </w:r>
    </w:p>
    <w:p>
      <w:pPr>
        <w:widowControl w:val="true"/>
      </w:pPr>
      <w:r>
        <w:rPr>
          <w:rFonts w:ascii="Inter" w:hAnsi="Inter" w:eastAsia="Inter"/>
          <w:b w:val="0"/>
          <w:color w:val="252A36"/>
          <w:sz w:val="18"/>
        </w:rPr>
        <w:t>A source link, record identifier, quote, or extracted field must be validated against the actual accessible source before display when the output could materially affect a decision.</w:t>
      </w:r>
    </w:p>
    <w:p>
      <w:pPr>
        <w:pStyle w:val="Heading2"/>
        <w:pBdr>
          <w:left w:val="single" w:sz="14" w:space="5" w:color="B8AECF"/>
        </w:pBdr>
        <w:keepNext/>
        <w:widowControl w:val="true"/>
      </w:pPr>
      <w:r>
        <w:rPr>
          <w:rFonts w:ascii="Inter" w:hAnsi="Inter" w:eastAsia="Inter"/>
          <w:b/>
          <w:color w:val="303A59"/>
          <w:sz w:val="23"/>
        </w:rPr>
        <w:t>47. Explainability and Actionable Reasons</w:t>
      </w:r>
    </w:p>
    <w:p>
      <w:pPr>
        <w:widowControl w:val="true"/>
      </w:pPr>
      <w:r>
        <w:rPr>
          <w:rFonts w:ascii="Inter" w:hAnsi="Inter" w:eastAsia="Inter"/>
          <w:b w:val="0"/>
          <w:color w:val="252A36"/>
          <w:sz w:val="18"/>
        </w:rPr>
        <w:t>For a consequential recommendation, proposal, score, ranking, or automated action, the system must provide a useful explanation of the principal records, rules, assumptions, patterns, exclusions, and limitations that drove the output.</w:t>
      </w:r>
    </w:p>
    <w:p>
      <w:pPr>
        <w:widowControl w:val="true"/>
      </w:pPr>
      <w:r>
        <w:rPr>
          <w:rFonts w:ascii="Inter" w:hAnsi="Inter" w:eastAsia="Inter"/>
          <w:b w:val="0"/>
          <w:color w:val="252A36"/>
          <w:sz w:val="18"/>
        </w:rPr>
        <w:t>The explanation must be understandable to the intended reviewer and sufficiently specific to support disagreement and correction. Proprietary model secrecy, complexity, or provider terms are not valid reasons to provide no meaningful explanation.</w:t>
      </w:r>
    </w:p>
    <w:p>
      <w:pPr>
        <w:widowControl w:val="true"/>
      </w:pPr>
      <w:r>
        <w:rPr>
          <w:rFonts w:ascii="Inter" w:hAnsi="Inter" w:eastAsia="Inter"/>
          <w:b w:val="0"/>
          <w:color w:val="252A36"/>
          <w:sz w:val="18"/>
        </w:rPr>
        <w:t>Where the underlying model cannot provide reliable causal reasoning, EquineSync must present evidence-based contributing factors and limitations rather than expose speculative chain-of-thought or imply a certainty the system cannot support.</w:t>
      </w:r>
    </w:p>
    <w:p>
      <w:pPr>
        <w:widowControl w:val="true"/>
      </w:pPr>
      <w:r>
        <w:rPr>
          <w:rFonts w:ascii="Inter" w:hAnsi="Inter" w:eastAsia="Inter"/>
          <w:b w:val="0"/>
          <w:color w:val="252A36"/>
          <w:sz w:val="18"/>
        </w:rPr>
        <w:t>An explanation may not reveal restricted records, secrets, another tenant's information, or security-sensitive controls. The inability to explain a high-risk output may make the use case ineligible for the proposed tier.</w:t>
      </w:r>
    </w:p>
    <w:p>
      <w:pPr>
        <w:pStyle w:val="Heading2"/>
        <w:pBdr>
          <w:left w:val="single" w:sz="14" w:space="5" w:color="B8AECF"/>
        </w:pBdr>
        <w:keepNext/>
        <w:widowControl w:val="true"/>
      </w:pPr>
      <w:r>
        <w:rPr>
          <w:rFonts w:ascii="Inter" w:hAnsi="Inter" w:eastAsia="Inter"/>
          <w:b/>
          <w:color w:val="303A59"/>
          <w:sz w:val="23"/>
        </w:rPr>
        <w:t>48. User Challenge, Correction, Human Review, and Redress Entry</w:t>
      </w:r>
    </w:p>
    <w:p>
      <w:pPr>
        <w:widowControl w:val="true"/>
      </w:pPr>
      <w:r>
        <w:rPr>
          <w:rFonts w:ascii="Inter" w:hAnsi="Inter" w:eastAsia="Inter"/>
          <w:b w:val="0"/>
          <w:color w:val="252A36"/>
          <w:sz w:val="18"/>
        </w:rPr>
        <w:t>Authorized users must be able to challenge an AI Output, correct relevant data, report harmful or inaccurate behavior, and request human review where the output materially affects them, their horse, their account, or their responsibilities.</w:t>
      </w:r>
    </w:p>
    <w:p>
      <w:pPr>
        <w:widowControl w:val="true"/>
      </w:pPr>
      <w:r>
        <w:rPr>
          <w:rFonts w:ascii="Inter" w:hAnsi="Inter" w:eastAsia="Inter"/>
          <w:b w:val="0"/>
          <w:color w:val="252A36"/>
          <w:sz w:val="18"/>
        </w:rPr>
        <w:t>The challenge process must be accessible, timely, understandable, free from retaliation, and available through a practical non-AI route. It must preserve the original output, model and use-case identity, source context, correction, reviewer decision, and resulting action where required for audit and evidence.</w:t>
      </w:r>
    </w:p>
    <w:p>
      <w:pPr>
        <w:widowControl w:val="true"/>
      </w:pPr>
      <w:r>
        <w:rPr>
          <w:rFonts w:ascii="Inter" w:hAnsi="Inter" w:eastAsia="Inter"/>
          <w:b w:val="0"/>
          <w:color w:val="252A36"/>
          <w:sz w:val="18"/>
        </w:rPr>
        <w:t>Correcting an AI summary does not silently rewrite the underlying Source Record. Where the source itself is disputed or incorrect, the applicable record-correction, claim, evidence, notice, and retention procedures control.</w:t>
      </w:r>
    </w:p>
    <w:p>
      <w:pPr>
        <w:widowControl w:val="true"/>
      </w:pPr>
      <w:r>
        <w:rPr>
          <w:rFonts w:ascii="Inter" w:hAnsi="Inter" w:eastAsia="Inter"/>
          <w:b w:val="0"/>
          <w:color w:val="252A36"/>
          <w:sz w:val="18"/>
        </w:rPr>
        <w:t>A challenge may reveal a systemic design issue. Resolution must not be limited to correcting one output when similar users, horses, records, or actions may have been affected.</w:t>
      </w:r>
    </w:p>
    <w:p>
      <w:pPr>
        <w:pStyle w:val="Heading2"/>
        <w:pBdr>
          <w:left w:val="single" w:sz="14" w:space="5" w:color="B8AECF"/>
        </w:pBdr>
        <w:keepNext/>
        <w:widowControl w:val="true"/>
      </w:pPr>
      <w:r>
        <w:rPr>
          <w:rFonts w:ascii="Inter" w:hAnsi="Inter" w:eastAsia="Inter"/>
          <w:b/>
          <w:color w:val="303A59"/>
          <w:sz w:val="23"/>
        </w:rPr>
        <w:t>49. Record, Claim, Evidence, and Decision Status</w:t>
      </w:r>
    </w:p>
    <w:p>
      <w:pPr>
        <w:widowControl w:val="true"/>
      </w:pPr>
      <w:r>
        <w:rPr>
          <w:rFonts w:ascii="Inter" w:hAnsi="Inter" w:eastAsia="Inter"/>
          <w:b w:val="0"/>
          <w:color w:val="252A36"/>
          <w:sz w:val="18"/>
        </w:rPr>
        <w:t>AI Output is not automatically canonical truth, an authoritative record, verified evidence, a professional opinion, consent, a binding decision, or proof of a claim. It remains a derivative analytical, extraction, drafting, or proposed-action artifact until adopted or recorded through an authorized workflow.</w:t>
      </w:r>
    </w:p>
    <w:p>
      <w:pPr>
        <w:widowControl w:val="true"/>
      </w:pPr>
      <w:r>
        <w:rPr>
          <w:rFonts w:ascii="Inter" w:hAnsi="Inter" w:eastAsia="Inter"/>
          <w:b w:val="0"/>
          <w:color w:val="252A36"/>
          <w:sz w:val="18"/>
        </w:rPr>
        <w:t>When a human adopts AI-assisted content into an authoritative record, the system must preserve appropriate provenance showing the AI involvement, source materials, material edits, human reviewer, final accepted content, and date.</w:t>
      </w:r>
    </w:p>
    <w:p>
      <w:pPr>
        <w:widowControl w:val="true"/>
      </w:pPr>
      <w:r>
        <w:rPr>
          <w:rFonts w:ascii="Inter" w:hAnsi="Inter" w:eastAsia="Inter"/>
          <w:b w:val="0"/>
          <w:color w:val="252A36"/>
          <w:sz w:val="18"/>
        </w:rPr>
        <w:t>AI-generated summaries may not replace or erase underlying records. AI classification may not determine evidentiary weight, credibility, authenticity, legal hold, or final claim status.</w:t>
      </w:r>
    </w:p>
    <w:p>
      <w:pPr>
        <w:widowControl w:val="true"/>
      </w:pPr>
      <w:r>
        <w:rPr>
          <w:rFonts w:ascii="Inter" w:hAnsi="Inter" w:eastAsia="Inter"/>
          <w:b w:val="0"/>
          <w:color w:val="252A36"/>
          <w:sz w:val="18"/>
        </w:rPr>
        <w:t>An AI Output used by a person to make a consequential decision remains part of the decision evidence when required by the Audit, Claims, Record Stewardship, Financial, or other controlling canon.</w:t>
      </w:r>
    </w:p>
    <w:p>
      <w:pPr>
        <w:pStyle w:val="Heading2"/>
        <w:pBdr>
          <w:left w:val="single" w:sz="14" w:space="5" w:color="B8AECF"/>
        </w:pBdr>
        <w:keepNext/>
        <w:widowControl w:val="true"/>
      </w:pPr>
      <w:r>
        <w:rPr>
          <w:rFonts w:ascii="Inter" w:hAnsi="Inter" w:eastAsia="Inter"/>
          <w:b/>
          <w:color w:val="303A59"/>
          <w:sz w:val="23"/>
        </w:rPr>
        <w:t>50. AI-Generated Communications, Synthetic Media, and Intellectual Integrity</w:t>
      </w:r>
    </w:p>
    <w:p>
      <w:pPr>
        <w:widowControl w:val="true"/>
      </w:pPr>
      <w:r>
        <w:rPr>
          <w:rFonts w:ascii="Inter" w:hAnsi="Inter" w:eastAsia="Inter"/>
          <w:b w:val="0"/>
          <w:color w:val="252A36"/>
          <w:sz w:val="18"/>
        </w:rPr>
        <w:t>AI may draft communications. A communication that is legal, financial, disciplinary, safeguarding-related, medically consequential, welfare-critical, or likely to materially affect rights or obligations requires human review unless a separately approved Tier 4 template-and-trigger workflow applies.</w:t>
      </w:r>
    </w:p>
    <w:p>
      <w:pPr>
        <w:widowControl w:val="true"/>
      </w:pPr>
      <w:r>
        <w:rPr>
          <w:rFonts w:ascii="Inter" w:hAnsi="Inter" w:eastAsia="Inter"/>
          <w:b w:val="0"/>
          <w:color w:val="252A36"/>
          <w:sz w:val="18"/>
        </w:rPr>
        <w:t>AI must not deceptively impersonate a person, professional, customer, child, organization, or authority. Automated communications must identify the responsible organization and provide an appropriate route to human assistance when automation materially affects trust or action.</w:t>
      </w:r>
    </w:p>
    <w:p>
      <w:pPr>
        <w:widowControl w:val="true"/>
      </w:pPr>
      <w:r>
        <w:rPr>
          <w:rFonts w:ascii="Inter" w:hAnsi="Inter" w:eastAsia="Inter"/>
          <w:b w:val="0"/>
          <w:color w:val="252A36"/>
          <w:sz w:val="18"/>
        </w:rPr>
        <w:t>Materially generated or altered images, audio, or video used as evidence, marketing, instruction, or customer communication must be labeled and preserved with provenance appropriate to the context. Synthetic media may not fabricate an incident, horse condition, person, signature, consent, inspection, credential, professional opinion, or event.</w:t>
      </w:r>
    </w:p>
    <w:p>
      <w:pPr>
        <w:widowControl w:val="true"/>
      </w:pPr>
      <w:r>
        <w:rPr>
          <w:rFonts w:ascii="Inter" w:hAnsi="Inter" w:eastAsia="Inter"/>
          <w:b w:val="0"/>
          <w:color w:val="252A36"/>
          <w:sz w:val="18"/>
        </w:rPr>
        <w:t>AI workflows must respect copyright, trademark, publicity, confidentiality, contract, license, and third-party content rights. Availability to a model or on the internet is not proof of permission to reproduce, train on, publish, or commercially exploit content.</w:t>
      </w:r>
    </w:p>
    <w:p>
      <w:pPr>
        <w:widowControl w:val="true"/>
      </w:pPr>
      <w:r>
        <w:rPr>
          <w:rFonts w:ascii="Inter" w:hAnsi="Inter" w:eastAsia="Inter"/>
          <w:b w:val="0"/>
          <w:color w:val="252A36"/>
          <w:sz w:val="18"/>
        </w:rPr>
        <w:t>AI may not create a signature, attestation, certification, sworn statement, professional approval, or consent on behalf of a person.</w:t>
      </w:r>
    </w:p>
    <w:p>
      <w:pPr>
        <w:pStyle w:val="Heading2"/>
        <w:pBdr>
          <w:left w:val="single" w:sz="14" w:space="5" w:color="B8AECF"/>
        </w:pBdr>
        <w:keepNext/>
        <w:widowControl w:val="true"/>
      </w:pPr>
      <w:r>
        <w:rPr>
          <w:rFonts w:ascii="Inter" w:hAnsi="Inter" w:eastAsia="Inter"/>
          <w:b/>
          <w:color w:val="303A59"/>
          <w:sz w:val="23"/>
        </w:rPr>
        <w:t>51. No Dark Patterns or Manipulative Design</w:t>
      </w:r>
    </w:p>
    <w:p>
      <w:pPr>
        <w:widowControl w:val="true"/>
      </w:pPr>
      <w:r>
        <w:rPr>
          <w:rFonts w:ascii="Inter" w:hAnsi="Inter" w:eastAsia="Inter"/>
          <w:b w:val="0"/>
          <w:color w:val="252A36"/>
          <w:sz w:val="18"/>
        </w:rPr>
        <w:t>AI interfaces must not exploit urgency, emotion, authority cues, or personalization to pressure a user into accepting a recommendation, making a payment, waiving a right, approving a contract, or continuing an unsafe activity.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V: CAPABILITY-SPECIFIC BOUNDARIES</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52. Permitted Launch-Candidate Principle</w:t>
      </w:r>
    </w:p>
    <w:p>
      <w:pPr>
        <w:widowControl w:val="true"/>
      </w:pPr>
      <w:r>
        <w:rPr>
          <w:rFonts w:ascii="Inter" w:hAnsi="Inter" w:eastAsia="Inter"/>
          <w:b w:val="0"/>
          <w:color w:val="252A36"/>
          <w:sz w:val="18"/>
        </w:rPr>
        <w:t>A capability identified as a permitted launch candidate is constitutionally eligible for separate implementation planning. It is not presumed safe, required for launch, authorized for a pilot, approved for customer data, approved for production, or entitled to general availability.</w:t>
      </w:r>
    </w:p>
    <w:p>
      <w:pPr>
        <w:widowControl w:val="true"/>
      </w:pPr>
      <w:r>
        <w:rPr>
          <w:rFonts w:ascii="Inter" w:hAnsi="Inter" w:eastAsia="Inter"/>
          <w:b w:val="0"/>
          <w:color w:val="252A36"/>
          <w:sz w:val="18"/>
        </w:rPr>
        <w:t>Every candidate must still satisfy its controlling domain canon, professional boundary, safety case, risk class, named implementation package, evaluation threshold, stage-specific authority, and release gate. A candidate may be rejected, narrowed, deferred, or retired without amending this Model.</w:t>
      </w:r>
    </w:p>
    <w:p>
      <w:pPr>
        <w:widowControl w:val="true"/>
      </w:pPr>
      <w:r>
        <w:rPr>
          <w:rFonts w:ascii="Inter" w:hAnsi="Inter" w:eastAsia="Inter"/>
          <w:b w:val="0"/>
          <w:color w:val="252A36"/>
          <w:sz w:val="18"/>
        </w:rPr>
        <w:t>The phrase “launch candidate” must not be used in repository or product materials to imply current implementation or production authority. The accurate meaning is “eligible to seek separate authority.”</w:t>
      </w:r>
    </w:p>
    <w:p>
      <w:pPr>
        <w:pStyle w:val="Heading2"/>
        <w:pBdr>
          <w:left w:val="single" w:sz="14" w:space="5" w:color="B8AECF"/>
        </w:pBdr>
        <w:keepNext/>
        <w:widowControl w:val="true"/>
      </w:pPr>
      <w:r>
        <w:rPr>
          <w:rFonts w:ascii="Inter" w:hAnsi="Inter" w:eastAsia="Inter"/>
          <w:b/>
          <w:color w:val="303A59"/>
          <w:sz w:val="23"/>
        </w:rPr>
        <w:t>53. Document and Receipt Extraction</w:t>
      </w:r>
    </w:p>
    <w:p>
      <w:pPr>
        <w:widowControl w:val="true"/>
      </w:pPr>
      <w:r>
        <w:rPr>
          <w:rFonts w:ascii="Inter" w:hAnsi="Inter" w:eastAsia="Inter"/>
          <w:b w:val="0"/>
          <w:color w:val="252A36"/>
          <w:sz w:val="18"/>
        </w:rPr>
        <w:t>AI may extract text and structured fields from receipts, invoices, agreements, health records, certificates, images, and other documents as Tier 1 assistance or Tier 3 proposed data entry.</w:t>
      </w:r>
    </w:p>
    <w:p>
      <w:pPr>
        <w:widowControl w:val="true"/>
      </w:pPr>
      <w:r>
        <w:rPr>
          <w:rFonts w:ascii="Inter" w:hAnsi="Inter" w:eastAsia="Inter"/>
          <w:b w:val="0"/>
          <w:color w:val="252A36"/>
          <w:sz w:val="18"/>
        </w:rPr>
        <w:t>Extracted information must preserve source linkage, document version, page or region where practicable, uncertainty, and indications of illegibility or conflict. Review is required before authoritative use when an error could affect money, health, identity, ownership, compliance, consent, or contractual rights.</w:t>
      </w:r>
    </w:p>
    <w:p>
      <w:pPr>
        <w:widowControl w:val="true"/>
      </w:pPr>
      <w:r>
        <w:rPr>
          <w:rFonts w:ascii="Inter" w:hAnsi="Inter" w:eastAsia="Inter"/>
          <w:b w:val="0"/>
          <w:color w:val="252A36"/>
          <w:sz w:val="18"/>
        </w:rPr>
        <w:t>The system may not infer a missing signature, date, party, amount, diagnosis, authorization, or legal effect. It may not treat an extracted value as verified merely because optical or model confidence is high.</w:t>
      </w:r>
    </w:p>
    <w:p>
      <w:pPr>
        <w:pStyle w:val="Heading2"/>
        <w:pBdr>
          <w:left w:val="single" w:sz="14" w:space="5" w:color="B8AECF"/>
        </w:pBdr>
        <w:keepNext/>
        <w:widowControl w:val="true"/>
      </w:pPr>
      <w:r>
        <w:rPr>
          <w:rFonts w:ascii="Inter" w:hAnsi="Inter" w:eastAsia="Inter"/>
          <w:b/>
          <w:color w:val="303A59"/>
          <w:sz w:val="23"/>
        </w:rPr>
        <w:t>54. Natural-Language Search, External Information, and Record Summaries</w:t>
      </w:r>
    </w:p>
    <w:p>
      <w:pPr>
        <w:widowControl w:val="true"/>
      </w:pPr>
      <w:r>
        <w:rPr>
          <w:rFonts w:ascii="Inter" w:hAnsi="Inter" w:eastAsia="Inter"/>
          <w:b w:val="0"/>
          <w:color w:val="252A36"/>
          <w:sz w:val="18"/>
        </w:rPr>
        <w:t>AI may support natural-language search, cross-record navigation, horse-record summaries, operational summaries, and question answering within the user's permissions.</w:t>
      </w:r>
    </w:p>
    <w:p>
      <w:pPr>
        <w:widowControl w:val="true"/>
      </w:pPr>
      <w:r>
        <w:rPr>
          <w:rFonts w:ascii="Inter" w:hAnsi="Inter" w:eastAsia="Inter"/>
          <w:b w:val="0"/>
          <w:color w:val="252A36"/>
          <w:sz w:val="18"/>
        </w:rPr>
        <w:t>Retrieval must enforce permissions before ranking and again before display. Summaries must identify material sources, reflect contradictory records, state the relevant time period, distinguish current from superseded information, and avoid converting absence of data into a factual conclusion.</w:t>
      </w:r>
    </w:p>
    <w:p>
      <w:pPr>
        <w:widowControl w:val="true"/>
      </w:pPr>
      <w:r>
        <w:rPr>
          <w:rFonts w:ascii="Inter" w:hAnsi="Inter" w:eastAsia="Inter"/>
          <w:b w:val="0"/>
          <w:color w:val="252A36"/>
          <w:sz w:val="18"/>
        </w:rPr>
        <w:t>Instructions found inside retrieved records, emails, web pages, attachments, images, or tool output are Untrusted Content and must not override system policy, user authority, or tool limits.</w:t>
      </w:r>
    </w:p>
    <w:p>
      <w:pPr>
        <w:widowControl w:val="true"/>
      </w:pPr>
      <w:r>
        <w:rPr>
          <w:rFonts w:ascii="Inter" w:hAnsi="Inter" w:eastAsia="Inter"/>
          <w:b w:val="0"/>
          <w:color w:val="252A36"/>
          <w:sz w:val="18"/>
        </w:rPr>
        <w:t>External web or third-party information may be used only when the use case expressly authorizes it, identifies source and retrieval date, evaluates reliability and license, separates external information from tenant records, and avoids presenting general information as a professional or tenant-specific conclusion.</w:t>
      </w:r>
    </w:p>
    <w:p>
      <w:pPr>
        <w:pStyle w:val="Heading2"/>
        <w:pBdr>
          <w:left w:val="single" w:sz="14" w:space="5" w:color="B8AECF"/>
        </w:pBdr>
        <w:keepNext/>
        <w:widowControl w:val="true"/>
      </w:pPr>
      <w:r>
        <w:rPr>
          <w:rFonts w:ascii="Inter" w:hAnsi="Inter" w:eastAsia="Inter"/>
          <w:b/>
          <w:color w:val="303A59"/>
          <w:sz w:val="23"/>
        </w:rPr>
        <w:t>55. Drafting and Communication Assistance</w:t>
      </w:r>
    </w:p>
    <w:p>
      <w:pPr>
        <w:widowControl w:val="true"/>
      </w:pPr>
      <w:r>
        <w:rPr>
          <w:rFonts w:ascii="Inter" w:hAnsi="Inter" w:eastAsia="Inter"/>
          <w:b w:val="0"/>
          <w:color w:val="252A36"/>
          <w:sz w:val="18"/>
        </w:rPr>
        <w:t>AI may draft routine notices, summaries, task descriptions, onboarding guidance, support responses, and user communications. The approving human or authorized Tier 4 workflow remains responsible for content, recipients, timing, and legal or operational effect.</w:t>
      </w:r>
    </w:p>
    <w:p>
      <w:pPr>
        <w:pStyle w:val="Heading2"/>
        <w:pBdr>
          <w:left w:val="single" w:sz="14" w:space="5" w:color="B8AECF"/>
        </w:pBdr>
        <w:keepNext/>
        <w:widowControl w:val="true"/>
      </w:pPr>
      <w:r>
        <w:rPr>
          <w:rFonts w:ascii="Inter" w:hAnsi="Inter" w:eastAsia="Inter"/>
          <w:b/>
          <w:color w:val="303A59"/>
          <w:sz w:val="23"/>
        </w:rPr>
        <w:t>56. Task Suggestions, Scheduling, and Conflict Detection</w:t>
      </w:r>
    </w:p>
    <w:p>
      <w:pPr>
        <w:widowControl w:val="true"/>
      </w:pPr>
      <w:r>
        <w:rPr>
          <w:rFonts w:ascii="Inter" w:hAnsi="Inter" w:eastAsia="Inter"/>
          <w:b w:val="0"/>
          <w:color w:val="252A36"/>
          <w:sz w:val="18"/>
        </w:rPr>
        <w:t>AI may suggest tasks, identify schedule conflicts, propose assignments, summarize workload, and surface overdue or inconsistent records.</w:t>
      </w:r>
    </w:p>
    <w:p>
      <w:pPr>
        <w:widowControl w:val="true"/>
      </w:pPr>
      <w:r>
        <w:rPr>
          <w:rFonts w:ascii="Inter" w:hAnsi="Inter" w:eastAsia="Inter"/>
          <w:b w:val="0"/>
          <w:color w:val="252A36"/>
          <w:sz w:val="18"/>
        </w:rPr>
        <w:t>It may not assign a person to a task they are not permitted or qualified to perform, override labor or safeguarding rules, or treat a schedule suggestion as proof of availability or consent.</w:t>
      </w:r>
    </w:p>
    <w:p>
      <w:pPr>
        <w:pStyle w:val="Heading2"/>
        <w:pBdr>
          <w:left w:val="single" w:sz="14" w:space="5" w:color="B8AECF"/>
        </w:pBdr>
        <w:keepNext/>
        <w:widowControl w:val="true"/>
      </w:pPr>
      <w:r>
        <w:rPr>
          <w:rFonts w:ascii="Inter" w:hAnsi="Inter" w:eastAsia="Inter"/>
          <w:b/>
          <w:color w:val="303A59"/>
          <w:sz w:val="23"/>
        </w:rPr>
        <w:t>57. Inventory Recognition and Forecasting</w:t>
      </w:r>
    </w:p>
    <w:p>
      <w:pPr>
        <w:widowControl w:val="true"/>
      </w:pPr>
      <w:r>
        <w:rPr>
          <w:rFonts w:ascii="Inter" w:hAnsi="Inter" w:eastAsia="Inter"/>
          <w:b w:val="0"/>
          <w:color w:val="252A36"/>
          <w:sz w:val="18"/>
        </w:rPr>
        <w:t>AI may identify probable inventory items from photographs, estimate quantities, forecast depletion, and suggest reorder actions.</w:t>
      </w:r>
    </w:p>
    <w:p>
      <w:pPr>
        <w:widowControl w:val="true"/>
      </w:pPr>
      <w:r>
        <w:rPr>
          <w:rFonts w:ascii="Inter" w:hAnsi="Inter" w:eastAsia="Inter"/>
          <w:b w:val="0"/>
          <w:color w:val="252A36"/>
          <w:sz w:val="18"/>
        </w:rPr>
        <w:t>Image recognition and forecasts must be treated as estimates. Safety-critical medication, feed, chemical, or equipment records require human verification before use, substitution, administration, or ordering.</w:t>
      </w:r>
    </w:p>
    <w:p>
      <w:pPr>
        <w:widowControl w:val="true"/>
      </w:pPr>
      <w:r>
        <w:rPr>
          <w:rFonts w:ascii="Inter" w:hAnsi="Inter" w:eastAsia="Inter"/>
          <w:b w:val="0"/>
          <w:color w:val="252A36"/>
          <w:sz w:val="18"/>
        </w:rPr>
        <w:t>AI may not independently select a medication, change a product concentration, infer expiration from appearance, approve a substitute feed or chemical, or place an order outside a separately approved Tier 4 purchasing workflow with explicit limits.</w:t>
      </w:r>
    </w:p>
    <w:p>
      <w:pPr>
        <w:pStyle w:val="Heading2"/>
        <w:pBdr>
          <w:left w:val="single" w:sz="14" w:space="5" w:color="B8AECF"/>
        </w:pBdr>
        <w:keepNext/>
        <w:widowControl w:val="true"/>
      </w:pPr>
      <w:r>
        <w:rPr>
          <w:rFonts w:ascii="Inter" w:hAnsi="Inter" w:eastAsia="Inter"/>
          <w:b/>
          <w:color w:val="303A59"/>
          <w:sz w:val="23"/>
        </w:rPr>
        <w:t>58. Operational Anomaly and Pattern Detection</w:t>
      </w:r>
    </w:p>
    <w:p>
      <w:pPr>
        <w:widowControl w:val="true"/>
      </w:pPr>
      <w:r>
        <w:rPr>
          <w:rFonts w:ascii="Inter" w:hAnsi="Inter" w:eastAsia="Inter"/>
          <w:b w:val="0"/>
          <w:color w:val="252A36"/>
          <w:sz w:val="18"/>
        </w:rPr>
        <w:t>AI may flag unusual patterns, missing records, deviations, duplicate entries, inconsistent schedules, possible billing anomalies, or emerging operational risks.</w:t>
      </w:r>
    </w:p>
    <w:p>
      <w:pPr>
        <w:widowControl w:val="true"/>
      </w:pPr>
      <w:r>
        <w:rPr>
          <w:rFonts w:ascii="Inter" w:hAnsi="Inter" w:eastAsia="Inter"/>
          <w:b w:val="0"/>
          <w:color w:val="252A36"/>
          <w:sz w:val="18"/>
        </w:rPr>
        <w:t>A flag is a prompt for review, not proof of wrongdoing, neglect, fraud, illness, or policy violation.</w:t>
      </w:r>
    </w:p>
    <w:p>
      <w:pPr>
        <w:pStyle w:val="Heading2"/>
        <w:pBdr>
          <w:left w:val="single" w:sz="14" w:space="5" w:color="B8AECF"/>
        </w:pBdr>
        <w:keepNext/>
        <w:widowControl w:val="true"/>
      </w:pPr>
      <w:r>
        <w:rPr>
          <w:rFonts w:ascii="Inter" w:hAnsi="Inter" w:eastAsia="Inter"/>
          <w:b/>
          <w:color w:val="303A59"/>
          <w:sz w:val="23"/>
        </w:rPr>
        <w:t>59. Health-Risk Scoring and Pattern Alerting</w:t>
      </w:r>
    </w:p>
    <w:p>
      <w:pPr>
        <w:widowControl w:val="true"/>
      </w:pPr>
      <w:r>
        <w:rPr>
          <w:rFonts w:ascii="Inter" w:hAnsi="Inter" w:eastAsia="Inter"/>
          <w:b w:val="0"/>
          <w:color w:val="252A36"/>
          <w:sz w:val="18"/>
        </w:rPr>
        <w:t>Health-risk scoring is a permitted launch candidate at Tier 2 and may create a Tier 3 review task or alert. It may combine authorized records to identify patterns that warrant attention.</w:t>
      </w:r>
    </w:p>
    <w:p>
      <w:pPr>
        <w:widowControl w:val="true"/>
      </w:pPr>
      <w:r>
        <w:rPr>
          <w:rFonts w:ascii="Inter" w:hAnsi="Inter" w:eastAsia="Inter"/>
          <w:b w:val="0"/>
          <w:color w:val="252A36"/>
          <w:sz w:val="18"/>
        </w:rPr>
        <w:t>Before implementation planning may proceed beyond synthetic testing, the use case requires equine veterinary or other appropriately qualified professional review of intended purpose, terminology, inputs, exclusions, alert thresholds, false-reassurance risk, escalation language, and validation design.</w:t>
      </w:r>
    </w:p>
    <w:p>
      <w:pPr>
        <w:widowControl w:val="true"/>
      </w:pPr>
      <w:r>
        <w:rPr>
          <w:rFonts w:ascii="Inter" w:hAnsi="Inter" w:eastAsia="Inter"/>
          <w:b w:val="0"/>
          <w:color w:val="252A36"/>
          <w:sz w:val="18"/>
        </w:rPr>
        <w:t>A health-risk score may not diagnose, prescribe, determine treatment, determine lameness, determine soundness, clear a horse for work, calculate a medical prognosis as fact, or delay veterinary care. The output must explain relevant inputs, missing data, source dates, baseline assumptions, material contradictions, time sensitivity, uncertainty, and the need for qualified evaluation.</w:t>
      </w:r>
    </w:p>
    <w:p>
      <w:pPr>
        <w:widowControl w:val="true"/>
      </w:pPr>
      <w:r>
        <w:rPr>
          <w:rFonts w:ascii="Inter" w:hAnsi="Inter" w:eastAsia="Inter"/>
          <w:b w:val="0"/>
          <w:color w:val="252A36"/>
          <w:sz w:val="18"/>
        </w:rPr>
        <w:t>The system must be evaluated for false reassurance as well as excessive alerting. A low score may not suppress a human concern, urgent symptom, professional instruction, or deterministic safety threshold. Product language should prefer “risk signal” or “pattern alert” unless the approved professional review supports use of a numerical score.</w:t>
      </w:r>
    </w:p>
    <w:p>
      <w:pPr>
        <w:pStyle w:val="Heading2"/>
        <w:pBdr>
          <w:left w:val="single" w:sz="14" w:space="5" w:color="B8AECF"/>
        </w:pBdr>
        <w:keepNext/>
        <w:widowControl w:val="true"/>
      </w:pPr>
      <w:r>
        <w:rPr>
          <w:rFonts w:ascii="Inter" w:hAnsi="Inter" w:eastAsia="Inter"/>
          <w:b/>
          <w:color w:val="303A59"/>
          <w:sz w:val="23"/>
        </w:rPr>
        <w:t>60. Feed Recommendations</w:t>
      </w:r>
    </w:p>
    <w:p>
      <w:pPr>
        <w:widowControl w:val="true"/>
      </w:pPr>
      <w:r>
        <w:rPr>
          <w:rFonts w:ascii="Inter" w:hAnsi="Inter" w:eastAsia="Inter"/>
          <w:b w:val="0"/>
          <w:color w:val="252A36"/>
          <w:sz w:val="18"/>
        </w:rPr>
        <w:t>Feed recommendations are a permitted launch candidate at Tier 2 or Tier 3. AI may organize current feed records, horse characteristics, workload, inventory, professional instructions, and user goals to suggest questions or options.</w:t>
      </w:r>
    </w:p>
    <w:p>
      <w:pPr>
        <w:widowControl w:val="true"/>
      </w:pPr>
      <w:r>
        <w:rPr>
          <w:rFonts w:ascii="Inter" w:hAnsi="Inter" w:eastAsia="Inter"/>
          <w:b w:val="0"/>
          <w:color w:val="252A36"/>
          <w:sz w:val="18"/>
        </w:rPr>
        <w:t>Before implementation planning may proceed beyond synthetic testing, the use case requires review by a veterinarian, qualified equine nutrition professional, or other appropriately qualified reviewer of scope, units, input requirements, exclusions, contraindications, source authority, and safety language.</w:t>
      </w:r>
    </w:p>
    <w:p>
      <w:pPr>
        <w:widowControl w:val="true"/>
      </w:pPr>
      <w:r>
        <w:rPr>
          <w:rFonts w:ascii="Inter" w:hAnsi="Inter" w:eastAsia="Inter"/>
          <w:b w:val="0"/>
          <w:color w:val="252A36"/>
          <w:sz w:val="18"/>
        </w:rPr>
        <w:t>AI may not independently change a feeding plan, ration, supplement, medication, allergy restriction, veterinary instruction, or nutrition-professional instruction. It may not infer a safe dose, concentration, substitution, or transition schedule from incomplete labels, photographs, generalized breed assumptions, or missing body-weight and health information.</w:t>
      </w:r>
    </w:p>
    <w:p>
      <w:pPr>
        <w:widowControl w:val="true"/>
      </w:pPr>
      <w:r>
        <w:rPr>
          <w:rFonts w:ascii="Inter" w:hAnsi="Inter" w:eastAsia="Inter"/>
          <w:b w:val="0"/>
          <w:color w:val="252A36"/>
          <w:sz w:val="18"/>
        </w:rPr>
        <w:t>Material feed changes require an Authorized Human and, where appropriate, professional review. The recommendation must identify data date, units, body-weight basis, assumptions, professional instructions, missing data, and conditions that require abstention.</w:t>
      </w:r>
    </w:p>
    <w:p>
      <w:pPr>
        <w:widowControl w:val="true"/>
      </w:pPr>
      <w:r>
        <w:rPr>
          <w:rFonts w:ascii="Inter" w:hAnsi="Inter" w:eastAsia="Inter"/>
          <w:b w:val="0"/>
          <w:color w:val="252A36"/>
          <w:sz w:val="18"/>
        </w:rPr>
        <w:t>No feed recommendation may be represented as individualized veterinary or nutrition advice unless the responsible qualified professional has independently reviewed and adopted it through an authorized workflow.</w:t>
      </w:r>
    </w:p>
    <w:p>
      <w:pPr>
        <w:pStyle w:val="Heading2"/>
        <w:pBdr>
          <w:left w:val="single" w:sz="14" w:space="5" w:color="B8AECF"/>
        </w:pBdr>
        <w:keepNext/>
        <w:widowControl w:val="true"/>
      </w:pPr>
      <w:r>
        <w:rPr>
          <w:rFonts w:ascii="Inter" w:hAnsi="Inter" w:eastAsia="Inter"/>
          <w:b/>
          <w:color w:val="303A59"/>
          <w:sz w:val="23"/>
        </w:rPr>
        <w:t>61. Behavioral, Operational, Employee, and Horse Risk Scoring</w:t>
      </w:r>
    </w:p>
    <w:p>
      <w:pPr>
        <w:widowControl w:val="true"/>
      </w:pPr>
      <w:r>
        <w:rPr>
          <w:rFonts w:ascii="Inter" w:hAnsi="Inter" w:eastAsia="Inter"/>
          <w:b w:val="0"/>
          <w:color w:val="252A36"/>
          <w:sz w:val="18"/>
        </w:rPr>
        <w:t>Behavioral and operational risk scoring is a permitted launch candidate at Tier 2. AI may identify documented patterns and recommend review or additional observation.</w:t>
      </w:r>
    </w:p>
    <w:p>
      <w:pPr>
        <w:widowControl w:val="true"/>
      </w:pPr>
      <w:r>
        <w:rPr>
          <w:rFonts w:ascii="Inter" w:hAnsi="Inter" w:eastAsia="Inter"/>
          <w:b w:val="0"/>
          <w:color w:val="252A36"/>
          <w:sz w:val="18"/>
        </w:rPr>
        <w:t>It may not permanently label a person or horse, infer dangerousness from breed or stereotype, adjudicate misconduct, determine rider ability, impose discipline, evaluate credibility, or deny access without authorized human review and independent supporting evidence.</w:t>
      </w:r>
    </w:p>
    <w:p>
      <w:pPr>
        <w:widowControl w:val="true"/>
      </w:pPr>
      <w:r>
        <w:rPr>
          <w:rFonts w:ascii="Inter" w:hAnsi="Inter" w:eastAsia="Inter"/>
          <w:b w:val="0"/>
          <w:color w:val="252A36"/>
          <w:sz w:val="18"/>
        </w:rPr>
        <w:t>Scores must be time-bounded, context-specific, explainable, and reviewable. They may not silently follow a horse, rider, employee, minor, customer, or provider across tenants, facilities, disciplines, employers, or relationships.</w:t>
      </w:r>
    </w:p>
    <w:p>
      <w:pPr>
        <w:widowControl w:val="true"/>
      </w:pPr>
      <w:r>
        <w:rPr>
          <w:rFonts w:ascii="Inter" w:hAnsi="Inter" w:eastAsia="Inter"/>
          <w:b w:val="0"/>
          <w:color w:val="252A36"/>
          <w:sz w:val="18"/>
        </w:rPr>
        <w:t>AI may not create a hidden employee productivity, loyalty, attitude, vulnerability, or risk score from communications, location, schedule, response time, support contacts, or operational records. Any employment-related analytics require separate employment, privacy, legal, and constitutional review and may not drive an adverse action autonomously.</w:t>
      </w:r>
    </w:p>
    <w:p>
      <w:pPr>
        <w:widowControl w:val="true"/>
      </w:pPr>
      <w:r>
        <w:rPr>
          <w:rFonts w:ascii="Inter" w:hAnsi="Inter" w:eastAsia="Inter"/>
          <w:b w:val="0"/>
          <w:color w:val="252A36"/>
          <w:sz w:val="18"/>
        </w:rPr>
        <w:t>A score must not use protected characteristics, disability, socioeconomic status, reputation, purchase price, show record, barn affiliation, owner resources, or access to professional care as an invalid proxy for ability, welfare, temperament, trustworthiness, or safety.</w:t>
      </w:r>
    </w:p>
    <w:p>
      <w:pPr>
        <w:pStyle w:val="Heading2"/>
        <w:pBdr>
          <w:left w:val="single" w:sz="14" w:space="5" w:color="B8AECF"/>
        </w:pBdr>
        <w:keepNext/>
        <w:widowControl w:val="true"/>
      </w:pPr>
      <w:r>
        <w:rPr>
          <w:rFonts w:ascii="Inter" w:hAnsi="Inter" w:eastAsia="Inter"/>
          <w:b/>
          <w:color w:val="303A59"/>
          <w:sz w:val="23"/>
        </w:rPr>
        <w:t>62. Rider Ability and Rider-Horse Suitability Boundary</w:t>
      </w:r>
    </w:p>
    <w:p>
      <w:pPr>
        <w:widowControl w:val="true"/>
      </w:pPr>
      <w:r>
        <w:rPr>
          <w:rFonts w:ascii="Inter" w:hAnsi="Inter" w:eastAsia="Inter"/>
          <w:b w:val="0"/>
          <w:color w:val="252A36"/>
          <w:sz w:val="18"/>
        </w:rPr>
        <w:t>AI may summarize instructor-entered observations, completed lessons, documented skills, incidents, goals, and progress. It may suggest topics for an instructor to review.</w:t>
      </w:r>
    </w:p>
    <w:p>
      <w:pPr>
        <w:widowControl w:val="true"/>
      </w:pPr>
      <w:r>
        <w:rPr>
          <w:rFonts w:ascii="Inter" w:hAnsi="Inter" w:eastAsia="Inter"/>
          <w:b w:val="0"/>
          <w:color w:val="252A36"/>
          <w:sz w:val="18"/>
        </w:rPr>
        <w:t>AI may not determine rider ability, assign a final riding level, rank riders for access or status, certify readiness, decide that a rider is safe for a horse or activity, or replace the judgment of an authorized instructor or trainer.</w:t>
      </w:r>
    </w:p>
    <w:p>
      <w:pPr>
        <w:widowControl w:val="true"/>
      </w:pPr>
      <w:r>
        <w:rPr>
          <w:rFonts w:ascii="Inter" w:hAnsi="Inter" w:eastAsia="Inter"/>
          <w:b w:val="0"/>
          <w:color w:val="252A36"/>
          <w:sz w:val="18"/>
        </w:rPr>
        <w:t>Any rider-horse matching suggestion must be explicitly nonbinding, based on current authorized records, explain material limitations, and receive safety review by a qualified human. AI may not use a match score to pressure an instructor, deny participation, or infer consent.</w:t>
      </w:r>
    </w:p>
    <w:p>
      <w:pPr>
        <w:widowControl w:val="true"/>
      </w:pPr>
      <w:r>
        <w:rPr>
          <w:rFonts w:ascii="Inter" w:hAnsi="Inter" w:eastAsia="Inter"/>
          <w:b w:val="0"/>
          <w:color w:val="252A36"/>
          <w:sz w:val="18"/>
        </w:rPr>
        <w:t>For minors, guardian, instructor, communication, supervision, and safeguarding requirements remain fully applicable. No minor may be behaviorally profiled or privately coached by AI in a manner that bypasses those controls.</w:t>
      </w:r>
    </w:p>
    <w:p>
      <w:pPr>
        <w:pStyle w:val="Heading2"/>
        <w:pBdr>
          <w:left w:val="single" w:sz="14" w:space="5" w:color="B8AECF"/>
        </w:pBdr>
        <w:keepNext/>
        <w:widowControl w:val="true"/>
      </w:pPr>
      <w:r>
        <w:rPr>
          <w:rFonts w:ascii="Inter" w:hAnsi="Inter" w:eastAsia="Inter"/>
          <w:b/>
          <w:color w:val="303A59"/>
          <w:sz w:val="23"/>
        </w:rPr>
        <w:t>63. Horse Lameness, Soundness, and Fitness Boundary</w:t>
      </w:r>
    </w:p>
    <w:p>
      <w:pPr>
        <w:widowControl w:val="true"/>
      </w:pPr>
      <w:r>
        <w:rPr>
          <w:rFonts w:ascii="Inter" w:hAnsi="Inter" w:eastAsia="Inter"/>
          <w:b w:val="0"/>
          <w:color w:val="252A36"/>
          <w:sz w:val="18"/>
        </w:rPr>
        <w:t>AI may identify possible movement asymmetry, changes in recorded gait, unusual behavior, or other signals that warrant review. It may recommend stopping work and obtaining an assessment when safety may be implicated.</w:t>
      </w:r>
    </w:p>
    <w:p>
      <w:pPr>
        <w:widowControl w:val="true"/>
      </w:pPr>
      <w:r>
        <w:rPr>
          <w:rFonts w:ascii="Inter" w:hAnsi="Inter" w:eastAsia="Inter"/>
          <w:b w:val="0"/>
          <w:color w:val="252A36"/>
          <w:sz w:val="18"/>
        </w:rPr>
        <w:t>AI may not determine that a horse is lame, determine that a horse is sound, diagnose the cause of altered movement, prescribe treatment, estimate a return-to-work date as fact, clear a horse for exercise, or override a veterinarian, farrier, therapist, trainer, owner, or safety rule.</w:t>
      </w:r>
    </w:p>
    <w:p>
      <w:pPr>
        <w:widowControl w:val="true"/>
      </w:pPr>
      <w:r>
        <w:rPr>
          <w:rFonts w:ascii="Inter" w:hAnsi="Inter" w:eastAsia="Inter"/>
          <w:b w:val="0"/>
          <w:color w:val="252A36"/>
          <w:sz w:val="18"/>
        </w:rPr>
        <w:t>Video, image, wearable, sensor, and historical-data analysis remain advisory signals only. Before any lameness-adjacent capability advances beyond synthetic testing, the use case requires qualified veterinary and domain review, validation across relevant conditions, false-reassurance analysis, image-quality controls, and explicit abstention rules.</w:t>
      </w:r>
    </w:p>
    <w:p>
      <w:pPr>
        <w:widowControl w:val="true"/>
      </w:pPr>
      <w:r>
        <w:rPr>
          <w:rFonts w:ascii="Inter" w:hAnsi="Inter" w:eastAsia="Inter"/>
          <w:b w:val="0"/>
          <w:color w:val="252A36"/>
          <w:sz w:val="18"/>
        </w:rPr>
        <w:t>Output language, product labels, marketing, alerts, and external claims may not imply veterinary diagnosis, validated lameness determination, soundness certification, or fitness clearance unless a future constitutional amendment and applicable professional and regulatory authority expressly permit it.</w:t>
      </w:r>
    </w:p>
    <w:p>
      <w:pPr>
        <w:pStyle w:val="Heading2"/>
        <w:pBdr>
          <w:left w:val="single" w:sz="14" w:space="5" w:color="B8AECF"/>
        </w:pBdr>
        <w:keepNext/>
        <w:widowControl w:val="true"/>
      </w:pPr>
      <w:r>
        <w:rPr>
          <w:rFonts w:ascii="Inter" w:hAnsi="Inter" w:eastAsia="Inter"/>
          <w:b/>
          <w:color w:val="303A59"/>
          <w:sz w:val="23"/>
        </w:rPr>
        <w:t>64. Financial Forecasting and Scenario Analysis</w:t>
      </w:r>
    </w:p>
    <w:p>
      <w:pPr>
        <w:widowControl w:val="true"/>
      </w:pPr>
      <w:r>
        <w:rPr>
          <w:rFonts w:ascii="Inter" w:hAnsi="Inter" w:eastAsia="Inter"/>
          <w:b w:val="0"/>
          <w:color w:val="252A36"/>
          <w:sz w:val="18"/>
        </w:rPr>
        <w:t>Financial forecasting is a permitted launch candidate at Tier 2. AI may model cash flow, revenue, expenses, inventory costs, utilization, subscription trends, or other scenarios using identified assumptions and source periods.</w:t>
      </w:r>
    </w:p>
    <w:p>
      <w:pPr>
        <w:widowControl w:val="true"/>
      </w:pPr>
      <w:r>
        <w:rPr>
          <w:rFonts w:ascii="Inter" w:hAnsi="Inter" w:eastAsia="Inter"/>
          <w:b w:val="0"/>
          <w:color w:val="252A36"/>
          <w:sz w:val="18"/>
        </w:rPr>
        <w:t>Forecasts are estimates, not Financial Truth. Each material forecast must identify its use-case version, source period, scenario assumptions, exclusions, currency, accounting basis where relevant, and sensitivity to key variables.</w:t>
      </w:r>
    </w:p>
    <w:p>
      <w:pPr>
        <w:widowControl w:val="true"/>
      </w:pPr>
      <w:r>
        <w:rPr>
          <w:rFonts w:ascii="Inter" w:hAnsi="Inter" w:eastAsia="Inter"/>
          <w:b w:val="0"/>
          <w:color w:val="252A36"/>
          <w:sz w:val="18"/>
        </w:rPr>
        <w:t>AI may not post accounting entries, make commitments, alter budgets, route funds, create liability, determine creditworthiness, determine ability to pay, personalize pricing using sensitive information, or represent a forecast as a reconciled ledger or guaranteed outcome.</w:t>
      </w:r>
    </w:p>
    <w:p>
      <w:pPr>
        <w:widowControl w:val="true"/>
      </w:pPr>
      <w:r>
        <w:rPr>
          <w:rFonts w:ascii="Inter" w:hAnsi="Inter" w:eastAsia="Inter"/>
          <w:b w:val="0"/>
          <w:color w:val="252A36"/>
          <w:sz w:val="18"/>
        </w:rPr>
        <w:t>Forecasting that materially influences lending, insurance, employment, collections, pricing, investment, or access requires separate legal, financial, fairness, and constitutional review. A forecast may inform an Authorized Human but may not become an unreviewed decision rule.</w:t>
      </w:r>
    </w:p>
    <w:p>
      <w:pPr>
        <w:pStyle w:val="Heading2"/>
        <w:pBdr>
          <w:left w:val="single" w:sz="14" w:space="5" w:color="B8AECF"/>
        </w:pBdr>
        <w:keepNext/>
        <w:widowControl w:val="true"/>
      </w:pPr>
      <w:r>
        <w:rPr>
          <w:rFonts w:ascii="Inter" w:hAnsi="Inter" w:eastAsia="Inter"/>
          <w:b/>
          <w:color w:val="303A59"/>
          <w:sz w:val="23"/>
        </w:rPr>
        <w:t>65. Automatic Collections and Payment Communications</w:t>
      </w:r>
    </w:p>
    <w:p>
      <w:pPr>
        <w:widowControl w:val="true"/>
      </w:pPr>
      <w:r>
        <w:rPr>
          <w:rFonts w:ascii="Inter" w:hAnsi="Inter" w:eastAsia="Inter"/>
          <w:b w:val="0"/>
          <w:color w:val="252A36"/>
          <w:sz w:val="18"/>
        </w:rPr>
        <w:t>Automatic collections is a permitted launch candidate only as Tier 4 Supervised Automation under the controlling Financial Truth and Responsibility canon and a separately approved implementation package.</w:t>
      </w:r>
    </w:p>
    <w:p>
      <w:pPr>
        <w:pStyle w:val="ListBullet"/>
        <w:keepLines w:val="0"/>
        <w:widowControl w:val="true"/>
      </w:pPr>
      <w:r>
        <w:rPr>
          <w:rFonts w:ascii="Inter" w:hAnsi="Inter" w:eastAsia="Inter"/>
          <w:b w:val="0"/>
          <w:color w:val="252A36"/>
          <w:sz w:val="18"/>
        </w:rPr>
        <w:t>Deterministic financial truth, not AI discretion, must establish the obligation, amount, due status, payment authorization, retry eligibility, dispute status, and posting treatment.</w:t>
      </w:r>
    </w:p>
    <w:p>
      <w:pPr>
        <w:pStyle w:val="ListBullet"/>
        <w:keepLines w:val="0"/>
        <w:widowControl w:val="true"/>
      </w:pPr>
      <w:r>
        <w:rPr>
          <w:rFonts w:ascii="Inter" w:hAnsi="Inter" w:eastAsia="Inter"/>
          <w:b w:val="0"/>
          <w:color w:val="252A36"/>
          <w:sz w:val="18"/>
        </w:rPr>
        <w:t>AI may send preapproved reminders, select among reviewed neutral variants, schedule an already authorized retry, request missing information, create a review task, or execute another predefined administrative step.</w:t>
      </w:r>
    </w:p>
    <w:p>
      <w:pPr>
        <w:pStyle w:val="ListBullet"/>
        <w:keepLines w:val="0"/>
        <w:widowControl w:val="true"/>
      </w:pPr>
      <w:r>
        <w:rPr>
          <w:rFonts w:ascii="Inter" w:hAnsi="Inter" w:eastAsia="Inter"/>
          <w:b w:val="0"/>
          <w:color w:val="252A36"/>
          <w:sz w:val="18"/>
        </w:rPr>
        <w:t>AI may not create a charge, determine legal liability, score willingness or ability to pay, infer vulnerability, resolve a dispute, deny a refund, waive a claim, alter a payment plan, select a collection remedy, threaten legal action, report credit, or restrict Essential Horse Care.</w:t>
      </w:r>
    </w:p>
    <w:p>
      <w:pPr>
        <w:pStyle w:val="ListBullet"/>
        <w:keepLines w:val="0"/>
        <w:widowControl w:val="true"/>
      </w:pPr>
      <w:r>
        <w:rPr>
          <w:rFonts w:ascii="Inter" w:hAnsi="Inter" w:eastAsia="Inter"/>
          <w:b w:val="0"/>
          <w:color w:val="252A36"/>
          <w:sz w:val="18"/>
        </w:rPr>
        <w:t>AI may not personalize pressure using health, family, minor, safeguarding, location, grief, disability, employment, immigration, legal, or other sensitive information.</w:t>
      </w:r>
    </w:p>
    <w:p>
      <w:pPr>
        <w:pStyle w:val="ListBullet"/>
        <w:keepLines w:val="0"/>
        <w:widowControl w:val="true"/>
      </w:pPr>
      <w:r>
        <w:rPr>
          <w:rFonts w:ascii="Inter" w:hAnsi="Inter" w:eastAsia="Inter"/>
          <w:b w:val="0"/>
          <w:color w:val="252A36"/>
          <w:sz w:val="18"/>
        </w:rPr>
        <w:t>Communication frequency, timing, channel, tone, quiet hours, escalation, and stop conditions must be deterministic, approved, and jurisdiction-aware.</w:t>
      </w:r>
    </w:p>
    <w:p>
      <w:pPr>
        <w:pStyle w:val="ListBullet"/>
        <w:keepLines w:val="0"/>
        <w:widowControl w:val="true"/>
      </w:pPr>
      <w:r>
        <w:rPr>
          <w:rFonts w:ascii="Inter" w:hAnsi="Inter" w:eastAsia="Inter"/>
          <w:b w:val="0"/>
          <w:color w:val="252A36"/>
          <w:sz w:val="18"/>
        </w:rPr>
        <w:t>Hardship, dispute, safeguarding, deceased-owner, estate, Horse Transfer, welfare, repeated failure, suspected fraud, or data-conflict conditions must route to human review.</w:t>
      </w:r>
    </w:p>
    <w:p>
      <w:pPr>
        <w:pStyle w:val="ListBullet"/>
        <w:keepLines w:val="0"/>
        <w:widowControl w:val="true"/>
      </w:pPr>
      <w:r>
        <w:rPr>
          <w:rFonts w:ascii="Inter" w:hAnsi="Inter" w:eastAsia="Inter"/>
          <w:b w:val="0"/>
          <w:color w:val="252A36"/>
          <w:sz w:val="18"/>
        </w:rPr>
        <w:t>Every communication and action must preserve notice, authorization, audit, pause, challenge, and human-assistance requirements.</w:t>
      </w:r>
    </w:p>
    <w:p>
      <w:pPr>
        <w:widowControl w:val="true"/>
      </w:pPr>
      <w:r>
        <w:rPr>
          <w:rFonts w:ascii="Inter" w:hAnsi="Inter" w:eastAsia="Inter"/>
          <w:b w:val="0"/>
          <w:color w:val="252A36"/>
          <w:sz w:val="18"/>
        </w:rPr>
        <w:t>AI optimization may not choose a more coercive message because it predicts a higher payment rate. Revenue performance may not override dignity, fairness, dispute rights, or horse welfare.</w:t>
      </w:r>
    </w:p>
    <w:p>
      <w:pPr>
        <w:pStyle w:val="Heading2"/>
        <w:pBdr>
          <w:left w:val="single" w:sz="14" w:space="5" w:color="B8AECF"/>
        </w:pBdr>
        <w:keepNext/>
        <w:widowControl w:val="true"/>
      </w:pPr>
      <w:r>
        <w:rPr>
          <w:rFonts w:ascii="Inter" w:hAnsi="Inter" w:eastAsia="Inter"/>
          <w:b/>
          <w:color w:val="303A59"/>
          <w:sz w:val="23"/>
        </w:rPr>
        <w:t>66. Agentic and Supervised Workflow Execution</w:t>
      </w:r>
    </w:p>
    <w:p>
      <w:pPr>
        <w:widowControl w:val="true"/>
      </w:pPr>
      <w:r>
        <w:rPr>
          <w:rFonts w:ascii="Inter" w:hAnsi="Inter" w:eastAsia="Inter"/>
          <w:b w:val="0"/>
          <w:color w:val="252A36"/>
          <w:sz w:val="18"/>
        </w:rPr>
        <w:t>Workflow execution is a permitted launch candidate only under Tier 4 Supervised Automation. Product language may use “agent” or “autonomous,” but constitutional and customer-facing descriptions must make clear that the system remains bounded by human-approved policy, purpose, permissions, thresholds, tools, and stop conditions.</w:t>
      </w:r>
    </w:p>
    <w:p>
      <w:pPr>
        <w:pStyle w:val="ListBullet"/>
        <w:keepLines w:val="0"/>
        <w:widowControl w:val="true"/>
      </w:pPr>
      <w:r>
        <w:rPr>
          <w:rFonts w:ascii="Inter" w:hAnsi="Inter" w:eastAsia="Inter"/>
          <w:b w:val="0"/>
          <w:color w:val="252A36"/>
          <w:sz w:val="18"/>
        </w:rPr>
        <w:t>Allowed examples may include routing a task, preparing a draft, updating a nonconsequential status, sending a preapproved notice, requesting missing information, or performing an idempotent administrative step.</w:t>
      </w:r>
    </w:p>
    <w:p>
      <w:pPr>
        <w:pStyle w:val="ListBullet"/>
        <w:keepLines w:val="0"/>
        <w:widowControl w:val="true"/>
      </w:pPr>
      <w:r>
        <w:rPr>
          <w:rFonts w:ascii="Inter" w:hAnsi="Inter" w:eastAsia="Inter"/>
          <w:b w:val="0"/>
          <w:color w:val="252A36"/>
          <w:sz w:val="18"/>
        </w:rPr>
        <w:t>The workflow must declare its agent identity, Responsible Organization, current user and tenant context, approved purpose, available tools, maximum action scope, side-effect limits, and stop conditions.</w:t>
      </w:r>
    </w:p>
    <w:p>
      <w:pPr>
        <w:pStyle w:val="ListBullet"/>
        <w:keepLines w:val="0"/>
        <w:widowControl w:val="true"/>
      </w:pPr>
      <w:r>
        <w:rPr>
          <w:rFonts w:ascii="Inter" w:hAnsi="Inter" w:eastAsia="Inter"/>
          <w:b w:val="0"/>
          <w:color w:val="252A36"/>
          <w:sz w:val="18"/>
        </w:rPr>
        <w:t>Every tool call must be authorized independently; permission to plan is not permission to execute.</w:t>
      </w:r>
    </w:p>
    <w:p>
      <w:pPr>
        <w:pStyle w:val="ListBullet"/>
        <w:keepLines w:val="0"/>
        <w:widowControl w:val="true"/>
      </w:pPr>
      <w:r>
        <w:rPr>
          <w:rFonts w:ascii="Inter" w:hAnsi="Inter" w:eastAsia="Inter"/>
          <w:b w:val="0"/>
          <w:color w:val="252A36"/>
          <w:sz w:val="18"/>
        </w:rPr>
        <w:t>The workflow must use preview or simulation for material actions, maintain a tamper-resistant action log, prevent duplicate effects, bound retries and recursive delegation, and provide override or rollback where practicable.</w:t>
      </w:r>
    </w:p>
    <w:p>
      <w:pPr>
        <w:pStyle w:val="ListBullet"/>
        <w:keepLines w:val="0"/>
        <w:widowControl w:val="true"/>
      </w:pPr>
      <w:r>
        <w:rPr>
          <w:rFonts w:ascii="Inter" w:hAnsi="Inter" w:eastAsia="Inter"/>
          <w:b w:val="0"/>
          <w:color w:val="252A36"/>
          <w:sz w:val="18"/>
        </w:rPr>
        <w:t>Untrusted Content may inform a task but may not expand tools, reveal secrets, change policy, alter recipients, change purpose, or override human authority.</w:t>
      </w:r>
    </w:p>
    <w:p>
      <w:pPr>
        <w:pStyle w:val="ListBullet"/>
        <w:keepLines w:val="0"/>
        <w:widowControl w:val="true"/>
      </w:pPr>
      <w:r>
        <w:rPr>
          <w:rFonts w:ascii="Inter" w:hAnsi="Inter" w:eastAsia="Inter"/>
          <w:b w:val="0"/>
          <w:color w:val="252A36"/>
          <w:sz w:val="18"/>
        </w:rPr>
        <w:t>The AI may not chain routine tools into a consequential outcome that no single tool was authorized to produce, divide one prohibited act into smaller permitted steps, use another agent to evade limits, or continue after a material context or permission change.</w:t>
      </w:r>
    </w:p>
    <w:p>
      <w:pPr>
        <w:pStyle w:val="ListBullet"/>
        <w:keepLines w:val="0"/>
        <w:widowControl w:val="true"/>
      </w:pPr>
      <w:r>
        <w:rPr>
          <w:rFonts w:ascii="Inter" w:hAnsi="Inter" w:eastAsia="Inter"/>
          <w:b w:val="0"/>
          <w:color w:val="252A36"/>
          <w:sz w:val="18"/>
        </w:rPr>
        <w:t>Long-running workflows must revalidate identity, permissions, source freshness, model version, and authority before consequential steps.</w:t>
      </w:r>
    </w:p>
    <w:p>
      <w:pPr>
        <w:pStyle w:val="ListBullet"/>
        <w:keepLines w:val="0"/>
        <w:widowControl w:val="true"/>
      </w:pPr>
      <w:r>
        <w:rPr>
          <w:rFonts w:ascii="Inter" w:hAnsi="Inter" w:eastAsia="Inter"/>
          <w:b w:val="0"/>
          <w:color w:val="252A36"/>
          <w:sz w:val="18"/>
        </w:rPr>
        <w:t>Code execution, shell access, browser action, payment tools, messaging, identity changes, data export, deletion, and external publication require separate tool-specific security and risk approval.</w:t>
      </w:r>
    </w:p>
    <w:p>
      <w:pPr>
        <w:widowControl w:val="true"/>
      </w:pPr>
      <w:r>
        <w:rPr>
          <w:rFonts w:ascii="Inter" w:hAnsi="Inter" w:eastAsia="Inter"/>
          <w:b w:val="0"/>
          <w:color w:val="252A36"/>
          <w:sz w:val="18"/>
        </w:rPr>
        <w:t>Agentic automation may never become the only path to authoritative records, Essential Horse Care, disputes, safety reporting, or human assistance.</w:t>
      </w:r>
    </w:p>
    <w:p>
      <w:pPr>
        <w:pStyle w:val="Heading2"/>
        <w:pBdr>
          <w:left w:val="single" w:sz="14" w:space="5" w:color="B8AECF"/>
        </w:pBdr>
        <w:keepNext/>
        <w:widowControl w:val="true"/>
      </w:pPr>
      <w:r>
        <w:rPr>
          <w:rFonts w:ascii="Inter" w:hAnsi="Inter" w:eastAsia="Inter"/>
          <w:b/>
          <w:color w:val="303A59"/>
          <w:sz w:val="23"/>
        </w:rPr>
        <w:t>67. Predictive Emergency Decisions and Emergency Assistance</w:t>
      </w:r>
    </w:p>
    <w:p>
      <w:pPr>
        <w:widowControl w:val="true"/>
      </w:pPr>
      <w:r>
        <w:rPr>
          <w:rFonts w:ascii="Inter" w:hAnsi="Inter" w:eastAsia="Inter"/>
          <w:b w:val="0"/>
          <w:color w:val="252A36"/>
          <w:sz w:val="18"/>
        </w:rPr>
        <w:t>Predictive Emergency Decisions remain deferred and prohibited for launch. AI may identify a potential concern, summarize relevant records, and issue an urgent alert, but it may not independently determine emergency status, treatment, transport, evacuation, euthanasia, denial of activity, or another emergency disposition.</w:t>
      </w:r>
    </w:p>
    <w:p>
      <w:pPr>
        <w:widowControl w:val="true"/>
      </w:pPr>
      <w:r>
        <w:rPr>
          <w:rFonts w:ascii="Inter" w:hAnsi="Inter" w:eastAsia="Inter"/>
          <w:b w:val="0"/>
          <w:color w:val="252A36"/>
          <w:sz w:val="18"/>
        </w:rPr>
        <w:t>Deterministic emergency rules or user-triggered emergency workflows may be separately governed, but an AI score may not suppress, delay, downgrade, or override them. AI must not delay a call to a veterinarian, emergency service, facility leader, guardian, owner, or other responsible person while seeking additional data or refining a prediction.</w:t>
      </w:r>
    </w:p>
    <w:p>
      <w:pPr>
        <w:widowControl w:val="true"/>
      </w:pPr>
      <w:r>
        <w:rPr>
          <w:rFonts w:ascii="Inter" w:hAnsi="Inter" w:eastAsia="Inter"/>
          <w:b w:val="0"/>
          <w:color w:val="252A36"/>
          <w:sz w:val="18"/>
        </w:rPr>
        <w:t>Emergency assistance must clearly state that it is not a diagnosis or final disposition, identify the reason for concern, present current contact and record information when authorized, and preserve a direct human-controlled path to action.</w:t>
      </w:r>
    </w:p>
    <w:p>
      <w:pPr>
        <w:widowControl w:val="true"/>
      </w:pPr>
      <w:r>
        <w:rPr>
          <w:rFonts w:ascii="Inter" w:hAnsi="Inter" w:eastAsia="Inter"/>
          <w:b w:val="0"/>
          <w:color w:val="252A36"/>
          <w:sz w:val="18"/>
        </w:rPr>
        <w:t>A future proposal for predictive emergency authority requires express constitutional reconsideration and cannot begin as an ordinary implementation package.</w:t>
      </w:r>
    </w:p>
    <w:p>
      <w:pPr>
        <w:pStyle w:val="Heading2"/>
        <w:pBdr>
          <w:left w:val="single" w:sz="14" w:space="5" w:color="B8AECF"/>
        </w:pBdr>
        <w:keepNext/>
        <w:widowControl w:val="true"/>
      </w:pPr>
      <w:r>
        <w:rPr>
          <w:rFonts w:ascii="Inter" w:hAnsi="Inter" w:eastAsia="Inter"/>
          <w:b/>
          <w:color w:val="303A59"/>
          <w:sz w:val="23"/>
        </w:rPr>
        <w:t>68. Support and Onboarding Assistance</w:t>
      </w:r>
    </w:p>
    <w:p>
      <w:pPr>
        <w:widowControl w:val="true"/>
      </w:pPr>
      <w:r>
        <w:rPr>
          <w:rFonts w:ascii="Inter" w:hAnsi="Inter" w:eastAsia="Inter"/>
          <w:b w:val="0"/>
          <w:color w:val="252A36"/>
          <w:sz w:val="18"/>
        </w:rPr>
        <w:t>AI may assist users with product navigation, setup guidance, education, and troubleshooting. It must distinguish product guidance from legal, veterinary, financial, or professional advice and must not expose records the user cannot access.</w:t>
      </w:r>
    </w:p>
    <w:p>
      <w:pPr>
        <w:pStyle w:val="Heading2"/>
        <w:pBdr>
          <w:left w:val="single" w:sz="14" w:space="5" w:color="B8AECF"/>
        </w:pBdr>
        <w:keepNext/>
        <w:widowControl w:val="true"/>
      </w:pPr>
      <w:r>
        <w:rPr>
          <w:rFonts w:ascii="Inter" w:hAnsi="Inter" w:eastAsia="Inter"/>
          <w:b/>
          <w:color w:val="303A59"/>
          <w:sz w:val="23"/>
        </w:rPr>
        <w:t>69. Image, Audio, Video, Sensor, and Computer-Vision Outputs</w:t>
      </w:r>
    </w:p>
    <w:p>
      <w:pPr>
        <w:widowControl w:val="true"/>
      </w:pPr>
      <w:r>
        <w:rPr>
          <w:rFonts w:ascii="Inter" w:hAnsi="Inter" w:eastAsia="Inter"/>
          <w:b w:val="0"/>
          <w:color w:val="252A36"/>
          <w:sz w:val="18"/>
        </w:rPr>
        <w:t>Computer-vision, audio, wearable, and sensor-analysis results must disclose that they are image-, audio-, or sensor-based estimates; identify quality, coverage, device, environmental, and sampling limitations; and avoid unsupported identity, health, lameness, body-condition, behavior, equipment-safety, or inventory conclusions.</w:t>
      </w:r>
    </w:p>
    <w:p>
      <w:pPr>
        <w:widowControl w:val="true"/>
      </w:pPr>
      <w:r>
        <w:rPr>
          <w:rFonts w:ascii="Inter" w:hAnsi="Inter" w:eastAsia="Inter"/>
          <w:b w:val="0"/>
          <w:color w:val="252A36"/>
          <w:sz w:val="18"/>
        </w:rPr>
        <w:t>A visually or statistically plausible result is not proof. Safety-sensitive findings require qualified human confirmation.</w:t>
      </w:r>
    </w:p>
    <w:p>
      <w:pPr>
        <w:widowControl w:val="true"/>
      </w:pPr>
      <w:r>
        <w:rPr>
          <w:rFonts w:ascii="Inter" w:hAnsi="Inter" w:eastAsia="Inter"/>
          <w:b w:val="0"/>
          <w:color w:val="252A36"/>
          <w:sz w:val="18"/>
        </w:rPr>
        <w:t>AI may not perform covert biometric identification, face recognition, gait identification of people, emotion recognition, lie detection, or sensitive-trait inference. Incidental people, minors, license plates, addresses, voices, geolocation, and private facility details must be minimized or protected.</w:t>
      </w:r>
    </w:p>
    <w:p>
      <w:pPr>
        <w:widowControl w:val="true"/>
      </w:pPr>
      <w:r>
        <w:rPr>
          <w:rFonts w:ascii="Inter" w:hAnsi="Inter" w:eastAsia="Inter"/>
          <w:b w:val="0"/>
          <w:color w:val="252A36"/>
          <w:sz w:val="18"/>
        </w:rPr>
        <w:t>Generated or materially altered media must follow the labeling, intellectual-integrity, and provenance requirements in Section 50. AI output may not be introduced as unverified evidence of horse condition, human conduct, attendance, consent, inspection, or an event.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VI: GOVERNANCE, TESTING, OPERATIONS, AND ADOPTION</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70. AI Governance Roles, Accountability, and Separation of Duties</w:t>
      </w:r>
    </w:p>
    <w:p>
      <w:pPr>
        <w:pStyle w:val="ListBullet"/>
        <w:keepLines w:val="0"/>
        <w:widowControl w:val="true"/>
      </w:pPr>
      <w:r>
        <w:rPr>
          <w:rFonts w:ascii="Inter" w:hAnsi="Inter" w:eastAsia="Inter"/>
          <w:b/>
          <w:color w:val="252A36"/>
          <w:sz w:val="18"/>
        </w:rPr>
        <w:t>Founder or designated constitutional authority:</w:t>
      </w:r>
      <w:r>
        <w:rPr>
          <w:rFonts w:ascii="Inter" w:hAnsi="Inter" w:eastAsia="Inter"/>
          <w:b w:val="0"/>
          <w:color w:val="252A36"/>
          <w:sz w:val="18"/>
        </w:rPr>
        <w:t xml:space="preserve"> approves constitutional policy, nondelegable zones, major risk posture, and constitutional amendments.</w:t>
      </w:r>
    </w:p>
    <w:p>
      <w:pPr>
        <w:pStyle w:val="ListBullet"/>
        <w:keepLines w:val="0"/>
        <w:widowControl w:val="true"/>
      </w:pPr>
      <w:r>
        <w:rPr>
          <w:rFonts w:ascii="Inter" w:hAnsi="Inter" w:eastAsia="Inter"/>
          <w:b/>
          <w:color w:val="252A36"/>
          <w:sz w:val="18"/>
        </w:rPr>
        <w:t>AI Governance Owner:</w:t>
      </w:r>
      <w:r>
        <w:rPr>
          <w:rFonts w:ascii="Inter" w:hAnsi="Inter" w:eastAsia="Inter"/>
          <w:b w:val="0"/>
          <w:color w:val="252A36"/>
          <w:sz w:val="18"/>
        </w:rPr>
        <w:t xml:space="preserve"> maintains the governance program, registries, review process, training, reporting, and incident coordination.</w:t>
      </w:r>
    </w:p>
    <w:p>
      <w:pPr>
        <w:pStyle w:val="ListBullet"/>
        <w:keepLines w:val="0"/>
        <w:widowControl w:val="true"/>
      </w:pPr>
      <w:r>
        <w:rPr>
          <w:rFonts w:ascii="Inter" w:hAnsi="Inter" w:eastAsia="Inter"/>
          <w:b/>
          <w:color w:val="252A36"/>
          <w:sz w:val="18"/>
        </w:rPr>
        <w:t>Responsible Organization:</w:t>
      </w:r>
      <w:r>
        <w:rPr>
          <w:rFonts w:ascii="Inter" w:hAnsi="Inter" w:eastAsia="Inter"/>
          <w:b w:val="0"/>
          <w:color w:val="252A36"/>
          <w:sz w:val="18"/>
        </w:rPr>
        <w:t xml:space="preserve"> remains accountable for the use case and its effects within EquineSync or the applicable tenant operation.</w:t>
      </w:r>
    </w:p>
    <w:p>
      <w:pPr>
        <w:pStyle w:val="ListBullet"/>
        <w:keepLines w:val="0"/>
        <w:widowControl w:val="true"/>
      </w:pPr>
      <w:r>
        <w:rPr>
          <w:rFonts w:ascii="Inter" w:hAnsi="Inter" w:eastAsia="Inter"/>
          <w:b/>
          <w:color w:val="252A36"/>
          <w:sz w:val="18"/>
        </w:rPr>
        <w:t>Domain Owner:</w:t>
      </w:r>
      <w:r>
        <w:rPr>
          <w:rFonts w:ascii="Inter" w:hAnsi="Inter" w:eastAsia="Inter"/>
          <w:b w:val="0"/>
          <w:color w:val="252A36"/>
          <w:sz w:val="18"/>
        </w:rPr>
        <w:t xml:space="preserve"> confirms that the use case respects governing business, horse-care, financial, communications, safeguarding, employment, or operational rules.</w:t>
      </w:r>
    </w:p>
    <w:p>
      <w:pPr>
        <w:pStyle w:val="ListBullet"/>
        <w:keepLines w:val="0"/>
        <w:widowControl w:val="true"/>
      </w:pPr>
      <w:r>
        <w:rPr>
          <w:rFonts w:ascii="Inter" w:hAnsi="Inter" w:eastAsia="Inter"/>
          <w:b/>
          <w:color w:val="252A36"/>
          <w:sz w:val="18"/>
        </w:rPr>
        <w:t>Security and Privacy Owners:</w:t>
      </w:r>
      <w:r>
        <w:rPr>
          <w:rFonts w:ascii="Inter" w:hAnsi="Inter" w:eastAsia="Inter"/>
          <w:b w:val="0"/>
          <w:color w:val="252A36"/>
          <w:sz w:val="18"/>
        </w:rPr>
        <w:t xml:space="preserve"> validate data flows, provider terms, permissions, retention, threat protections, incident handling, and customer control.</w:t>
      </w:r>
    </w:p>
    <w:p>
      <w:pPr>
        <w:pStyle w:val="ListBullet"/>
        <w:keepLines w:val="0"/>
        <w:widowControl w:val="true"/>
      </w:pPr>
      <w:r>
        <w:rPr>
          <w:rFonts w:ascii="Inter" w:hAnsi="Inter" w:eastAsia="Inter"/>
          <w:b/>
          <w:color w:val="252A36"/>
          <w:sz w:val="18"/>
        </w:rPr>
        <w:t>Professional Reviewer:</w:t>
      </w:r>
      <w:r>
        <w:rPr>
          <w:rFonts w:ascii="Inter" w:hAnsi="Inter" w:eastAsia="Inter"/>
          <w:b w:val="0"/>
          <w:color w:val="252A36"/>
          <w:sz w:val="18"/>
        </w:rPr>
        <w:t xml:space="preserve"> provides qualified review where veterinary, nutrition, training, financial, legal, safeguarding, employment, accessibility, or other professional judgment is materially implicated.</w:t>
      </w:r>
    </w:p>
    <w:p>
      <w:pPr>
        <w:pStyle w:val="ListBullet"/>
        <w:keepLines w:val="0"/>
        <w:widowControl w:val="true"/>
      </w:pPr>
      <w:r>
        <w:rPr>
          <w:rFonts w:ascii="Inter" w:hAnsi="Inter" w:eastAsia="Inter"/>
          <w:b/>
          <w:color w:val="252A36"/>
          <w:sz w:val="18"/>
        </w:rPr>
        <w:t>Product and Engineering Owners:</w:t>
      </w:r>
      <w:r>
        <w:rPr>
          <w:rFonts w:ascii="Inter" w:hAnsi="Inter" w:eastAsia="Inter"/>
          <w:b w:val="0"/>
          <w:color w:val="252A36"/>
          <w:sz w:val="18"/>
        </w:rPr>
        <w:t xml:space="preserve"> implement the approved tier, purpose, controls, monitoring, tests, fallback, and release boundary.</w:t>
      </w:r>
    </w:p>
    <w:p>
      <w:pPr>
        <w:pStyle w:val="ListBullet"/>
        <w:keepLines w:val="0"/>
        <w:widowControl w:val="true"/>
      </w:pPr>
      <w:r>
        <w:rPr>
          <w:rFonts w:ascii="Inter" w:hAnsi="Inter" w:eastAsia="Inter"/>
          <w:b/>
          <w:color w:val="252A36"/>
          <w:sz w:val="18"/>
        </w:rPr>
        <w:t>Authorized Human Reviewer:</w:t>
      </w:r>
      <w:r>
        <w:rPr>
          <w:rFonts w:ascii="Inter" w:hAnsi="Inter" w:eastAsia="Inter"/>
          <w:b w:val="0"/>
          <w:color w:val="252A36"/>
          <w:sz w:val="18"/>
        </w:rPr>
        <w:t xml:space="preserve"> reviews or approves outputs and actions within actual authority and competence.</w:t>
      </w:r>
    </w:p>
    <w:p>
      <w:pPr>
        <w:pStyle w:val="ListBullet"/>
        <w:keepLines w:val="0"/>
        <w:widowControl w:val="true"/>
      </w:pPr>
      <w:r>
        <w:rPr>
          <w:rFonts w:ascii="Inter" w:hAnsi="Inter" w:eastAsia="Inter"/>
          <w:b/>
          <w:color w:val="252A36"/>
          <w:sz w:val="18"/>
        </w:rPr>
        <w:t>Release Authority:</w:t>
      </w:r>
      <w:r>
        <w:rPr>
          <w:rFonts w:ascii="Inter" w:hAnsi="Inter" w:eastAsia="Inter"/>
          <w:b w:val="0"/>
          <w:color w:val="252A36"/>
          <w:sz w:val="18"/>
        </w:rPr>
        <w:t xml:space="preserve"> grants the exact stage authorized after confirming evidence and unresolved risk.</w:t>
      </w:r>
    </w:p>
    <w:p>
      <w:pPr>
        <w:widowControl w:val="true"/>
      </w:pPr>
      <w:r>
        <w:rPr>
          <w:rFonts w:ascii="Inter" w:hAnsi="Inter" w:eastAsia="Inter"/>
          <w:b w:val="0"/>
          <w:color w:val="252A36"/>
          <w:sz w:val="18"/>
        </w:rPr>
        <w:t>No single person or AI System may propose, evaluate, approve, release, and monitor a high-risk use case without documented compensating controls. A model or provider may supply evidence but may not approve its own safety case.</w:t>
      </w:r>
    </w:p>
    <w:p>
      <w:pPr>
        <w:pStyle w:val="Heading2"/>
        <w:pBdr>
          <w:left w:val="single" w:sz="14" w:space="5" w:color="B8AECF"/>
        </w:pBdr>
        <w:keepNext/>
        <w:widowControl w:val="true"/>
      </w:pPr>
      <w:r>
        <w:rPr>
          <w:rFonts w:ascii="Inter" w:hAnsi="Inter" w:eastAsia="Inter"/>
          <w:b/>
          <w:color w:val="303A59"/>
          <w:sz w:val="23"/>
        </w:rPr>
        <w:t>71. AI Use Case Registry and Identity</w:t>
      </w:r>
    </w:p>
    <w:p>
      <w:pPr>
        <w:widowControl w:val="true"/>
      </w:pPr>
      <w:r>
        <w:rPr>
          <w:rFonts w:ascii="Inter" w:hAnsi="Inter" w:eastAsia="Inter"/>
          <w:b w:val="0"/>
          <w:color w:val="252A36"/>
          <w:sz w:val="18"/>
        </w:rPr>
        <w:t>Every AI capability must have a unique use-case identifier and controlled registry entry before development with customer data, customer pilot, or production use. One product feature may contain multiple use cases when purposes, users, data, tiers, models, tools, or risks differ.</w:t>
      </w:r>
    </w:p>
    <w:p>
      <w:pPr>
        <w:widowControl w:val="true"/>
      </w:pPr>
      <w:r>
        <w:rPr>
          <w:rFonts w:ascii="Inter" w:hAnsi="Inter" w:eastAsia="Inter"/>
          <w:b w:val="0"/>
          <w:color w:val="252A36"/>
          <w:sz w:val="18"/>
        </w:rPr>
        <w:t>The registry must identify purpose, prohibited adjacent purposes, intended users, excluded users, jurisdictions, data, source systems, maximum tier, risk class, owners, professional reviewers, model or provider, tools, permissions, human review, limitations, evaluation evidence, safety-case status, monitoring, current authorization state, approval date, expiry, review date, and retirement plan.</w:t>
      </w:r>
    </w:p>
    <w:p>
      <w:pPr>
        <w:widowControl w:val="true"/>
      </w:pPr>
      <w:r>
        <w:rPr>
          <w:rFonts w:ascii="Inter" w:hAnsi="Inter" w:eastAsia="Inter"/>
          <w:b w:val="0"/>
          <w:color w:val="252A36"/>
          <w:sz w:val="18"/>
        </w:rPr>
        <w:t>A use case must have one accountable owner and one unambiguous current status. Concept, synthetic test, internal test, shadow, pilot, limited production, general production, suspended, expired, and retired states must not be conflated.</w:t>
      </w:r>
    </w:p>
    <w:p>
      <w:pPr>
        <w:widowControl w:val="true"/>
      </w:pPr>
      <w:r>
        <w:rPr>
          <w:rFonts w:ascii="Inter" w:hAnsi="Inter" w:eastAsia="Inter"/>
          <w:b w:val="0"/>
          <w:color w:val="252A36"/>
          <w:sz w:val="18"/>
        </w:rPr>
        <w:t>Material purpose expansion creates a new use case or requires formal reapproval. A registry entry may not become a catch-all authorization for “AI features.”</w:t>
      </w:r>
    </w:p>
    <w:p>
      <w:pPr>
        <w:pStyle w:val="Heading2"/>
        <w:pBdr>
          <w:left w:val="single" w:sz="14" w:space="5" w:color="B8AECF"/>
        </w:pBdr>
        <w:keepNext/>
        <w:widowControl w:val="true"/>
      </w:pPr>
      <w:r>
        <w:rPr>
          <w:rFonts w:ascii="Inter" w:hAnsi="Inter" w:eastAsia="Inter"/>
          <w:b/>
          <w:color w:val="303A59"/>
          <w:sz w:val="23"/>
        </w:rPr>
        <w:t>72. Model, Provider, and Supply-Chain Registry</w:t>
      </w:r>
    </w:p>
    <w:p>
      <w:pPr>
        <w:widowControl w:val="true"/>
      </w:pPr>
      <w:r>
        <w:rPr>
          <w:rFonts w:ascii="Inter" w:hAnsi="Inter" w:eastAsia="Inter"/>
          <w:b w:val="0"/>
          <w:color w:val="252A36"/>
          <w:sz w:val="18"/>
        </w:rPr>
        <w:t>Every model, provider, orchestration framework, embedding model, reranker, classifier, moderation service, agent runtime, evaluation service, and material AI dependency must be recorded with exact identifier and version where available, owner, hosting, processing location, subprocessors, data terms, retention, human-review policy, security posture, supported use cases, known limitations, change-notice obligations, evaluation status, and exit plan.</w:t>
      </w:r>
    </w:p>
    <w:p>
      <w:pPr>
        <w:widowControl w:val="true"/>
      </w:pPr>
      <w:r>
        <w:rPr>
          <w:rFonts w:ascii="Inter" w:hAnsi="Inter" w:eastAsia="Inter"/>
          <w:b w:val="0"/>
          <w:color w:val="252A36"/>
          <w:sz w:val="18"/>
        </w:rPr>
        <w:t>Production use must pin or otherwise control model behavior sufficiently to support reproducibility, incident reconstruction, and change review. Unregistered models, silent provider substitutions, uncontrolled automatic upgrades, undocumented fallback models, and provider-selected routing are prohibited unless the approved architecture can identify and govern the exact model used.</w:t>
      </w:r>
    </w:p>
    <w:p>
      <w:pPr>
        <w:widowControl w:val="true"/>
      </w:pPr>
      <w:r>
        <w:rPr>
          <w:rFonts w:ascii="Inter" w:hAnsi="Inter" w:eastAsia="Inter"/>
          <w:b w:val="0"/>
          <w:color w:val="252A36"/>
          <w:sz w:val="18"/>
        </w:rPr>
        <w:t>Supply-chain review must address provider acquisition, insolvency, service discontinuation, license change, model deprecation, open-source provenance, malicious model artifacts, compromised updates, dependency integrity, and the ability to suspend or replace the component.</w:t>
      </w:r>
    </w:p>
    <w:p>
      <w:pPr>
        <w:pStyle w:val="Heading2"/>
        <w:pBdr>
          <w:left w:val="single" w:sz="14" w:space="5" w:color="B8AECF"/>
        </w:pBdr>
        <w:keepNext/>
        <w:widowControl w:val="true"/>
      </w:pPr>
      <w:r>
        <w:rPr>
          <w:rFonts w:ascii="Inter" w:hAnsi="Inter" w:eastAsia="Inter"/>
          <w:b/>
          <w:color w:val="303A59"/>
          <w:sz w:val="23"/>
        </w:rPr>
        <w:t>73. Prompt, Policy, Retrieval, and Tool Registry</w:t>
      </w:r>
    </w:p>
    <w:p>
      <w:pPr>
        <w:widowControl w:val="true"/>
      </w:pPr>
      <w:r>
        <w:rPr>
          <w:rFonts w:ascii="Inter" w:hAnsi="Inter" w:eastAsia="Inter"/>
          <w:b w:val="0"/>
          <w:color w:val="252A36"/>
          <w:sz w:val="18"/>
        </w:rPr>
        <w:t>System prompts, policy prompts, decision rules, retrieval instructions, tool definitions, action scopes, refusal rules, output schemas, and material guardrails must be versioned and reviewable. Production changes must follow controlled release and rollback procedures.</w:t>
      </w:r>
    </w:p>
    <w:p>
      <w:pPr>
        <w:widowControl w:val="true"/>
      </w:pPr>
      <w:r>
        <w:rPr>
          <w:rFonts w:ascii="Inter" w:hAnsi="Inter" w:eastAsia="Inter"/>
          <w:b w:val="0"/>
          <w:color w:val="252A36"/>
          <w:sz w:val="18"/>
        </w:rPr>
        <w:t>Prompts and retrieved content must be classified by trust level. User content, documents, messages, web content, and tool output may contain prompt injection and must not override constitutional policy, security rules, or tool authorization.</w:t>
      </w:r>
    </w:p>
    <w:p>
      <w:pPr>
        <w:pStyle w:val="Heading2"/>
        <w:pBdr>
          <w:left w:val="single" w:sz="14" w:space="5" w:color="B8AECF"/>
        </w:pBdr>
        <w:keepNext/>
        <w:widowControl w:val="true"/>
      </w:pPr>
      <w:r>
        <w:rPr>
          <w:rFonts w:ascii="Inter" w:hAnsi="Inter" w:eastAsia="Inter"/>
          <w:b/>
          <w:color w:val="303A59"/>
          <w:sz w:val="23"/>
        </w:rPr>
        <w:t>74. Mandatory Pre-Implementation AI Safety Case</w:t>
      </w:r>
    </w:p>
    <w:p>
      <w:pPr>
        <w:widowControl w:val="true"/>
      </w:pPr>
      <w:r>
        <w:rPr>
          <w:rFonts w:ascii="Inter" w:hAnsi="Inter" w:eastAsia="Inter"/>
          <w:b w:val="0"/>
          <w:color w:val="252A36"/>
          <w:sz w:val="18"/>
        </w:rPr>
        <w:t>Before implementation beyond synthetic testing, each use case must have a controlled Safety Case under Appendix I. The Safety Case must identify the exact claim being made: that the use case is acceptably safe and constitutionally compliant for a defined stage, population, jurisdiction, data scope, model version, tool set, and operating condition.</w:t>
      </w:r>
    </w:p>
    <w:p>
      <w:pPr>
        <w:widowControl w:val="true"/>
      </w:pPr>
      <w:r>
        <w:rPr>
          <w:rFonts w:ascii="Inter" w:hAnsi="Inter" w:eastAsia="Inter"/>
          <w:b w:val="0"/>
          <w:color w:val="252A36"/>
          <w:sz w:val="18"/>
        </w:rPr>
        <w:t>The Safety Case must assess safety, horse welfare, human impact, data sensitivity, purpose limitation, permission risk, financial impact, professional boundaries, bias, explainability, reversibility, provider dependency, offline behavior, misuse, failure modes, cumulative effects, accessibility, human-review quality, and non-AI fallback.</w:t>
      </w:r>
    </w:p>
    <w:p>
      <w:pPr>
        <w:widowControl w:val="true"/>
      </w:pPr>
      <w:r>
        <w:rPr>
          <w:rFonts w:ascii="Inter" w:hAnsi="Inter" w:eastAsia="Inter"/>
          <w:b w:val="0"/>
          <w:color w:val="252A36"/>
          <w:sz w:val="18"/>
        </w:rPr>
        <w:t>It must justify the maximum tier and risk class, identify prohibited outputs and excluded populations, define abstention and escalation conditions, document evidence and unresolved limitations, name the accountable risk owner, state residual risk, specify expiry and review triggers, and identify the exact stage sought.</w:t>
      </w:r>
    </w:p>
    <w:p>
      <w:pPr>
        <w:widowControl w:val="true"/>
      </w:pPr>
      <w:r>
        <w:rPr>
          <w:rFonts w:ascii="Inter" w:hAnsi="Inter" w:eastAsia="Inter"/>
          <w:b w:val="0"/>
          <w:color w:val="252A36"/>
          <w:sz w:val="18"/>
        </w:rPr>
        <w:t>A checklist without evidence is not a Safety Case. Provider documentation, benchmark scores, or absence of known incidents is not sufficient by itself.</w:t>
      </w:r>
    </w:p>
    <w:p>
      <w:pPr>
        <w:pStyle w:val="Heading2"/>
        <w:pBdr>
          <w:left w:val="single" w:sz="14" w:space="5" w:color="B8AECF"/>
        </w:pBdr>
        <w:keepNext/>
        <w:widowControl w:val="true"/>
      </w:pPr>
      <w:r>
        <w:rPr>
          <w:rFonts w:ascii="Inter" w:hAnsi="Inter" w:eastAsia="Inter"/>
          <w:b/>
          <w:color w:val="303A59"/>
          <w:sz w:val="23"/>
        </w:rPr>
        <w:t>75. Evaluation Data, Acceptance Criteria, and Independent Evidence</w:t>
      </w:r>
    </w:p>
    <w:p>
      <w:pPr>
        <w:widowControl w:val="true"/>
      </w:pPr>
      <w:r>
        <w:rPr>
          <w:rFonts w:ascii="Inter" w:hAnsi="Inter" w:eastAsia="Inter"/>
          <w:b w:val="0"/>
          <w:color w:val="252A36"/>
          <w:sz w:val="18"/>
        </w:rPr>
        <w:t>Each AI use case must have measurable acceptance criteria appropriate to its purpose and risk. Evaluation may include factual grounding, extraction accuracy, source attribution, temporal accuracy, false reassurance, false positives, false negatives, permission leakage, uncertainty behavior, action safety, bias, robustness, refusal quality, professional review quality, accessibility, and recovery from tool failure.</w:t>
      </w:r>
    </w:p>
    <w:p>
      <w:pPr>
        <w:widowControl w:val="true"/>
      </w:pPr>
      <w:r>
        <w:rPr>
          <w:rFonts w:ascii="Inter" w:hAnsi="Inter" w:eastAsia="Inter"/>
          <w:b w:val="0"/>
          <w:color w:val="252A36"/>
          <w:sz w:val="18"/>
        </w:rPr>
        <w:t>Averages alone are insufficient when a small class of errors could cause serious harm. Acceptance criteria must include critical-error ceilings, risk-weighted thresholds, subgroup and edge-case testing where relevant, and domain-specific examples.</w:t>
      </w:r>
    </w:p>
    <w:p>
      <w:pPr>
        <w:widowControl w:val="true"/>
      </w:pPr>
      <w:r>
        <w:rPr>
          <w:rFonts w:ascii="Inter" w:hAnsi="Inter" w:eastAsia="Inter"/>
          <w:b w:val="0"/>
          <w:color w:val="252A36"/>
          <w:sz w:val="18"/>
        </w:rPr>
        <w:t>Evaluation datasets must have documented origin, rights, licensing, privacy posture, representativeness, contamination controls, known gaps, and separation from production decision authority. Customer Operational Data may not be repurposed for General or Shared Model evaluation or improvement.</w:t>
      </w:r>
    </w:p>
    <w:p>
      <w:pPr>
        <w:widowControl w:val="true"/>
      </w:pPr>
      <w:r>
        <w:rPr>
          <w:rFonts w:ascii="Inter" w:hAnsi="Inter" w:eastAsia="Inter"/>
          <w:b w:val="0"/>
          <w:color w:val="252A36"/>
          <w:sz w:val="18"/>
        </w:rPr>
        <w:t>Higher-risk use cases require independent or cross-functional review of evidence. A team may not approve a use case solely on tests it designed and interpreted without challenge. Failed or ambiguous critical tests block progression until resolved or the use case is narrowed.</w:t>
      </w:r>
    </w:p>
    <w:p>
      <w:pPr>
        <w:pStyle w:val="Heading2"/>
        <w:pBdr>
          <w:left w:val="single" w:sz="14" w:space="5" w:color="B8AECF"/>
        </w:pBdr>
        <w:keepNext/>
        <w:widowControl w:val="true"/>
      </w:pPr>
      <w:r>
        <w:rPr>
          <w:rFonts w:ascii="Inter" w:hAnsi="Inter" w:eastAsia="Inter"/>
          <w:b/>
          <w:color w:val="303A59"/>
          <w:sz w:val="23"/>
        </w:rPr>
        <w:t>76. Safety, Adversarial, Misuse, and System-Composition Testing</w:t>
      </w:r>
    </w:p>
    <w:p>
      <w:pPr>
        <w:widowControl w:val="true"/>
      </w:pPr>
      <w:r>
        <w:rPr>
          <w:rFonts w:ascii="Inter" w:hAnsi="Inter" w:eastAsia="Inter"/>
          <w:b w:val="0"/>
          <w:color w:val="252A36"/>
          <w:sz w:val="18"/>
        </w:rPr>
        <w:t>Higher-risk use cases must be tested for prompt injection, malicious attachments, indirect instructions, data exfiltration, cross-tenant leakage, tool abuse, role confusion, unsafe medical or welfare advice, financial manipulation, deceptive communications, sensitive-trait inference, model extraction, denial-of-service patterns, and attempts to bypass human review.</w:t>
      </w:r>
    </w:p>
    <w:p>
      <w:pPr>
        <w:widowControl w:val="true"/>
      </w:pPr>
      <w:r>
        <w:rPr>
          <w:rFonts w:ascii="Inter" w:hAnsi="Inter" w:eastAsia="Inter"/>
          <w:b w:val="0"/>
          <w:color w:val="252A36"/>
          <w:sz w:val="18"/>
        </w:rPr>
        <w:t>Testing must include accidental failure and intentional misuse by users, insiders, compromised accounts, providers, third-party content, and interacting agents. It must test the composed workflow, not only the model in isolation.</w:t>
      </w:r>
    </w:p>
    <w:p>
      <w:pPr>
        <w:widowControl w:val="true"/>
      </w:pPr>
      <w:r>
        <w:rPr>
          <w:rFonts w:ascii="Inter" w:hAnsi="Inter" w:eastAsia="Inter"/>
          <w:b w:val="0"/>
          <w:color w:val="252A36"/>
          <w:sz w:val="18"/>
        </w:rPr>
        <w:t>A capability that cannot safely handle Untrusted Content must be technically isolated from tools and sensitive data. A model that performs safely in chat may still be unsafe when connected to records, payments, messaging, code, browser, or mutation tools.</w:t>
      </w:r>
    </w:p>
    <w:p>
      <w:pPr>
        <w:widowControl w:val="true"/>
      </w:pPr>
      <w:r>
        <w:rPr>
          <w:rFonts w:ascii="Inter" w:hAnsi="Inter" w:eastAsia="Inter"/>
          <w:b w:val="0"/>
          <w:color w:val="252A36"/>
          <w:sz w:val="18"/>
        </w:rPr>
        <w:t>Red-team findings, unresolved limitations, and residual risk must be linked to the Safety Case. Security testing does not substitute for domain safety testing, and domain testing does not substitute for security testing.</w:t>
      </w:r>
    </w:p>
    <w:p>
      <w:pPr>
        <w:pStyle w:val="Heading2"/>
        <w:pBdr>
          <w:left w:val="single" w:sz="14" w:space="5" w:color="B8AECF"/>
        </w:pBdr>
        <w:keepNext/>
        <w:widowControl w:val="true"/>
      </w:pPr>
      <w:r>
        <w:rPr>
          <w:rFonts w:ascii="Inter" w:hAnsi="Inter" w:eastAsia="Inter"/>
          <w:b/>
          <w:color w:val="303A59"/>
          <w:sz w:val="23"/>
        </w:rPr>
        <w:t>77. Bias, Fairness, Invalid Proxies, and Unequal Protection</w:t>
      </w:r>
    </w:p>
    <w:p>
      <w:pPr>
        <w:widowControl w:val="true"/>
      </w:pPr>
      <w:r>
        <w:rPr>
          <w:rFonts w:ascii="Inter" w:hAnsi="Inter" w:eastAsia="Inter"/>
          <w:b w:val="0"/>
          <w:color w:val="252A36"/>
          <w:sz w:val="18"/>
        </w:rPr>
        <w:t>AI must not discriminate or make unjustified judgments based on protected traits, disability, age, socioeconomic status, or proxies for those traits.</w:t>
      </w:r>
    </w:p>
    <w:p>
      <w:pPr>
        <w:widowControl w:val="true"/>
      </w:pPr>
      <w:r>
        <w:rPr>
          <w:rFonts w:ascii="Inter" w:hAnsi="Inter" w:eastAsia="Inter"/>
          <w:b w:val="0"/>
          <w:color w:val="252A36"/>
          <w:sz w:val="18"/>
        </w:rPr>
        <w:t>Equine-specific scoring must not treat breed, color, discipline, purchase price, show history, barn affiliation, owner resources, insurance status, access to professional care, or record completeness as proof of temperament, welfare, suitability, ability, compliance, or safety without valid and relevant evidence.</w:t>
      </w:r>
    </w:p>
    <w:p>
      <w:pPr>
        <w:widowControl w:val="true"/>
      </w:pPr>
      <w:r>
        <w:rPr>
          <w:rFonts w:ascii="Inter" w:hAnsi="Inter" w:eastAsia="Inter"/>
          <w:b w:val="0"/>
          <w:color w:val="252A36"/>
          <w:sz w:val="18"/>
        </w:rPr>
        <w:t>Fairness review must consider who is missing from the data, who receives more alerts, who bears false positives or false negatives, whose records are less complete, whose language or accessibility needs reduce model performance, and whether automation provides unequal safety protection.</w:t>
      </w:r>
    </w:p>
    <w:p>
      <w:pPr>
        <w:widowControl w:val="true"/>
      </w:pPr>
      <w:r>
        <w:rPr>
          <w:rFonts w:ascii="Inter" w:hAnsi="Inter" w:eastAsia="Inter"/>
          <w:b w:val="0"/>
          <w:color w:val="252A36"/>
          <w:sz w:val="18"/>
        </w:rPr>
        <w:t>A use case may not proceed merely because aggregate accuracy is high when a vulnerable, minor, disabled, low-resource, or underrepresented group bears materially greater risk. Where a fair and safe threshold cannot be established, the use case must be narrowed or withheld.</w:t>
      </w:r>
    </w:p>
    <w:p>
      <w:pPr>
        <w:pStyle w:val="Heading2"/>
        <w:pBdr>
          <w:left w:val="single" w:sz="14" w:space="5" w:color="B8AECF"/>
        </w:pBdr>
        <w:keepNext/>
        <w:widowControl w:val="true"/>
      </w:pPr>
      <w:r>
        <w:rPr>
          <w:rFonts w:ascii="Inter" w:hAnsi="Inter" w:eastAsia="Inter"/>
          <w:b/>
          <w:color w:val="303A59"/>
          <w:sz w:val="23"/>
        </w:rPr>
        <w:t>78. Security Controls for Agents and Tools</w:t>
      </w:r>
    </w:p>
    <w:p>
      <w:pPr>
        <w:pStyle w:val="ListBullet"/>
        <w:keepLines w:val="0"/>
        <w:widowControl w:val="true"/>
      </w:pPr>
      <w:r>
        <w:rPr>
          <w:rFonts w:ascii="Inter" w:hAnsi="Inter" w:eastAsia="Inter"/>
          <w:b w:val="0"/>
          <w:color w:val="252A36"/>
          <w:sz w:val="18"/>
        </w:rPr>
        <w:t>Least-privilege tool access, short-lived credentials, and separate service identities.</w:t>
      </w:r>
    </w:p>
    <w:p>
      <w:pPr>
        <w:pStyle w:val="ListBullet"/>
        <w:keepLines w:val="0"/>
        <w:widowControl w:val="true"/>
      </w:pPr>
      <w:r>
        <w:rPr>
          <w:rFonts w:ascii="Inter" w:hAnsi="Inter" w:eastAsia="Inter"/>
          <w:b w:val="0"/>
          <w:color w:val="252A36"/>
          <w:sz w:val="18"/>
        </w:rPr>
        <w:t>Explicit allowlists for actions, systems, records, recipients, domains, and network egress.</w:t>
      </w:r>
    </w:p>
    <w:p>
      <w:pPr>
        <w:pStyle w:val="ListBullet"/>
        <w:keepLines w:val="0"/>
        <w:widowControl w:val="true"/>
      </w:pPr>
      <w:r>
        <w:rPr>
          <w:rFonts w:ascii="Inter" w:hAnsi="Inter" w:eastAsia="Inter"/>
          <w:b w:val="0"/>
          <w:color w:val="252A36"/>
          <w:sz w:val="18"/>
        </w:rPr>
        <w:t>Secrets must be injected outside model context and must never be displayed, logged, summarized, or reused by the model.</w:t>
      </w:r>
    </w:p>
    <w:p>
      <w:pPr>
        <w:pStyle w:val="ListBullet"/>
        <w:keepLines w:val="0"/>
        <w:widowControl w:val="true"/>
      </w:pPr>
      <w:r>
        <w:rPr>
          <w:rFonts w:ascii="Inter" w:hAnsi="Inter" w:eastAsia="Inter"/>
          <w:b w:val="0"/>
          <w:color w:val="252A36"/>
          <w:sz w:val="18"/>
        </w:rPr>
        <w:t>Dry-run, preview, or simulation modes for material actions.</w:t>
      </w:r>
    </w:p>
    <w:p>
      <w:pPr>
        <w:pStyle w:val="ListBullet"/>
        <w:keepLines w:val="0"/>
        <w:widowControl w:val="true"/>
      </w:pPr>
      <w:r>
        <w:rPr>
          <w:rFonts w:ascii="Inter" w:hAnsi="Inter" w:eastAsia="Inter"/>
          <w:b w:val="0"/>
          <w:color w:val="252A36"/>
          <w:sz w:val="18"/>
        </w:rPr>
        <w:t>Idempotency, duplicate-action prevention, transaction boundaries, and partial-failure detection.</w:t>
      </w:r>
    </w:p>
    <w:p>
      <w:pPr>
        <w:pStyle w:val="ListBullet"/>
        <w:keepLines w:val="0"/>
        <w:widowControl w:val="true"/>
      </w:pPr>
      <w:r>
        <w:rPr>
          <w:rFonts w:ascii="Inter" w:hAnsi="Inter" w:eastAsia="Inter"/>
          <w:b w:val="0"/>
          <w:color w:val="252A36"/>
          <w:sz w:val="18"/>
        </w:rPr>
        <w:t>Transaction, quantity, cost, duration, recursion, retry, and frequency limits.</w:t>
      </w:r>
    </w:p>
    <w:p>
      <w:pPr>
        <w:pStyle w:val="ListBullet"/>
        <w:keepLines w:val="0"/>
        <w:widowControl w:val="true"/>
      </w:pPr>
      <w:r>
        <w:rPr>
          <w:rFonts w:ascii="Inter" w:hAnsi="Inter" w:eastAsia="Inter"/>
          <w:b w:val="0"/>
          <w:color w:val="252A36"/>
          <w:sz w:val="18"/>
        </w:rPr>
        <w:t>Input isolation, prompt-injection defenses, schema validation, and output validation.</w:t>
      </w:r>
    </w:p>
    <w:p>
      <w:pPr>
        <w:pStyle w:val="ListBullet"/>
        <w:keepLines w:val="0"/>
        <w:widowControl w:val="true"/>
      </w:pPr>
      <w:r>
        <w:rPr>
          <w:rFonts w:ascii="Inter" w:hAnsi="Inter" w:eastAsia="Inter"/>
          <w:b w:val="0"/>
          <w:color w:val="252A36"/>
          <w:sz w:val="18"/>
        </w:rPr>
        <w:t>Sandboxing or equivalent containment for code execution and untrusted files.</w:t>
      </w:r>
    </w:p>
    <w:p>
      <w:pPr>
        <w:pStyle w:val="ListBullet"/>
        <w:keepLines w:val="0"/>
        <w:widowControl w:val="true"/>
      </w:pPr>
      <w:r>
        <w:rPr>
          <w:rFonts w:ascii="Inter" w:hAnsi="Inter" w:eastAsia="Inter"/>
          <w:b w:val="0"/>
          <w:color w:val="252A36"/>
          <w:sz w:val="18"/>
        </w:rPr>
        <w:t>Human confirmation at the required tier boundary.</w:t>
      </w:r>
    </w:p>
    <w:p>
      <w:pPr>
        <w:pStyle w:val="ListBullet"/>
        <w:keepLines w:val="0"/>
        <w:widowControl w:val="true"/>
      </w:pPr>
      <w:r>
        <w:rPr>
          <w:rFonts w:ascii="Inter" w:hAnsi="Inter" w:eastAsia="Inter"/>
          <w:b w:val="0"/>
          <w:color w:val="252A36"/>
          <w:sz w:val="18"/>
        </w:rPr>
        <w:t>Independent pause and kill controls that remain available when the model or provider is unavailable or compromised.</w:t>
      </w:r>
    </w:p>
    <w:p>
      <w:pPr>
        <w:pStyle w:val="Heading2"/>
        <w:pBdr>
          <w:left w:val="single" w:sz="14" w:space="5" w:color="B8AECF"/>
        </w:pBdr>
        <w:keepNext/>
        <w:widowControl w:val="true"/>
      </w:pPr>
      <w:r>
        <w:rPr>
          <w:rFonts w:ascii="Inter" w:hAnsi="Inter" w:eastAsia="Inter"/>
          <w:b/>
          <w:color w:val="303A59"/>
          <w:sz w:val="23"/>
        </w:rPr>
        <w:t>79. Production Monitoring, Review Cadence, Expiry, and Sunset</w:t>
      </w:r>
    </w:p>
    <w:p>
      <w:pPr>
        <w:widowControl w:val="true"/>
      </w:pPr>
      <w:r>
        <w:rPr>
          <w:rFonts w:ascii="Inter" w:hAnsi="Inter" w:eastAsia="Inter"/>
          <w:b w:val="0"/>
          <w:color w:val="252A36"/>
          <w:sz w:val="18"/>
        </w:rPr>
        <w:t>Production AI must be monitored for quality drift, unsupported claims, unsafe advice, refusal failures, permission failures, data leakage, bias, provider changes, source staleness, cost anomalies, tool errors, repeated overrides, review latency, automation bias, user complaints, and discrepancies between predicted and observed outcomes.</w:t>
      </w:r>
    </w:p>
    <w:p>
      <w:pPr>
        <w:widowControl w:val="true"/>
      </w:pPr>
      <w:r>
        <w:rPr>
          <w:rFonts w:ascii="Inter" w:hAnsi="Inter" w:eastAsia="Inter"/>
          <w:b w:val="0"/>
          <w:color w:val="252A36"/>
          <w:sz w:val="18"/>
        </w:rPr>
        <w:t>Monitoring must not create an unauthorized secondary use of Customer Operational Data or become a hidden employee, rider, horse, provider, or customer performance-scoring system.</w:t>
      </w:r>
    </w:p>
    <w:p>
      <w:pPr>
        <w:widowControl w:val="true"/>
      </w:pPr>
      <w:r>
        <w:rPr>
          <w:rFonts w:ascii="Inter" w:hAnsi="Inter" w:eastAsia="Inter"/>
          <w:b w:val="0"/>
          <w:color w:val="252A36"/>
          <w:sz w:val="18"/>
        </w:rPr>
        <w:t>Every production use case must have a review cadence, authorization expiry, renewal criteria, and earlier review triggers for incidents, material changes, legal change, repeated complaints, weak human-review performance, data drift, professional-standard change, or loss of required vendor protection.</w:t>
      </w:r>
    </w:p>
    <w:p>
      <w:pPr>
        <w:widowControl w:val="true"/>
      </w:pPr>
      <w:r>
        <w:rPr>
          <w:rFonts w:ascii="Inter" w:hAnsi="Inter" w:eastAsia="Inter"/>
          <w:b w:val="0"/>
          <w:color w:val="252A36"/>
          <w:sz w:val="18"/>
        </w:rPr>
        <w:t>A use case that is not reviewed by its expiry date becomes suspended or returns to a lower authorized stage. “Still working” is not evidence of continuing constitutional approval. Retired uses must disable data flow, remove access, preserve required evidence, and complete deletion or archival duties.</w:t>
      </w:r>
    </w:p>
    <w:p>
      <w:pPr>
        <w:pStyle w:val="Heading2"/>
        <w:pBdr>
          <w:left w:val="single" w:sz="14" w:space="5" w:color="B8AECF"/>
        </w:pBdr>
        <w:keepNext/>
        <w:widowControl w:val="true"/>
      </w:pPr>
      <w:r>
        <w:rPr>
          <w:rFonts w:ascii="Inter" w:hAnsi="Inter" w:eastAsia="Inter"/>
          <w:b/>
          <w:color w:val="303A59"/>
          <w:sz w:val="23"/>
        </w:rPr>
        <w:t>80. Material AI Audit Events</w:t>
      </w:r>
    </w:p>
    <w:p>
      <w:pPr>
        <w:pStyle w:val="ListBullet"/>
        <w:keepLines w:val="0"/>
        <w:widowControl w:val="true"/>
      </w:pPr>
      <w:r>
        <w:rPr>
          <w:rFonts w:ascii="Inter" w:hAnsi="Inter" w:eastAsia="Inter"/>
          <w:b w:val="0"/>
          <w:color w:val="252A36"/>
          <w:sz w:val="18"/>
        </w:rPr>
        <w:t>Use-case identifier, risk class, model, provider, and version.</w:t>
      </w:r>
    </w:p>
    <w:p>
      <w:pPr>
        <w:pStyle w:val="ListBullet"/>
        <w:keepLines w:val="0"/>
        <w:widowControl w:val="true"/>
      </w:pPr>
      <w:r>
        <w:rPr>
          <w:rFonts w:ascii="Inter" w:hAnsi="Inter" w:eastAsia="Inter"/>
          <w:b w:val="0"/>
          <w:color w:val="252A36"/>
          <w:sz w:val="18"/>
        </w:rPr>
        <w:t>Requesting actor, agent identity, tenant, permission context, and relevant relationship context.</w:t>
      </w:r>
    </w:p>
    <w:p>
      <w:pPr>
        <w:pStyle w:val="ListBullet"/>
        <w:keepLines w:val="0"/>
        <w:widowControl w:val="true"/>
      </w:pPr>
      <w:r>
        <w:rPr>
          <w:rFonts w:ascii="Inter" w:hAnsi="Inter" w:eastAsia="Inter"/>
          <w:b w:val="0"/>
          <w:color w:val="252A36"/>
          <w:sz w:val="18"/>
        </w:rPr>
        <w:t>Source Record references, retrieval time, source versions, or a privacy-preserving equivalent.</w:t>
      </w:r>
    </w:p>
    <w:p>
      <w:pPr>
        <w:pStyle w:val="ListBullet"/>
        <w:keepLines w:val="0"/>
        <w:widowControl w:val="true"/>
      </w:pPr>
      <w:r>
        <w:rPr>
          <w:rFonts w:ascii="Inter" w:hAnsi="Inter" w:eastAsia="Inter"/>
          <w:b w:val="0"/>
          <w:color w:val="252A36"/>
          <w:sz w:val="18"/>
        </w:rPr>
        <w:t>Prompt, policy, retrieval, and tool versions.</w:t>
      </w:r>
    </w:p>
    <w:p>
      <w:pPr>
        <w:pStyle w:val="ListBullet"/>
        <w:keepLines w:val="0"/>
        <w:widowControl w:val="true"/>
      </w:pPr>
      <w:r>
        <w:rPr>
          <w:rFonts w:ascii="Inter" w:hAnsi="Inter" w:eastAsia="Inter"/>
          <w:b w:val="0"/>
          <w:color w:val="252A36"/>
          <w:sz w:val="18"/>
        </w:rPr>
        <w:t>Output classification, confidence or uncertainty indicators, limitation flags, and abstention status.</w:t>
      </w:r>
    </w:p>
    <w:p>
      <w:pPr>
        <w:pStyle w:val="ListBullet"/>
        <w:keepLines w:val="0"/>
        <w:widowControl w:val="true"/>
      </w:pPr>
      <w:r>
        <w:rPr>
          <w:rFonts w:ascii="Inter" w:hAnsi="Inter" w:eastAsia="Inter"/>
          <w:b w:val="0"/>
          <w:color w:val="252A36"/>
          <w:sz w:val="18"/>
        </w:rPr>
        <w:t>Proposed or completed action, validated parameters, affected records, side effects, and result.</w:t>
      </w:r>
    </w:p>
    <w:p>
      <w:pPr>
        <w:pStyle w:val="ListBullet"/>
        <w:keepLines w:val="0"/>
        <w:widowControl w:val="true"/>
      </w:pPr>
      <w:r>
        <w:rPr>
          <w:rFonts w:ascii="Inter" w:hAnsi="Inter" w:eastAsia="Inter"/>
          <w:b w:val="0"/>
          <w:color w:val="252A36"/>
          <w:sz w:val="18"/>
        </w:rPr>
        <w:t>Human reviewer, confirmation, rejection, modification, override, or correction.</w:t>
      </w:r>
    </w:p>
    <w:p>
      <w:pPr>
        <w:pStyle w:val="ListBullet"/>
        <w:keepLines w:val="0"/>
        <w:widowControl w:val="true"/>
      </w:pPr>
      <w:r>
        <w:rPr>
          <w:rFonts w:ascii="Inter" w:hAnsi="Inter" w:eastAsia="Inter"/>
          <w:b w:val="0"/>
          <w:color w:val="252A36"/>
          <w:sz w:val="18"/>
        </w:rPr>
        <w:t>Error, refusal, escalation, pause, rollback, incident, complaint, and model-change linkage.</w:t>
      </w:r>
    </w:p>
    <w:p>
      <w:pPr>
        <w:widowControl w:val="true"/>
      </w:pPr>
      <w:r>
        <w:rPr>
          <w:rFonts w:ascii="Inter" w:hAnsi="Inter" w:eastAsia="Inter"/>
          <w:b w:val="0"/>
          <w:color w:val="252A36"/>
          <w:sz w:val="18"/>
        </w:rPr>
        <w:t>Audit must preserve enough evidence to reconstruct what the governed system did without requiring disclosure of hidden model reasoning or unnecessary duplication of sensitive content.</w:t>
      </w:r>
    </w:p>
    <w:p>
      <w:pPr>
        <w:pStyle w:val="Heading2"/>
        <w:pBdr>
          <w:left w:val="single" w:sz="14" w:space="5" w:color="B8AECF"/>
        </w:pBdr>
        <w:keepNext/>
        <w:widowControl w:val="true"/>
      </w:pPr>
      <w:r>
        <w:rPr>
          <w:rFonts w:ascii="Inter" w:hAnsi="Inter" w:eastAsia="Inter"/>
          <w:b/>
          <w:color w:val="303A59"/>
          <w:sz w:val="23"/>
        </w:rPr>
        <w:t>81. Audit Privacy and Proportionality</w:t>
      </w:r>
    </w:p>
    <w:p>
      <w:pPr>
        <w:widowControl w:val="true"/>
      </w:pPr>
      <w:r>
        <w:rPr>
          <w:rFonts w:ascii="Inter" w:hAnsi="Inter" w:eastAsia="Inter"/>
          <w:b w:val="0"/>
          <w:color w:val="252A36"/>
          <w:sz w:val="18"/>
        </w:rPr>
        <w:t>Audit evidence must be sufficient to reconstruct consequential AI activity without unnecessarily duplicating sensitive customer content. Where full prompt or output retention would create disproportionate risk, the system may use structured summaries, hashes, protected snapshots, or restricted evidence stores consistent with the Audit and Record Stewardship canons.</w:t>
      </w:r>
    </w:p>
    <w:p>
      <w:pPr>
        <w:pStyle w:val="Heading2"/>
        <w:pBdr>
          <w:left w:val="single" w:sz="14" w:space="5" w:color="B8AECF"/>
        </w:pBdr>
        <w:keepNext/>
        <w:widowControl w:val="true"/>
      </w:pPr>
      <w:r>
        <w:rPr>
          <w:rFonts w:ascii="Inter" w:hAnsi="Inter" w:eastAsia="Inter"/>
          <w:b/>
          <w:color w:val="303A59"/>
          <w:sz w:val="23"/>
        </w:rPr>
        <w:t>82. Incident Classification, Response, and Retrospective Review</w:t>
      </w:r>
    </w:p>
    <w:p>
      <w:pPr>
        <w:widowControl w:val="true"/>
      </w:pPr>
      <w:r>
        <w:rPr>
          <w:rFonts w:ascii="Inter" w:hAnsi="Inter" w:eastAsia="Inter"/>
          <w:b w:val="0"/>
          <w:color w:val="252A36"/>
          <w:sz w:val="18"/>
        </w:rPr>
        <w:t>An AI incident includes material misinformation, unsafe advice, false reassurance, permission leakage, cross-tenant exposure, unauthorized action, biased impact, provider misuse, hidden training, failed human-review controls, compromised agent tools, synthetic-media deception, supply-chain compromise, or repeated harmful output.</w:t>
      </w:r>
    </w:p>
    <w:p>
      <w:pPr>
        <w:widowControl w:val="true"/>
      </w:pPr>
      <w:r>
        <w:rPr>
          <w:rFonts w:ascii="Inter" w:hAnsi="Inter" w:eastAsia="Inter"/>
          <w:b w:val="0"/>
          <w:color w:val="252A36"/>
          <w:sz w:val="18"/>
        </w:rPr>
        <w:t>Incidents must be classified under Appendix E. Response must:</w:t>
      </w:r>
    </w:p>
    <w:p>
      <w:pPr>
        <w:pStyle w:val="ListBullet"/>
        <w:keepLines w:val="0"/>
        <w:widowControl w:val="true"/>
      </w:pPr>
      <w:r>
        <w:rPr>
          <w:rFonts w:ascii="Inter" w:hAnsi="Inter" w:eastAsia="Inter"/>
          <w:b w:val="0"/>
          <w:color w:val="252A36"/>
          <w:sz w:val="18"/>
        </w:rPr>
        <w:t>contain the use case, model, tool, data flow, or provider and stop unsafe automation;</w:t>
      </w:r>
    </w:p>
    <w:p>
      <w:pPr>
        <w:pStyle w:val="ListBullet"/>
        <w:keepLines w:val="0"/>
        <w:widowControl w:val="true"/>
      </w:pPr>
      <w:r>
        <w:rPr>
          <w:rFonts w:ascii="Inter" w:hAnsi="Inter" w:eastAsia="Inter"/>
          <w:b w:val="0"/>
          <w:color w:val="252A36"/>
          <w:sz w:val="18"/>
        </w:rPr>
        <w:t>preserve evidence and identify affected records, people, horses, tenants, decisions, communications, and actions;</w:t>
      </w:r>
    </w:p>
    <w:p>
      <w:pPr>
        <w:pStyle w:val="ListBullet"/>
        <w:keepLines w:val="0"/>
        <w:widowControl w:val="true"/>
      </w:pPr>
      <w:r>
        <w:rPr>
          <w:rFonts w:ascii="Inter" w:hAnsi="Inter" w:eastAsia="Inter"/>
          <w:b w:val="0"/>
          <w:color w:val="252A36"/>
          <w:sz w:val="18"/>
        </w:rPr>
        <w:t>assess whether user notification, correction, reversal, professional escalation, insurer notice, contractual notice, legal response, or regulatory response is required;</w:t>
      </w:r>
    </w:p>
    <w:p>
      <w:pPr>
        <w:pStyle w:val="ListBullet"/>
        <w:keepLines w:val="0"/>
        <w:widowControl w:val="true"/>
      </w:pPr>
      <w:r>
        <w:rPr>
          <w:rFonts w:ascii="Inter" w:hAnsi="Inter" w:eastAsia="Inter"/>
          <w:b w:val="0"/>
          <w:color w:val="252A36"/>
          <w:sz w:val="18"/>
        </w:rPr>
        <w:t>correct authoritative records and downstream effects without erasing incident history;</w:t>
      </w:r>
    </w:p>
    <w:p>
      <w:pPr>
        <w:pStyle w:val="ListBullet"/>
        <w:keepLines w:val="0"/>
        <w:widowControl w:val="true"/>
      </w:pPr>
      <w:r>
        <w:rPr>
          <w:rFonts w:ascii="Inter" w:hAnsi="Inter" w:eastAsia="Inter"/>
          <w:b w:val="0"/>
          <w:color w:val="252A36"/>
          <w:sz w:val="18"/>
        </w:rPr>
        <w:t>determine whether similar historical outputs, users, horses, records, or actions require retrospective review;</w:t>
      </w:r>
    </w:p>
    <w:p>
      <w:pPr>
        <w:pStyle w:val="ListBullet"/>
        <w:keepLines w:val="0"/>
        <w:widowControl w:val="true"/>
      </w:pPr>
      <w:r>
        <w:rPr>
          <w:rFonts w:ascii="Inter" w:hAnsi="Inter" w:eastAsia="Inter"/>
          <w:b w:val="0"/>
          <w:color w:val="252A36"/>
          <w:sz w:val="18"/>
        </w:rPr>
        <w:t>provide an accessible route for affected users to seek explanation and correction;</w:t>
      </w:r>
    </w:p>
    <w:p>
      <w:pPr>
        <w:pStyle w:val="ListBullet"/>
        <w:keepLines w:val="0"/>
        <w:widowControl w:val="true"/>
      </w:pPr>
      <w:r>
        <w:rPr>
          <w:rFonts w:ascii="Inter" w:hAnsi="Inter" w:eastAsia="Inter"/>
          <w:b w:val="0"/>
          <w:color w:val="252A36"/>
          <w:sz w:val="18"/>
        </w:rPr>
        <w:t>complete root-cause analysis, control remediation, evidence refresh, and reauthorization before reactivation where required.</w:t>
      </w:r>
    </w:p>
    <w:p>
      <w:pPr>
        <w:widowControl w:val="true"/>
      </w:pPr>
      <w:r>
        <w:rPr>
          <w:rFonts w:ascii="Inter" w:hAnsi="Inter" w:eastAsia="Inter"/>
          <w:b w:val="0"/>
          <w:color w:val="252A36"/>
          <w:sz w:val="18"/>
        </w:rPr>
        <w:t>A high-severity incident may suspend an entire capability class, model family, tool class, provider, or data flow pending review. Incident severity reflects plausible harm and constitutional breach, not customer count alone.</w:t>
      </w:r>
    </w:p>
    <w:p>
      <w:pPr>
        <w:pStyle w:val="Heading2"/>
        <w:pBdr>
          <w:left w:val="single" w:sz="14" w:space="5" w:color="B8AECF"/>
        </w:pBdr>
        <w:keepNext/>
        <w:widowControl w:val="true"/>
      </w:pPr>
      <w:r>
        <w:rPr>
          <w:rFonts w:ascii="Inter" w:hAnsi="Inter" w:eastAsia="Inter"/>
          <w:b/>
          <w:color w:val="303A59"/>
          <w:sz w:val="23"/>
        </w:rPr>
        <w:t>83. Change Management, Shadow Testing, Experimentation, and Regression Control</w:t>
      </w:r>
    </w:p>
    <w:p>
      <w:pPr>
        <w:widowControl w:val="true"/>
      </w:pPr>
      <w:r>
        <w:rPr>
          <w:rFonts w:ascii="Inter" w:hAnsi="Inter" w:eastAsia="Inter"/>
          <w:b w:val="0"/>
          <w:color w:val="252A36"/>
          <w:sz w:val="18"/>
        </w:rPr>
        <w:t>Material Model Changes, provider substitutions, ownership changes, prompt changes, tool additions, threshold changes, new data sources, new purposes, new jurisdictions, expanded populations, new languages, and changes to human-review design require risk-based regression testing and approval.</w:t>
      </w:r>
    </w:p>
    <w:p>
      <w:pPr>
        <w:widowControl w:val="true"/>
      </w:pPr>
      <w:r>
        <w:rPr>
          <w:rFonts w:ascii="Inter" w:hAnsi="Inter" w:eastAsia="Inter"/>
          <w:b w:val="0"/>
          <w:color w:val="252A36"/>
          <w:sz w:val="18"/>
        </w:rPr>
        <w:t>A provider's automatic model upgrade may not silently increase the capability tier, weaken a control, alter data handling, or change professional or safety behavior.</w:t>
      </w:r>
    </w:p>
    <w:p>
      <w:pPr>
        <w:widowControl w:val="true"/>
      </w:pPr>
      <w:r>
        <w:rPr>
          <w:rFonts w:ascii="Inter" w:hAnsi="Inter" w:eastAsia="Inter"/>
          <w:b w:val="0"/>
          <w:color w:val="252A36"/>
          <w:sz w:val="18"/>
        </w:rPr>
        <w:t>Shadow testing, A/B testing, canary releases, or silent experimentation involving customer workflows must not create undisclosed consequential influence, unauthorized data use, unequal safety protection, or hidden changes to treatment. Experimental outputs may not mutate authoritative records or trigger actions unless the experiment itself has separate authority for that exact effect.</w:t>
      </w:r>
    </w:p>
    <w:p>
      <w:pPr>
        <w:widowControl w:val="true"/>
      </w:pPr>
      <w:r>
        <w:rPr>
          <w:rFonts w:ascii="Inter" w:hAnsi="Inter" w:eastAsia="Inter"/>
          <w:b w:val="0"/>
          <w:color w:val="252A36"/>
          <w:sz w:val="18"/>
        </w:rPr>
        <w:t>A material change reopens the relevant parts of the Safety Case. Change approval must identify whether the prior production authority remains valid, is narrowed, or is suspended.</w:t>
      </w:r>
    </w:p>
    <w:p>
      <w:pPr>
        <w:pStyle w:val="Heading2"/>
        <w:pBdr>
          <w:left w:val="single" w:sz="14" w:space="5" w:color="B8AECF"/>
        </w:pBdr>
        <w:keepNext/>
        <w:widowControl w:val="true"/>
      </w:pPr>
      <w:r>
        <w:rPr>
          <w:rFonts w:ascii="Inter" w:hAnsi="Inter" w:eastAsia="Inter"/>
          <w:b/>
          <w:color w:val="303A59"/>
          <w:sz w:val="23"/>
        </w:rPr>
        <w:t>84. Rollback, Continuity, Provider Exit, and Non-AI Fallback</w:t>
      </w:r>
    </w:p>
    <w:p>
      <w:pPr>
        <w:widowControl w:val="true"/>
      </w:pPr>
      <w:r>
        <w:rPr>
          <w:rFonts w:ascii="Inter" w:hAnsi="Inter" w:eastAsia="Inter"/>
          <w:b w:val="0"/>
          <w:color w:val="252A36"/>
          <w:sz w:val="18"/>
        </w:rPr>
        <w:t>Each production use case must have a fallback allowing essential EquineSync operations to continue without the model, provider, index, or agent. Provider or model failure must not block access to authoritative records, Essential Horse Care information, financial truth, safety reporting, disputes, or human assistance.</w:t>
      </w:r>
    </w:p>
    <w:p>
      <w:pPr>
        <w:widowControl w:val="true"/>
      </w:pPr>
      <w:r>
        <w:rPr>
          <w:rFonts w:ascii="Inter" w:hAnsi="Inter" w:eastAsia="Inter"/>
          <w:b w:val="0"/>
          <w:color w:val="252A36"/>
          <w:sz w:val="18"/>
        </w:rPr>
        <w:t>EquineSync must be able to disable a model, remove provider access, revoke credentials, stop data transfer, delete provider-held data as required, preserve audit evidence, and migrate to a replacement without losing customer control.</w:t>
      </w:r>
    </w:p>
    <w:p>
      <w:pPr>
        <w:widowControl w:val="true"/>
      </w:pPr>
      <w:r>
        <w:rPr>
          <w:rFonts w:ascii="Inter" w:hAnsi="Inter" w:eastAsia="Inter"/>
          <w:b w:val="0"/>
          <w:color w:val="252A36"/>
          <w:sz w:val="18"/>
        </w:rPr>
        <w:t>Rollback must account for actions already taken, messages sent, records proposed or changed, cached outputs, embeddings, pending jobs, retries, and downstream systems. Restoring software alone is insufficient when an AI action has already affected the real world.</w:t>
      </w:r>
    </w:p>
    <w:p>
      <w:pPr>
        <w:widowControl w:val="true"/>
      </w:pPr>
      <w:r>
        <w:rPr>
          <w:rFonts w:ascii="Inter" w:hAnsi="Inter" w:eastAsia="Inter"/>
          <w:b w:val="0"/>
          <w:color w:val="252A36"/>
          <w:sz w:val="18"/>
        </w:rPr>
        <w:t>A fallback may reduce convenience but may not silently lower safety, permissions, notice, record integrity, or professional-review requirements.</w:t>
      </w:r>
    </w:p>
    <w:p>
      <w:pPr>
        <w:pStyle w:val="Heading2"/>
        <w:pBdr>
          <w:left w:val="single" w:sz="14" w:space="5" w:color="B8AECF"/>
        </w:pBdr>
        <w:keepNext/>
        <w:widowControl w:val="true"/>
      </w:pPr>
      <w:r>
        <w:rPr>
          <w:rFonts w:ascii="Inter" w:hAnsi="Inter" w:eastAsia="Inter"/>
          <w:b/>
          <w:color w:val="303A59"/>
          <w:sz w:val="23"/>
        </w:rPr>
        <w:t>85. Vendor and Model Contract Requirements</w:t>
      </w:r>
    </w:p>
    <w:p>
      <w:pPr>
        <w:pStyle w:val="ListBullet"/>
        <w:keepLines w:val="0"/>
        <w:widowControl w:val="true"/>
      </w:pPr>
      <w:r>
        <w:rPr>
          <w:rFonts w:ascii="Inter" w:hAnsi="Inter" w:eastAsia="Inter"/>
          <w:b w:val="0"/>
          <w:color w:val="252A36"/>
          <w:sz w:val="18"/>
        </w:rPr>
        <w:t>No training, fine-tuning, generalized evaluation, benchmarking for provider improvement, or other improvement of General or Shared Models using Customer Operational Data or Derived Data.</w:t>
      </w:r>
    </w:p>
    <w:p>
      <w:pPr>
        <w:pStyle w:val="ListBullet"/>
        <w:keepLines w:val="0"/>
        <w:widowControl w:val="true"/>
      </w:pPr>
      <w:r>
        <w:rPr>
          <w:rFonts w:ascii="Inter" w:hAnsi="Inter" w:eastAsia="Inter"/>
          <w:b w:val="0"/>
          <w:color w:val="252A36"/>
          <w:sz w:val="18"/>
        </w:rPr>
        <w:t>No provider human review of customer content except a narrowly authorized, documented, time-limited support or security circumstance.</w:t>
      </w:r>
    </w:p>
    <w:p>
      <w:pPr>
        <w:pStyle w:val="ListBullet"/>
        <w:keepLines w:val="0"/>
        <w:widowControl w:val="true"/>
      </w:pPr>
      <w:r>
        <w:rPr>
          <w:rFonts w:ascii="Inter" w:hAnsi="Inter" w:eastAsia="Inter"/>
          <w:b w:val="0"/>
          <w:color w:val="252A36"/>
          <w:sz w:val="18"/>
        </w:rPr>
        <w:t>Clear retention, deletion, backup-deletion, subprocessors, data location, government-access, security, incident, and breach-notification terms.</w:t>
      </w:r>
    </w:p>
    <w:p>
      <w:pPr>
        <w:pStyle w:val="ListBullet"/>
        <w:keepLines w:val="0"/>
        <w:widowControl w:val="true"/>
      </w:pPr>
      <w:r>
        <w:rPr>
          <w:rFonts w:ascii="Inter" w:hAnsi="Inter" w:eastAsia="Inter"/>
          <w:b w:val="0"/>
          <w:color w:val="252A36"/>
          <w:sz w:val="18"/>
        </w:rPr>
        <w:t>No ownership claim over customer data, prompts, attachments, outputs, Retrieval Indexes, Derived Data, or authoritative records.</w:t>
      </w:r>
    </w:p>
    <w:p>
      <w:pPr>
        <w:pStyle w:val="ListBullet"/>
        <w:keepLines w:val="0"/>
        <w:widowControl w:val="true"/>
      </w:pPr>
      <w:r>
        <w:rPr>
          <w:rFonts w:ascii="Inter" w:hAnsi="Inter" w:eastAsia="Inter"/>
          <w:b w:val="0"/>
          <w:color w:val="252A36"/>
          <w:sz w:val="18"/>
        </w:rPr>
        <w:t>Confidentiality and access controls appropriate to financial, health, minor, safeguarding, legal, professional, employment, and operational data.</w:t>
      </w:r>
    </w:p>
    <w:p>
      <w:pPr>
        <w:pStyle w:val="ListBullet"/>
        <w:keepLines w:val="0"/>
        <w:widowControl w:val="true"/>
      </w:pPr>
      <w:r>
        <w:rPr>
          <w:rFonts w:ascii="Inter" w:hAnsi="Inter" w:eastAsia="Inter"/>
          <w:b w:val="0"/>
          <w:color w:val="252A36"/>
          <w:sz w:val="18"/>
        </w:rPr>
        <w:t>Change notice for material model, ownership, terms, hosting, security, retention, human-review, or subprocessor changes.</w:t>
      </w:r>
    </w:p>
    <w:p>
      <w:pPr>
        <w:pStyle w:val="ListBullet"/>
        <w:keepLines w:val="0"/>
        <w:widowControl w:val="true"/>
      </w:pPr>
      <w:r>
        <w:rPr>
          <w:rFonts w:ascii="Inter" w:hAnsi="Inter" w:eastAsia="Inter"/>
          <w:b w:val="0"/>
          <w:color w:val="252A36"/>
          <w:sz w:val="18"/>
        </w:rPr>
        <w:t>Support for model identification, audit evidence, export, deletion, correction, incident investigation, legal hold where applicable, and provider exit.</w:t>
      </w:r>
    </w:p>
    <w:p>
      <w:pPr>
        <w:pStyle w:val="ListBullet"/>
        <w:keepLines w:val="0"/>
        <w:widowControl w:val="true"/>
      </w:pPr>
      <w:r>
        <w:rPr>
          <w:rFonts w:ascii="Inter" w:hAnsi="Inter" w:eastAsia="Inter"/>
          <w:b w:val="0"/>
          <w:color w:val="252A36"/>
          <w:sz w:val="18"/>
        </w:rPr>
        <w:t>Contractual remedies, suspension rights, and deletion certification for hidden training, unauthorized retention, security failure, prohibited human review, or material terms change.</w:t>
      </w:r>
    </w:p>
    <w:p>
      <w:pPr>
        <w:pStyle w:val="ListBullet"/>
        <w:keepLines w:val="0"/>
        <w:widowControl w:val="true"/>
      </w:pPr>
      <w:r>
        <w:rPr>
          <w:rFonts w:ascii="Inter" w:hAnsi="Inter" w:eastAsia="Inter"/>
          <w:b w:val="0"/>
          <w:color w:val="252A36"/>
          <w:sz w:val="18"/>
        </w:rPr>
        <w:t>No unilateral term allowing the provider to broaden data use, substitute a materially different model, or remove required protections without EquineSync's right to suspend or terminate.</w:t>
      </w:r>
    </w:p>
    <w:p>
      <w:pPr>
        <w:widowControl w:val="true"/>
      </w:pPr>
      <w:r>
        <w:rPr>
          <w:rFonts w:ascii="Inter" w:hAnsi="Inter" w:eastAsia="Inter"/>
          <w:b w:val="0"/>
          <w:color w:val="252A36"/>
          <w:sz w:val="18"/>
        </w:rPr>
        <w:t>A provider's standard terms do not override this Model. Where required protections cannot be obtained or technically verified, the affected use case must remain unapproved, use a different architecture, or be suspended.</w:t>
      </w:r>
    </w:p>
    <w:p>
      <w:pPr>
        <w:pStyle w:val="Heading2"/>
        <w:pBdr>
          <w:left w:val="single" w:sz="14" w:space="5" w:color="B8AECF"/>
        </w:pBdr>
        <w:keepNext/>
        <w:widowControl w:val="true"/>
      </w:pPr>
      <w:r>
        <w:rPr>
          <w:rFonts w:ascii="Inter" w:hAnsi="Inter" w:eastAsia="Inter"/>
          <w:b/>
          <w:color w:val="303A59"/>
          <w:sz w:val="23"/>
        </w:rPr>
        <w:t>86. User Notice, Enablement, Accessibility, Choice, and Non-AI Access</w:t>
      </w:r>
    </w:p>
    <w:p>
      <w:pPr>
        <w:widowControl w:val="true"/>
      </w:pPr>
      <w:r>
        <w:rPr>
          <w:rFonts w:ascii="Inter" w:hAnsi="Inter" w:eastAsia="Inter"/>
          <w:b w:val="0"/>
          <w:color w:val="252A36"/>
          <w:sz w:val="18"/>
        </w:rPr>
        <w:t>Users must receive clear information about material AI involvement, purpose, limits, relevant data categories, whether an action is automated, and the route to human assistance. Tenant administrators must receive appropriate feature-level controls over optional AI capabilities, subject to safety and legal requirements.</w:t>
      </w:r>
    </w:p>
    <w:p>
      <w:pPr>
        <w:widowControl w:val="true"/>
      </w:pPr>
      <w:r>
        <w:rPr>
          <w:rFonts w:ascii="Inter" w:hAnsi="Inter" w:eastAsia="Inter"/>
          <w:b w:val="0"/>
          <w:color w:val="252A36"/>
          <w:sz w:val="18"/>
        </w:rPr>
        <w:t>Optional AI capabilities must not be silently activated for Customer Operational Data. Enablement, pilot participation, and material changes must be documented at the appropriate tenant or user level.</w:t>
      </w:r>
    </w:p>
    <w:p>
      <w:pPr>
        <w:widowControl w:val="true"/>
      </w:pPr>
      <w:r>
        <w:rPr>
          <w:rFonts w:ascii="Inter" w:hAnsi="Inter" w:eastAsia="Inter"/>
          <w:b w:val="0"/>
          <w:color w:val="252A36"/>
          <w:sz w:val="18"/>
        </w:rPr>
        <w:t>Notices, labels, explanations, and challenge mechanisms must be accessible, understandable, age-appropriate where relevant, and available in supported languages without silently changing legal, medical, financial, safety, or welfare meaning.</w:t>
      </w:r>
    </w:p>
    <w:p>
      <w:pPr>
        <w:widowControl w:val="true"/>
      </w:pPr>
      <w:r>
        <w:rPr>
          <w:rFonts w:ascii="Inter" w:hAnsi="Inter" w:eastAsia="Inter"/>
          <w:b w:val="0"/>
          <w:color w:val="252A36"/>
          <w:sz w:val="18"/>
        </w:rPr>
        <w:t>A user may not be forced to accept an AI conclusion or optional AI feature merely to access an authoritative record, dispute a charge, report a safety concern, correct data, preserve Essential Horse Care, or obtain human review. Where a non-AI alternative is operationally feasible, it must remain practical rather than intentionally degraded.</w:t>
      </w:r>
    </w:p>
    <w:p>
      <w:pPr>
        <w:widowControl w:val="true"/>
      </w:pPr>
      <w:r>
        <w:rPr>
          <w:rFonts w:ascii="Inter" w:hAnsi="Inter" w:eastAsia="Inter"/>
          <w:b w:val="0"/>
          <w:color w:val="252A36"/>
          <w:sz w:val="18"/>
        </w:rPr>
        <w:t>Customer choice does not authorize a prohibited use case or waive constitutional protections.</w:t>
      </w:r>
    </w:p>
    <w:p>
      <w:pPr>
        <w:pStyle w:val="Heading2"/>
        <w:pBdr>
          <w:left w:val="single" w:sz="14" w:space="5" w:color="B8AECF"/>
        </w:pBdr>
        <w:keepNext/>
        <w:widowControl w:val="true"/>
      </w:pPr>
      <w:r>
        <w:rPr>
          <w:rFonts w:ascii="Inter" w:hAnsi="Inter" w:eastAsia="Inter"/>
          <w:b/>
          <w:color w:val="303A59"/>
          <w:sz w:val="23"/>
        </w:rPr>
        <w:t>87. Complaints, Appeals, Redress, and Systemic Correction</w:t>
      </w:r>
    </w:p>
    <w:p>
      <w:pPr>
        <w:widowControl w:val="true"/>
      </w:pPr>
      <w:r>
        <w:rPr>
          <w:rFonts w:ascii="Inter" w:hAnsi="Inter" w:eastAsia="Inter"/>
          <w:b w:val="0"/>
          <w:color w:val="252A36"/>
          <w:sz w:val="18"/>
        </w:rPr>
        <w:t>EquineSync must maintain a process for reporting inaccurate, harmful, biased, deceptive, inaccessible, unauthorized, or constitutionally inconsistent AI behavior. Material complaints must be linked to the relevant use case, model version, source context, decision, action, and resolution.</w:t>
      </w:r>
    </w:p>
    <w:p>
      <w:pPr>
        <w:widowControl w:val="true"/>
      </w:pPr>
      <w:r>
        <w:rPr>
          <w:rFonts w:ascii="Inter" w:hAnsi="Inter" w:eastAsia="Inter"/>
          <w:b w:val="0"/>
          <w:color w:val="252A36"/>
          <w:sz w:val="18"/>
        </w:rPr>
        <w:t>Redress may include explanation, correction, reversal, restored access, re-review, communication correction, refund or financial correction under controlling canon, professional escalation, incident response, model suspension, and notice to affected users.</w:t>
      </w:r>
    </w:p>
    <w:p>
      <w:pPr>
        <w:widowControl w:val="true"/>
      </w:pPr>
      <w:r>
        <w:rPr>
          <w:rFonts w:ascii="Inter" w:hAnsi="Inter" w:eastAsia="Inter"/>
          <w:b w:val="0"/>
          <w:color w:val="252A36"/>
          <w:sz w:val="18"/>
        </w:rPr>
        <w:t>A complaint may not be closed merely because the model behaved as designed, the user accepted terms, or the output was labeled “AI.” Governance must consider whether the design, source selection, interface, approval workflow, or surrounding policy is unsafe, unfair, misleading, or inconsistent with founder-approved boundaries.</w:t>
      </w:r>
    </w:p>
    <w:p>
      <w:pPr>
        <w:widowControl w:val="true"/>
      </w:pPr>
      <w:r>
        <w:rPr>
          <w:rFonts w:ascii="Inter" w:hAnsi="Inter" w:eastAsia="Inter"/>
          <w:b w:val="0"/>
          <w:color w:val="252A36"/>
          <w:sz w:val="18"/>
        </w:rPr>
        <w:t>A substantiated complaint must trigger review of similarly situated users, horses, records, and outputs when the issue may be systemic. Redress must not erase audit history or rewrite source records without the applicable correction process.</w:t>
      </w:r>
    </w:p>
    <w:p>
      <w:pPr>
        <w:pStyle w:val="Heading2"/>
        <w:pBdr>
          <w:left w:val="single" w:sz="14" w:space="5" w:color="B8AECF"/>
        </w:pBdr>
        <w:keepNext/>
        <w:widowControl w:val="true"/>
      </w:pPr>
      <w:r>
        <w:rPr>
          <w:rFonts w:ascii="Inter" w:hAnsi="Inter" w:eastAsia="Inter"/>
          <w:b/>
          <w:color w:val="303A59"/>
          <w:sz w:val="23"/>
        </w:rPr>
        <w:t>88. Training and AI Literacy</w:t>
      </w:r>
    </w:p>
    <w:p>
      <w:pPr>
        <w:widowControl w:val="true"/>
      </w:pPr>
      <w:r>
        <w:rPr>
          <w:rFonts w:ascii="Inter" w:hAnsi="Inter" w:eastAsia="Inter"/>
          <w:b w:val="0"/>
          <w:color w:val="252A36"/>
          <w:sz w:val="18"/>
        </w:rPr>
        <w:t>People who configure, approve, monitor, or rely on consequential AI capabilities must receive role-appropriate training on limitations, source verification, uncertainty, bias, escalation, privacy, and the difference between assistance and authority.</w:t>
      </w:r>
    </w:p>
    <w:p>
      <w:pPr>
        <w:pStyle w:val="Heading2"/>
        <w:pBdr>
          <w:left w:val="single" w:sz="14" w:space="5" w:color="B8AECF"/>
        </w:pBdr>
        <w:keepNext/>
        <w:widowControl w:val="true"/>
      </w:pPr>
      <w:r>
        <w:rPr>
          <w:rFonts w:ascii="Inter" w:hAnsi="Inter" w:eastAsia="Inter"/>
          <w:b/>
          <w:color w:val="303A59"/>
          <w:sz w:val="23"/>
        </w:rPr>
        <w:t>89. No AI Self-Modification, Self-Authorization, or Autonomous Governance</w:t>
      </w:r>
    </w:p>
    <w:p>
      <w:pPr>
        <w:widowControl w:val="true"/>
      </w:pPr>
      <w:r>
        <w:rPr>
          <w:rFonts w:ascii="Inter" w:hAnsi="Inter" w:eastAsia="Inter"/>
          <w:b w:val="0"/>
          <w:color w:val="252A36"/>
          <w:sz w:val="18"/>
        </w:rPr>
        <w:t>An AI System may not change its constitutional tier, risk class, approved purpose, permissions, provider, model, thresholds, safety rules, prompts, tools, data sources, review requirements, or production status.</w:t>
      </w:r>
    </w:p>
    <w:p>
      <w:pPr>
        <w:widowControl w:val="true"/>
      </w:pPr>
      <w:r>
        <w:rPr>
          <w:rFonts w:ascii="Inter" w:hAnsi="Inter" w:eastAsia="Inter"/>
          <w:b w:val="0"/>
          <w:color w:val="252A36"/>
          <w:sz w:val="18"/>
        </w:rPr>
        <w:t>An AI System may not approve its own evaluation, accept residual risk, close its own incident, decide that a complaint is unfounded, authorize a model upgrade, or determine that a constitutional requirement does not apply.</w:t>
      </w:r>
    </w:p>
    <w:p>
      <w:pPr>
        <w:widowControl w:val="true"/>
      </w:pPr>
      <w:r>
        <w:rPr>
          <w:rFonts w:ascii="Inter" w:hAnsi="Inter" w:eastAsia="Inter"/>
          <w:b w:val="0"/>
          <w:color w:val="252A36"/>
          <w:sz w:val="18"/>
        </w:rPr>
        <w:t>Automated optimization may tune only parameters expressly permitted by the approved Safety Case and may not alter consequential thresholds, protected decision boundaries, notice, data use, or stop conditions without controlled human review.</w:t>
      </w:r>
    </w:p>
    <w:p>
      <w:pPr>
        <w:pStyle w:val="Heading2"/>
        <w:pBdr>
          <w:left w:val="single" w:sz="14" w:space="5" w:color="B8AECF"/>
        </w:pBdr>
        <w:keepNext/>
        <w:widowControl w:val="true"/>
      </w:pPr>
      <w:r>
        <w:rPr>
          <w:rFonts w:ascii="Inter" w:hAnsi="Inter" w:eastAsia="Inter"/>
          <w:b/>
          <w:color w:val="303A59"/>
          <w:sz w:val="23"/>
        </w:rPr>
        <w:t>90. External Claims About AI</w:t>
      </w:r>
    </w:p>
    <w:p>
      <w:pPr>
        <w:widowControl w:val="true"/>
      </w:pPr>
      <w:r>
        <w:rPr>
          <w:rFonts w:ascii="Inter" w:hAnsi="Inter" w:eastAsia="Inter"/>
          <w:b w:val="0"/>
          <w:color w:val="252A36"/>
          <w:sz w:val="18"/>
        </w:rPr>
        <w:t>Marketing, sales, onboarding, and product descriptions must accurately describe AI capabilities and limits. EquineSync must not claim that AI diagnoses lameness, determines rider ability, guarantees safety, replaces professional judgment, eliminates human review, or makes decisions that this Model reserves to humans.</w:t>
      </w:r>
    </w:p>
    <w:p>
      <w:pPr>
        <w:pStyle w:val="Heading2"/>
        <w:pBdr>
          <w:left w:val="single" w:sz="14" w:space="5" w:color="B8AECF"/>
        </w:pBdr>
        <w:keepNext/>
        <w:widowControl w:val="true"/>
      </w:pPr>
      <w:r>
        <w:rPr>
          <w:rFonts w:ascii="Inter" w:hAnsi="Inter" w:eastAsia="Inter"/>
          <w:b/>
          <w:color w:val="303A59"/>
          <w:sz w:val="23"/>
        </w:rPr>
        <w:t>91. Controlled Registries and Constitutional Evidence</w:t>
      </w:r>
    </w:p>
    <w:p>
      <w:pPr>
        <w:pStyle w:val="ListBullet"/>
        <w:keepLines w:val="0"/>
        <w:widowControl w:val="true"/>
      </w:pPr>
      <w:r>
        <w:rPr>
          <w:rFonts w:ascii="Inter" w:hAnsi="Inter" w:eastAsia="Inter"/>
          <w:b w:val="0"/>
          <w:color w:val="252A36"/>
          <w:sz w:val="18"/>
        </w:rPr>
        <w:t>AI Use Case Registry.</w:t>
      </w:r>
    </w:p>
    <w:p>
      <w:pPr>
        <w:pStyle w:val="ListBullet"/>
        <w:keepLines w:val="0"/>
        <w:widowControl w:val="true"/>
      </w:pPr>
      <w:r>
        <w:rPr>
          <w:rFonts w:ascii="Inter" w:hAnsi="Inter" w:eastAsia="Inter"/>
          <w:b w:val="0"/>
          <w:color w:val="252A36"/>
          <w:sz w:val="18"/>
        </w:rPr>
        <w:t>Model, Provider, and Supply-Chain Registry.</w:t>
      </w:r>
    </w:p>
    <w:p>
      <w:pPr>
        <w:pStyle w:val="ListBullet"/>
        <w:keepLines w:val="0"/>
        <w:widowControl w:val="true"/>
      </w:pPr>
      <w:r>
        <w:rPr>
          <w:rFonts w:ascii="Inter" w:hAnsi="Inter" w:eastAsia="Inter"/>
          <w:b w:val="0"/>
          <w:color w:val="252A36"/>
          <w:sz w:val="18"/>
        </w:rPr>
        <w:t>Prompt, Policy, Retrieval, Memory, and Tool Registry.</w:t>
      </w:r>
    </w:p>
    <w:p>
      <w:pPr>
        <w:pStyle w:val="ListBullet"/>
        <w:keepLines w:val="0"/>
        <w:widowControl w:val="true"/>
      </w:pPr>
      <w:r>
        <w:rPr>
          <w:rFonts w:ascii="Inter" w:hAnsi="Inter" w:eastAsia="Inter"/>
          <w:b w:val="0"/>
          <w:color w:val="252A36"/>
          <w:sz w:val="18"/>
        </w:rPr>
        <w:t>AI Data Use, Purpose, Index, Derived Data, and Retention Register.</w:t>
      </w:r>
    </w:p>
    <w:p>
      <w:pPr>
        <w:pStyle w:val="ListBullet"/>
        <w:keepLines w:val="0"/>
        <w:widowControl w:val="true"/>
      </w:pPr>
      <w:r>
        <w:rPr>
          <w:rFonts w:ascii="Inter" w:hAnsi="Inter" w:eastAsia="Inter"/>
          <w:b w:val="0"/>
          <w:color w:val="252A36"/>
          <w:sz w:val="18"/>
        </w:rPr>
        <w:t>AI Human Review, Professional Review, and Decision-Tier Matrix.</w:t>
      </w:r>
    </w:p>
    <w:p>
      <w:pPr>
        <w:pStyle w:val="ListBullet"/>
        <w:keepLines w:val="0"/>
        <w:widowControl w:val="true"/>
      </w:pPr>
      <w:r>
        <w:rPr>
          <w:rFonts w:ascii="Inter" w:hAnsi="Inter" w:eastAsia="Inter"/>
          <w:b w:val="0"/>
          <w:color w:val="252A36"/>
          <w:sz w:val="18"/>
        </w:rPr>
        <w:t>AI Risk Classification, Safety Case, Jurisdiction, and Residual-Risk Register.</w:t>
      </w:r>
    </w:p>
    <w:p>
      <w:pPr>
        <w:pStyle w:val="ListBullet"/>
        <w:keepLines w:val="0"/>
        <w:widowControl w:val="true"/>
      </w:pPr>
      <w:r>
        <w:rPr>
          <w:rFonts w:ascii="Inter" w:hAnsi="Inter" w:eastAsia="Inter"/>
          <w:b w:val="0"/>
          <w:color w:val="252A36"/>
          <w:sz w:val="18"/>
        </w:rPr>
        <w:t>AI Evaluation, Test Data, Acceptance, and Known-Limitations Register.</w:t>
      </w:r>
    </w:p>
    <w:p>
      <w:pPr>
        <w:pStyle w:val="ListBullet"/>
        <w:keepLines w:val="0"/>
        <w:widowControl w:val="true"/>
      </w:pPr>
      <w:r>
        <w:rPr>
          <w:rFonts w:ascii="Inter" w:hAnsi="Inter" w:eastAsia="Inter"/>
          <w:b w:val="0"/>
          <w:color w:val="252A36"/>
          <w:sz w:val="18"/>
        </w:rPr>
        <w:t>AI Incident, Complaint, Appeal, Retrospective Review, and Corrective Action Register.</w:t>
      </w:r>
    </w:p>
    <w:p>
      <w:pPr>
        <w:pStyle w:val="ListBullet"/>
        <w:keepLines w:val="0"/>
        <w:widowControl w:val="true"/>
      </w:pPr>
      <w:r>
        <w:rPr>
          <w:rFonts w:ascii="Inter" w:hAnsi="Inter" w:eastAsia="Inter"/>
          <w:b w:val="0"/>
          <w:color w:val="252A36"/>
          <w:sz w:val="18"/>
        </w:rPr>
        <w:t>AI Production Authorization, Expiry, Renewal, Suspension, and Retirement Register.</w:t>
      </w:r>
    </w:p>
    <w:p>
      <w:pPr>
        <w:pStyle w:val="ListBullet"/>
        <w:keepLines w:val="0"/>
        <w:widowControl w:val="true"/>
      </w:pPr>
      <w:r>
        <w:rPr>
          <w:rFonts w:ascii="Inter" w:hAnsi="Inter" w:eastAsia="Inter"/>
          <w:b w:val="0"/>
          <w:color w:val="252A36"/>
          <w:sz w:val="18"/>
        </w:rPr>
        <w:t>Synthetic Media and Material AI Communication Register where applicable.</w:t>
      </w:r>
    </w:p>
    <w:p>
      <w:pPr>
        <w:pStyle w:val="ListBullet"/>
        <w:keepLines w:val="0"/>
        <w:widowControl w:val="true"/>
      </w:pPr>
      <w:r>
        <w:rPr>
          <w:rFonts w:ascii="Inter" w:hAnsi="Inter" w:eastAsia="Inter"/>
          <w:b w:val="0"/>
          <w:color w:val="252A36"/>
          <w:sz w:val="18"/>
        </w:rPr>
        <w:t>AI Vendor Contract Exception and Unresolved Protection Register.</w:t>
      </w:r>
    </w:p>
    <w:p>
      <w:pPr>
        <w:widowControl w:val="true"/>
      </w:pPr>
      <w:r>
        <w:rPr>
          <w:rFonts w:ascii="Inter" w:hAnsi="Inter" w:eastAsia="Inter"/>
          <w:b w:val="0"/>
          <w:color w:val="252A36"/>
          <w:sz w:val="18"/>
        </w:rPr>
        <w:t>Registries are controlled evidence, not informal inventories. Each entry must have ownership, version history, status, effective date, review date, and preserved supersession lineage. A missing or expired required registry entry prevents the use case from advancing or remaining in production.</w:t>
      </w:r>
    </w:p>
    <w:p>
      <w:pPr>
        <w:pStyle w:val="Heading2"/>
        <w:pBdr>
          <w:left w:val="single" w:sz="14" w:space="5" w:color="B8AECF"/>
        </w:pBdr>
        <w:keepNext/>
        <w:widowControl w:val="true"/>
      </w:pPr>
      <w:r>
        <w:rPr>
          <w:rFonts w:ascii="Inter" w:hAnsi="Inter" w:eastAsia="Inter"/>
          <w:b/>
          <w:color w:val="303A59"/>
          <w:sz w:val="23"/>
        </w:rPr>
        <w:t>92. Stage-Specific Implementation Gate Requirements</w:t>
      </w:r>
    </w:p>
    <w:p>
      <w:pPr>
        <w:widowControl w:val="true"/>
      </w:pPr>
      <w:r>
        <w:rPr>
          <w:rFonts w:ascii="Inter" w:hAnsi="Inter" w:eastAsia="Inter"/>
          <w:b w:val="0"/>
          <w:color w:val="252A36"/>
          <w:sz w:val="18"/>
        </w:rPr>
        <w:t>No AI capability may use Customer Operational Data, enter a customer pilot, or enter production until a separately authorized implementation package grants the applicable stage and confirms the following for that specific use case:</w:t>
      </w:r>
    </w:p>
    <w:p>
      <w:pPr>
        <w:pStyle w:val="ListBullet"/>
        <w:keepLines w:val="0"/>
        <w:widowControl w:val="true"/>
      </w:pPr>
      <w:r>
        <w:rPr>
          <w:rFonts w:ascii="Inter" w:hAnsi="Inter" w:eastAsia="Inter"/>
          <w:b w:val="0"/>
          <w:color w:val="252A36"/>
          <w:sz w:val="18"/>
        </w:rPr>
        <w:t>purpose, prohibited adjacent purposes, users, excluded users, jurisdictions, data, owners, maximum tier, risk class, and prohibited outputs;</w:t>
      </w:r>
    </w:p>
    <w:p>
      <w:pPr>
        <w:pStyle w:val="ListBullet"/>
        <w:keepLines w:val="0"/>
        <w:widowControl w:val="true"/>
      </w:pPr>
      <w:r>
        <w:rPr>
          <w:rFonts w:ascii="Inter" w:hAnsi="Inter" w:eastAsia="Inter"/>
          <w:b w:val="0"/>
          <w:color w:val="252A36"/>
          <w:sz w:val="18"/>
        </w:rPr>
        <w:t>controlling domain authority, professional boundaries, permissions, source provenance, freshness, contradictory-record treatment, and cross-tenant isolation;</w:t>
      </w:r>
    </w:p>
    <w:p>
      <w:pPr>
        <w:pStyle w:val="ListBullet"/>
        <w:keepLines w:val="0"/>
        <w:widowControl w:val="true"/>
      </w:pPr>
      <w:r>
        <w:rPr>
          <w:rFonts w:ascii="Inter" w:hAnsi="Inter" w:eastAsia="Inter"/>
          <w:b w:val="0"/>
          <w:color w:val="252A36"/>
          <w:sz w:val="18"/>
        </w:rPr>
        <w:t>provider, model, exact version, supply chain, terms, retention, human-review policy, deletion, and exit plan;</w:t>
      </w:r>
    </w:p>
    <w:p>
      <w:pPr>
        <w:pStyle w:val="ListBullet"/>
        <w:keepLines w:val="0"/>
        <w:widowControl w:val="true"/>
      </w:pPr>
      <w:r>
        <w:rPr>
          <w:rFonts w:ascii="Inter" w:hAnsi="Inter" w:eastAsia="Inter"/>
          <w:b w:val="0"/>
          <w:color w:val="252A36"/>
          <w:sz w:val="18"/>
        </w:rPr>
        <w:t>Retrieval Index, memory, Derived Data, data minimization, encryption, and deletion behavior where applicable;</w:t>
      </w:r>
    </w:p>
    <w:p>
      <w:pPr>
        <w:pStyle w:val="ListBullet"/>
        <w:keepLines w:val="0"/>
        <w:widowControl w:val="true"/>
      </w:pPr>
      <w:r>
        <w:rPr>
          <w:rFonts w:ascii="Inter" w:hAnsi="Inter" w:eastAsia="Inter"/>
          <w:b w:val="0"/>
          <w:color w:val="252A36"/>
          <w:sz w:val="18"/>
        </w:rPr>
        <w:t>Meaningful Human Review, reviewer competence and independence, confirmation, override, pause, rollback, and non-AI fallback;</w:t>
      </w:r>
    </w:p>
    <w:p>
      <w:pPr>
        <w:pStyle w:val="ListBullet"/>
        <w:keepLines w:val="0"/>
        <w:widowControl w:val="true"/>
      </w:pPr>
      <w:r>
        <w:rPr>
          <w:rFonts w:ascii="Inter" w:hAnsi="Inter" w:eastAsia="Inter"/>
          <w:b w:val="0"/>
          <w:color w:val="252A36"/>
          <w:sz w:val="18"/>
        </w:rPr>
        <w:t>completed Safety Case, evaluation results, critical-error ceilings, safety thresholds, abstention, refusal behavior, accessibility, and known limitations;</w:t>
      </w:r>
    </w:p>
    <w:p>
      <w:pPr>
        <w:pStyle w:val="ListBullet"/>
        <w:keepLines w:val="0"/>
        <w:widowControl w:val="true"/>
      </w:pPr>
      <w:r>
        <w:rPr>
          <w:rFonts w:ascii="Inter" w:hAnsi="Inter" w:eastAsia="Inter"/>
          <w:b w:val="0"/>
          <w:color w:val="252A36"/>
          <w:sz w:val="18"/>
        </w:rPr>
        <w:t>agent identity, tool authorization, secrets handling, transaction limits, idempotency, composition controls, and prompt-injection defenses;</w:t>
      </w:r>
    </w:p>
    <w:p>
      <w:pPr>
        <w:pStyle w:val="ListBullet"/>
        <w:keepLines w:val="0"/>
        <w:widowControl w:val="true"/>
      </w:pPr>
      <w:r>
        <w:rPr>
          <w:rFonts w:ascii="Inter" w:hAnsi="Inter" w:eastAsia="Inter"/>
          <w:b w:val="0"/>
          <w:color w:val="252A36"/>
          <w:sz w:val="18"/>
        </w:rPr>
        <w:t>audit events, monitoring, expiry, incident response, complaint handling, periodic review, and support workflow;</w:t>
      </w:r>
    </w:p>
    <w:p>
      <w:pPr>
        <w:pStyle w:val="ListBullet"/>
        <w:keepLines w:val="0"/>
        <w:widowControl w:val="true"/>
      </w:pPr>
      <w:r>
        <w:rPr>
          <w:rFonts w:ascii="Inter" w:hAnsi="Inter" w:eastAsia="Inter"/>
          <w:b w:val="0"/>
          <w:color w:val="252A36"/>
          <w:sz w:val="18"/>
        </w:rPr>
        <w:t>user notice, enablement, challenge, correction, redress, and human-escalation process;</w:t>
      </w:r>
    </w:p>
    <w:p>
      <w:pPr>
        <w:pStyle w:val="ListBullet"/>
        <w:keepLines w:val="0"/>
        <w:widowControl w:val="true"/>
      </w:pPr>
      <w:r>
        <w:rPr>
          <w:rFonts w:ascii="Inter" w:hAnsi="Inter" w:eastAsia="Inter"/>
          <w:b w:val="0"/>
          <w:color w:val="252A36"/>
          <w:sz w:val="18"/>
        </w:rPr>
        <w:t>security, privacy, legal, professional, accessibility, cross-canon, and release approval appropriate to risk.</w:t>
      </w:r>
    </w:p>
    <w:p>
      <w:pPr>
        <w:widowControl w:val="true"/>
      </w:pPr>
      <w:r>
        <w:rPr>
          <w:rFonts w:ascii="Inter" w:hAnsi="Inter" w:eastAsia="Inter"/>
          <w:b w:val="0"/>
          <w:color w:val="252A36"/>
          <w:sz w:val="18"/>
        </w:rPr>
        <w:t>Approval must identify the exact stage authorized: synthetic test, internal test with controlled data, shadow test, controlled customer pilot, limited production, or general production. Authority for one stage does not imply the next.</w:t>
      </w:r>
    </w:p>
    <w:p>
      <w:pPr>
        <w:pStyle w:val="Heading2"/>
        <w:pBdr>
          <w:left w:val="single" w:sz="14" w:space="5" w:color="B8AECF"/>
        </w:pBdr>
        <w:keepNext/>
        <w:widowControl w:val="true"/>
      </w:pPr>
      <w:r>
        <w:rPr>
          <w:rFonts w:ascii="Inter" w:hAnsi="Inter" w:eastAsia="Inter"/>
          <w:b/>
          <w:color w:val="303A59"/>
          <w:sz w:val="23"/>
        </w:rPr>
        <w:t>93. Required Named Downstream Implementation Packages</w:t>
      </w:r>
    </w:p>
    <w:p>
      <w:pPr>
        <w:widowControl w:val="true"/>
      </w:pPr>
      <w:r>
        <w:rPr>
          <w:rFonts w:ascii="Inter" w:hAnsi="Inter" w:eastAsia="Inter"/>
          <w:b w:val="0"/>
          <w:color w:val="252A36"/>
          <w:sz w:val="18"/>
        </w:rPr>
        <w:t>Health-risk scoring, feed recommendations, behavioral or risk scoring, rider-horse matching, lameness-adjacent computer vision, automatic collections, financial forecasting, external-information retrieval, agentic tool use, and Supervised Automation each require a named, separately scoped implementation package. Approval of one does not authorize another.</w:t>
      </w:r>
    </w:p>
    <w:p>
      <w:pPr>
        <w:widowControl w:val="true"/>
      </w:pPr>
      <w:r>
        <w:rPr>
          <w:rFonts w:ascii="Inter" w:hAnsi="Inter" w:eastAsia="Inter"/>
          <w:b w:val="0"/>
          <w:color w:val="252A36"/>
          <w:sz w:val="18"/>
        </w:rPr>
        <w:t>A package must identify the exact use case, domain, model, data, purpose, tier, tools, population, professional review, and stage sought. Generic authority for “AI,” “automation,” “copilot,” “smart features,” or “agents” is invalid.</w:t>
      </w:r>
    </w:p>
    <w:p>
      <w:pPr>
        <w:widowControl w:val="true"/>
      </w:pPr>
      <w:r>
        <w:rPr>
          <w:rFonts w:ascii="Inter" w:hAnsi="Inter" w:eastAsia="Inter"/>
          <w:b w:val="0"/>
          <w:color w:val="252A36"/>
          <w:sz w:val="18"/>
        </w:rPr>
        <w:t>Predictive Emergency Decisions remain outside launch authority and require future constitutional reconsideration before implementation planning may begin.</w:t>
      </w:r>
    </w:p>
    <w:p>
      <w:pPr>
        <w:pStyle w:val="Heading2"/>
        <w:pBdr>
          <w:left w:val="single" w:sz="14" w:space="5" w:color="B8AECF"/>
        </w:pBdr>
        <w:keepNext/>
        <w:widowControl w:val="true"/>
      </w:pPr>
      <w:r>
        <w:rPr>
          <w:rFonts w:ascii="Inter" w:hAnsi="Inter" w:eastAsia="Inter"/>
          <w:b/>
          <w:color w:val="303A59"/>
          <w:sz w:val="23"/>
        </w:rPr>
        <w:t>94. Constitutional Invariants</w:t>
      </w:r>
    </w:p>
    <w:p>
      <w:pPr>
        <w:pStyle w:val="ListBullet"/>
        <w:keepLines w:val="0"/>
        <w:widowControl w:val="true"/>
      </w:pPr>
      <w:r>
        <w:rPr>
          <w:rFonts w:ascii="Inter" w:hAnsi="Inter" w:eastAsia="Inter"/>
          <w:b w:val="0"/>
          <w:color w:val="252A36"/>
          <w:sz w:val="18"/>
        </w:rPr>
        <w:t>AI remains assistive and subordinate to authorized human and organizational responsibility.</w:t>
      </w:r>
    </w:p>
    <w:p>
      <w:pPr>
        <w:pStyle w:val="ListBullet"/>
        <w:keepLines w:val="0"/>
        <w:widowControl w:val="true"/>
      </w:pPr>
      <w:r>
        <w:rPr>
          <w:rFonts w:ascii="Inter" w:hAnsi="Inter" w:eastAsia="Inter"/>
          <w:b w:val="0"/>
          <w:color w:val="252A36"/>
          <w:sz w:val="18"/>
        </w:rPr>
        <w:t>Safety and welfare outrank convenience, speed, engagement, cost reduction, and revenue.</w:t>
      </w:r>
    </w:p>
    <w:p>
      <w:pPr>
        <w:pStyle w:val="ListBullet"/>
        <w:keepLines w:val="0"/>
        <w:widowControl w:val="true"/>
      </w:pPr>
      <w:r>
        <w:rPr>
          <w:rFonts w:ascii="Inter" w:hAnsi="Inter" w:eastAsia="Inter"/>
          <w:b w:val="0"/>
          <w:color w:val="252A36"/>
          <w:sz w:val="18"/>
        </w:rPr>
        <w:t>AI does not determine rider ability, horse lameness, soundness, fitness, diagnosis, or emergency disposition.</w:t>
      </w:r>
    </w:p>
    <w:p>
      <w:pPr>
        <w:pStyle w:val="ListBullet"/>
        <w:keepLines w:val="0"/>
        <w:widowControl w:val="true"/>
      </w:pPr>
      <w:r>
        <w:rPr>
          <w:rFonts w:ascii="Inter" w:hAnsi="Inter" w:eastAsia="Inter"/>
          <w:b w:val="0"/>
          <w:color w:val="252A36"/>
          <w:sz w:val="18"/>
        </w:rPr>
        <w:t>Customer Operational Data and Derived Data are not used to train or improve General or Shared Models.</w:t>
      </w:r>
    </w:p>
    <w:p>
      <w:pPr>
        <w:pStyle w:val="ListBullet"/>
        <w:keepLines w:val="0"/>
        <w:widowControl w:val="true"/>
      </w:pPr>
      <w:r>
        <w:rPr>
          <w:rFonts w:ascii="Inter" w:hAnsi="Inter" w:eastAsia="Inter"/>
          <w:b w:val="0"/>
          <w:color w:val="252A36"/>
          <w:sz w:val="18"/>
        </w:rPr>
        <w:t>AI use remains purpose-limited and never expands a user's permissions, crosses tenant boundaries, or uses service privilege to bypass actual authority.</w:t>
      </w:r>
    </w:p>
    <w:p>
      <w:pPr>
        <w:pStyle w:val="ListBullet"/>
        <w:keepLines w:val="0"/>
        <w:widowControl w:val="true"/>
      </w:pPr>
      <w:r>
        <w:rPr>
          <w:rFonts w:ascii="Inter" w:hAnsi="Inter" w:eastAsia="Inter"/>
          <w:b w:val="0"/>
          <w:color w:val="252A36"/>
          <w:sz w:val="18"/>
        </w:rPr>
        <w:t>Consent, contract, configuration, product language, or customer preference cannot waive a constitutional prohibition.</w:t>
      </w:r>
    </w:p>
    <w:p>
      <w:pPr>
        <w:pStyle w:val="ListBullet"/>
        <w:keepLines w:val="0"/>
        <w:widowControl w:val="true"/>
      </w:pPr>
      <w:r>
        <w:rPr>
          <w:rFonts w:ascii="Inter" w:hAnsi="Inter" w:eastAsia="Inter"/>
          <w:b w:val="0"/>
          <w:color w:val="252A36"/>
          <w:sz w:val="18"/>
        </w:rPr>
        <w:t>AI Output is not automatically authoritative truth, professional judgment, consent, evidence, or binding action.</w:t>
      </w:r>
    </w:p>
    <w:p>
      <w:pPr>
        <w:pStyle w:val="ListBullet"/>
        <w:keepLines w:val="0"/>
        <w:widowControl w:val="true"/>
      </w:pPr>
      <w:r>
        <w:rPr>
          <w:rFonts w:ascii="Inter" w:hAnsi="Inter" w:eastAsia="Inter"/>
          <w:b w:val="0"/>
          <w:color w:val="252A36"/>
          <w:sz w:val="18"/>
        </w:rPr>
        <w:t>Facts are distinguished from inference, recommendation, prediction, score, and estimate.</w:t>
      </w:r>
    </w:p>
    <w:p>
      <w:pPr>
        <w:pStyle w:val="ListBullet"/>
        <w:keepLines w:val="0"/>
        <w:widowControl w:val="true"/>
      </w:pPr>
      <w:r>
        <w:rPr>
          <w:rFonts w:ascii="Inter" w:hAnsi="Inter" w:eastAsia="Inter"/>
          <w:b w:val="0"/>
          <w:color w:val="252A36"/>
          <w:sz w:val="18"/>
        </w:rPr>
        <w:t>Consequential actions require Meaningful Human Review or bounded Supervised Automation under controlling domain rules.</w:t>
      </w:r>
    </w:p>
    <w:p>
      <w:pPr>
        <w:pStyle w:val="ListBullet"/>
        <w:keepLines w:val="0"/>
        <w:widowControl w:val="true"/>
      </w:pPr>
      <w:r>
        <w:rPr>
          <w:rFonts w:ascii="Inter" w:hAnsi="Inter" w:eastAsia="Inter"/>
          <w:b w:val="0"/>
          <w:color w:val="252A36"/>
          <w:sz w:val="18"/>
        </w:rPr>
        <w:t>Permitted components may not be composed into a prohibited outcome.</w:t>
      </w:r>
    </w:p>
    <w:p>
      <w:pPr>
        <w:pStyle w:val="ListBullet"/>
        <w:keepLines w:val="0"/>
        <w:widowControl w:val="true"/>
      </w:pPr>
      <w:r>
        <w:rPr>
          <w:rFonts w:ascii="Inter" w:hAnsi="Inter" w:eastAsia="Inter"/>
          <w:b w:val="0"/>
          <w:color w:val="252A36"/>
          <w:sz w:val="18"/>
        </w:rPr>
        <w:t>Every production AI use case has a registered identity, accountable owner, approved purpose, Safety Case, exact model and tool boundary, stage-specific authority, expiry, monitoring, challenge path, independent suspension control, and safe retirement plan.</w:t>
      </w:r>
    </w:p>
    <w:p>
      <w:pPr>
        <w:pStyle w:val="ListBullet"/>
        <w:keepLines w:val="0"/>
        <w:widowControl w:val="true"/>
      </w:pPr>
      <w:r>
        <w:rPr>
          <w:rFonts w:ascii="Inter" w:hAnsi="Inter" w:eastAsia="Inter"/>
          <w:b w:val="0"/>
          <w:color w:val="252A36"/>
          <w:sz w:val="18"/>
        </w:rPr>
        <w:t>Untrusted Content cannot alter constitutional policy, tool authority, data purpose, permissions, or secrets boundaries.</w:t>
      </w:r>
    </w:p>
    <w:p>
      <w:pPr>
        <w:pStyle w:val="ListBullet"/>
        <w:keepLines w:val="0"/>
        <w:widowControl w:val="true"/>
      </w:pPr>
      <w:r>
        <w:rPr>
          <w:rFonts w:ascii="Inter" w:hAnsi="Inter" w:eastAsia="Inter"/>
          <w:b w:val="0"/>
          <w:color w:val="252A36"/>
          <w:sz w:val="18"/>
        </w:rPr>
        <w:t>Authoritative records, Essential Horse Care, disputes, safety reporting, and human review remain accessible without dependence on an available or agreeable AI output.</w:t>
      </w:r>
    </w:p>
    <w:p>
      <w:pPr>
        <w:pStyle w:val="Heading2"/>
        <w:pBdr>
          <w:left w:val="single" w:sz="14" w:space="5" w:color="B8AECF"/>
        </w:pBdr>
        <w:keepNext/>
        <w:widowControl w:val="true"/>
      </w:pPr>
      <w:r>
        <w:rPr>
          <w:rFonts w:ascii="Inter" w:hAnsi="Inter" w:eastAsia="Inter"/>
          <w:b/>
          <w:color w:val="303A59"/>
          <w:sz w:val="23"/>
        </w:rPr>
        <w:t>95. Explicit Prohibitions</w:t>
      </w:r>
    </w:p>
    <w:p>
      <w:pPr>
        <w:pStyle w:val="ListBullet"/>
        <w:keepLines w:val="0"/>
        <w:widowControl w:val="true"/>
      </w:pPr>
      <w:r>
        <w:rPr>
          <w:rFonts w:ascii="Inter" w:hAnsi="Inter" w:eastAsia="Inter"/>
          <w:b w:val="0"/>
          <w:color w:val="252A36"/>
          <w:sz w:val="18"/>
        </w:rPr>
        <w:t>No hidden customer-data training, provider reuse, generalized evaluation, shared-model improvement, or provider human review outside a narrowly approved operational exception.</w:t>
      </w:r>
    </w:p>
    <w:p>
      <w:pPr>
        <w:pStyle w:val="ListBullet"/>
        <w:keepLines w:val="0"/>
        <w:widowControl w:val="true"/>
      </w:pPr>
      <w:r>
        <w:rPr>
          <w:rFonts w:ascii="Inter" w:hAnsi="Inter" w:eastAsia="Inter"/>
          <w:b w:val="0"/>
          <w:color w:val="252A36"/>
          <w:sz w:val="18"/>
        </w:rPr>
        <w:t>No diagnosis, treatment prescription, lameness determination, soundness determination, rider ability determination, professional certification, or predictive emergency disposition.</w:t>
      </w:r>
    </w:p>
    <w:p>
      <w:pPr>
        <w:pStyle w:val="ListBullet"/>
        <w:keepLines w:val="0"/>
        <w:widowControl w:val="true"/>
      </w:pPr>
      <w:r>
        <w:rPr>
          <w:rFonts w:ascii="Inter" w:hAnsi="Inter" w:eastAsia="Inter"/>
          <w:b w:val="0"/>
          <w:color w:val="252A36"/>
          <w:sz w:val="18"/>
        </w:rPr>
        <w:t>No autonomous ownership, custody, transfer, contract, consent, financial-liability, creditworthiness, safeguarding, disciplinary, employment, legal-hold, evidentiary, or Essential Horse Care decision.</w:t>
      </w:r>
    </w:p>
    <w:p>
      <w:pPr>
        <w:pStyle w:val="ListBullet"/>
        <w:keepLines w:val="0"/>
        <w:widowControl w:val="true"/>
      </w:pPr>
      <w:r>
        <w:rPr>
          <w:rFonts w:ascii="Inter" w:hAnsi="Inter" w:eastAsia="Inter"/>
          <w:b w:val="0"/>
          <w:color w:val="252A36"/>
          <w:sz w:val="18"/>
        </w:rPr>
        <w:t>No consent laundering, purpose laundering, function creep, silent secondary use, or conversion of an optional setting into constitutional authority.</w:t>
      </w:r>
    </w:p>
    <w:p>
      <w:pPr>
        <w:pStyle w:val="ListBullet"/>
        <w:keepLines w:val="0"/>
        <w:widowControl w:val="true"/>
      </w:pPr>
      <w:r>
        <w:rPr>
          <w:rFonts w:ascii="Inter" w:hAnsi="Inter" w:eastAsia="Inter"/>
          <w:b w:val="0"/>
          <w:color w:val="252A36"/>
          <w:sz w:val="18"/>
        </w:rPr>
        <w:t>No deceptive impersonation, synthetic-evidence fabrication, fabricated source, fabricated record, fabricated signature, or unsupported claim presented as fact.</w:t>
      </w:r>
    </w:p>
    <w:p>
      <w:pPr>
        <w:pStyle w:val="ListBullet"/>
        <w:keepLines w:val="0"/>
        <w:widowControl w:val="true"/>
      </w:pPr>
      <w:r>
        <w:rPr>
          <w:rFonts w:ascii="Inter" w:hAnsi="Inter" w:eastAsia="Inter"/>
          <w:b w:val="0"/>
          <w:color w:val="252A36"/>
          <w:sz w:val="18"/>
        </w:rPr>
        <w:t>No cross-tenant disclosure, hidden profiling, covert biometric identification, emotion recognition, sensitive-trait inference, or permission circumvention through inference.</w:t>
      </w:r>
    </w:p>
    <w:p>
      <w:pPr>
        <w:pStyle w:val="ListBullet"/>
        <w:keepLines w:val="0"/>
        <w:widowControl w:val="true"/>
      </w:pPr>
      <w:r>
        <w:rPr>
          <w:rFonts w:ascii="Inter" w:hAnsi="Inter" w:eastAsia="Inter"/>
          <w:b w:val="0"/>
          <w:color w:val="252A36"/>
          <w:sz w:val="18"/>
        </w:rPr>
        <w:t>No AI-driven price discrimination, vulnerability exploitation, ability-to-pay scoring, coercive collections optimization, or collection pressure using sensitive data.</w:t>
      </w:r>
    </w:p>
    <w:p>
      <w:pPr>
        <w:pStyle w:val="ListBullet"/>
        <w:keepLines w:val="0"/>
        <w:widowControl w:val="true"/>
      </w:pPr>
      <w:r>
        <w:rPr>
          <w:rFonts w:ascii="Inter" w:hAnsi="Inter" w:eastAsia="Inter"/>
          <w:b w:val="0"/>
          <w:color w:val="252A36"/>
          <w:sz w:val="18"/>
        </w:rPr>
        <w:t>No autonomous policy creation, scope expansion, secret retrieval, tool acquisition, recipient expansion, recursive delegation, or self-authorization.</w:t>
      </w:r>
    </w:p>
    <w:p>
      <w:pPr>
        <w:pStyle w:val="ListBullet"/>
        <w:keepLines w:val="0"/>
        <w:widowControl w:val="true"/>
      </w:pPr>
      <w:r>
        <w:rPr>
          <w:rFonts w:ascii="Inter" w:hAnsi="Inter" w:eastAsia="Inter"/>
          <w:b w:val="0"/>
          <w:color w:val="252A36"/>
          <w:sz w:val="18"/>
        </w:rPr>
        <w:t>No chaining or decomposition of permitted steps into a prohibited or unapproved outcome.</w:t>
      </w:r>
    </w:p>
    <w:p>
      <w:pPr>
        <w:pStyle w:val="ListBullet"/>
        <w:keepLines w:val="0"/>
        <w:widowControl w:val="true"/>
      </w:pPr>
      <w:r>
        <w:rPr>
          <w:rFonts w:ascii="Inter" w:hAnsi="Inter" w:eastAsia="Inter"/>
          <w:b w:val="0"/>
          <w:color w:val="252A36"/>
          <w:sz w:val="18"/>
        </w:rPr>
        <w:t>No silent provider substitution, uncontrolled model upgrade, hidden fallback model, undisclosed consequential experimentation, or expired production authority.</w:t>
      </w:r>
    </w:p>
    <w:p>
      <w:pPr>
        <w:pStyle w:val="ListBullet"/>
        <w:keepLines w:val="0"/>
        <w:widowControl w:val="true"/>
      </w:pPr>
      <w:r>
        <w:rPr>
          <w:rFonts w:ascii="Inter" w:hAnsi="Inter" w:eastAsia="Inter"/>
          <w:b w:val="0"/>
          <w:color w:val="252A36"/>
          <w:sz w:val="18"/>
        </w:rPr>
        <w:t>No AI-only access path for authoritative records, safety reporting, disputes, Essential Horse Care information, or required human review.</w:t>
      </w:r>
    </w:p>
    <w:p>
      <w:pPr>
        <w:pStyle w:val="ListBullet"/>
        <w:keepLines w:val="0"/>
        <w:widowControl w:val="true"/>
      </w:pPr>
      <w:r>
        <w:rPr>
          <w:rFonts w:ascii="Inter" w:hAnsi="Inter" w:eastAsia="Inter"/>
          <w:b w:val="0"/>
          <w:color w:val="252A36"/>
          <w:sz w:val="18"/>
        </w:rPr>
        <w:t>No informal waiver or exception to an Absolute Human-Authority Zone.</w:t>
      </w:r>
    </w:p>
    <w:p>
      <w:pPr>
        <w:pStyle w:val="Heading2"/>
        <w:pBdr>
          <w:left w:val="single" w:sz="14" w:space="5" w:color="B8AECF"/>
        </w:pBdr>
        <w:keepNext/>
        <w:widowControl w:val="true"/>
      </w:pPr>
      <w:r>
        <w:rPr>
          <w:rFonts w:ascii="Inter" w:hAnsi="Inter" w:eastAsia="Inter"/>
          <w:b/>
          <w:color w:val="303A59"/>
          <w:sz w:val="23"/>
        </w:rPr>
        <w:t>96. Founder Decisions Incorporated</w:t>
      </w:r>
    </w:p>
    <w:p>
      <w:pPr>
        <w:widowControl w:val="true"/>
      </w:pPr>
      <w:r>
        <w:rPr>
          <w:rFonts w:ascii="Inter" w:hAnsi="Inter" w:eastAsia="Inter"/>
          <w:b w:val="0"/>
          <w:color w:val="252A36"/>
          <w:sz w:val="18"/>
        </w:rPr>
        <w:t>The following founder decisions are incorporated as controlling drafting instructions for this candidate.</w:t>
      </w:r>
    </w:p>
    <w:p>
      <w:pPr>
        <w:pStyle w:val="ListBullet"/>
        <w:keepLines w:val="0"/>
        <w:widowControl w:val="true"/>
      </w:pPr>
      <w:r>
        <w:rPr>
          <w:rFonts w:ascii="Inter" w:hAnsi="Inter" w:eastAsia="Inter"/>
          <w:b w:val="0"/>
          <w:color w:val="252A36"/>
          <w:sz w:val="18"/>
        </w:rPr>
        <w:t>AI is a tool for assistance, information, pattern and trend detection, and routine-task support.</w:t>
      </w:r>
    </w:p>
    <w:p>
      <w:pPr>
        <w:pStyle w:val="ListBullet"/>
        <w:keepLines w:val="0"/>
        <w:widowControl w:val="true"/>
      </w:pPr>
      <w:r>
        <w:rPr>
          <w:rFonts w:ascii="Inter" w:hAnsi="Inter" w:eastAsia="Inter"/>
          <w:b w:val="0"/>
          <w:color w:val="252A36"/>
          <w:sz w:val="18"/>
        </w:rPr>
        <w:t>AI must always prioritize safety.</w:t>
      </w:r>
    </w:p>
    <w:p>
      <w:pPr>
        <w:pStyle w:val="ListBullet"/>
        <w:keepLines w:val="0"/>
        <w:widowControl w:val="true"/>
      </w:pPr>
      <w:r>
        <w:rPr>
          <w:rFonts w:ascii="Inter" w:hAnsi="Inter" w:eastAsia="Inter"/>
          <w:b w:val="0"/>
          <w:color w:val="252A36"/>
          <w:sz w:val="18"/>
        </w:rPr>
        <w:t>AI cannot determine rider ability or horse lameness.</w:t>
      </w:r>
    </w:p>
    <w:p>
      <w:pPr>
        <w:pStyle w:val="ListBullet"/>
        <w:keepLines w:val="0"/>
        <w:widowControl w:val="true"/>
      </w:pPr>
      <w:r>
        <w:rPr>
          <w:rFonts w:ascii="Inter" w:hAnsi="Inter" w:eastAsia="Inter"/>
          <w:b w:val="0"/>
          <w:color w:val="252A36"/>
          <w:sz w:val="18"/>
        </w:rPr>
        <w:t>Consequential legal, financial, medical, welfare, safeguarding, ownership, and access decisions remain human-authority zones.</w:t>
      </w:r>
    </w:p>
    <w:p>
      <w:pPr>
        <w:pStyle w:val="ListBullet"/>
        <w:keepLines w:val="0"/>
        <w:widowControl w:val="true"/>
      </w:pPr>
      <w:r>
        <w:rPr>
          <w:rFonts w:ascii="Inter" w:hAnsi="Inter" w:eastAsia="Inter"/>
          <w:b w:val="0"/>
          <w:color w:val="252A36"/>
          <w:sz w:val="18"/>
        </w:rPr>
        <w:t>EquineSync customer operational data will not be used to train General or Shared Models.</w:t>
      </w:r>
    </w:p>
    <w:p>
      <w:pPr>
        <w:pStyle w:val="ListBullet"/>
        <w:keepLines w:val="0"/>
        <w:widowControl w:val="true"/>
      </w:pPr>
      <w:r>
        <w:rPr>
          <w:rFonts w:ascii="Inter" w:hAnsi="Inter" w:eastAsia="Inter"/>
          <w:b w:val="0"/>
          <w:color w:val="252A36"/>
          <w:sz w:val="18"/>
        </w:rPr>
        <w:t>Provider-neutral architecture, minimum-necessary disclosure, strong retention controls, and vendor exit capability are required.</w:t>
      </w:r>
    </w:p>
    <w:p>
      <w:pPr>
        <w:pStyle w:val="ListBullet"/>
        <w:keepLines w:val="0"/>
        <w:widowControl w:val="true"/>
      </w:pPr>
      <w:r>
        <w:rPr>
          <w:rFonts w:ascii="Inter" w:hAnsi="Inter" w:eastAsia="Inter"/>
          <w:b w:val="0"/>
          <w:color w:val="252A36"/>
          <w:sz w:val="18"/>
        </w:rPr>
        <w:t>The five-tier decision framework is approved.</w:t>
      </w:r>
    </w:p>
    <w:p>
      <w:pPr>
        <w:pStyle w:val="ListBullet"/>
        <w:keepLines w:val="0"/>
        <w:widowControl w:val="true"/>
      </w:pPr>
      <w:r>
        <w:rPr>
          <w:rFonts w:ascii="Inter" w:hAnsi="Inter" w:eastAsia="Inter"/>
          <w:b w:val="0"/>
          <w:color w:val="252A36"/>
          <w:sz w:val="18"/>
        </w:rPr>
        <w:t>AI outputs must be labeled, source-grounded, transparent about fact versus inference, explicit about estimates, and candid about uncertainty.</w:t>
      </w:r>
    </w:p>
    <w:p>
      <w:pPr>
        <w:pStyle w:val="ListBullet"/>
        <w:keepLines w:val="0"/>
        <w:widowControl w:val="true"/>
      </w:pPr>
      <w:r>
        <w:rPr>
          <w:rFonts w:ascii="Inter" w:hAnsi="Inter" w:eastAsia="Inter"/>
          <w:b w:val="0"/>
          <w:color w:val="252A36"/>
          <w:sz w:val="18"/>
        </w:rPr>
        <w:t>AI must refuse unsupported conclusions and request more information when appropriate.</w:t>
      </w:r>
    </w:p>
    <w:p>
      <w:pPr>
        <w:pStyle w:val="ListBullet"/>
        <w:keepLines w:val="0"/>
        <w:widowControl w:val="true"/>
      </w:pPr>
      <w:r>
        <w:rPr>
          <w:rFonts w:ascii="Inter" w:hAnsi="Inter" w:eastAsia="Inter"/>
          <w:b w:val="0"/>
          <w:color w:val="252A36"/>
          <w:sz w:val="18"/>
        </w:rPr>
        <w:t>AI output is not automatically canonical, users may challenge it, and AI inherits the user's narrowest permissions.</w:t>
      </w:r>
    </w:p>
    <w:p>
      <w:pPr>
        <w:pStyle w:val="ListBullet"/>
        <w:keepLines w:val="0"/>
        <w:widowControl w:val="true"/>
      </w:pPr>
      <w:r>
        <w:rPr>
          <w:rFonts w:ascii="Inter" w:hAnsi="Inter" w:eastAsia="Inter"/>
          <w:b w:val="0"/>
          <w:color w:val="252A36"/>
          <w:sz w:val="18"/>
        </w:rPr>
        <w:t>Identifiable cross-tenant learning is prohibited; minors, offline use, financial use, and equine-health use receive enhanced safeguards.</w:t>
      </w:r>
    </w:p>
    <w:p>
      <w:pPr>
        <w:pStyle w:val="ListBullet"/>
        <w:keepLines w:val="0"/>
        <w:widowControl w:val="true"/>
      </w:pPr>
      <w:r>
        <w:rPr>
          <w:rFonts w:ascii="Inter" w:hAnsi="Inter" w:eastAsia="Inter"/>
          <w:b w:val="0"/>
          <w:color w:val="252A36"/>
          <w:sz w:val="18"/>
        </w:rPr>
        <w:t>Health-risk scoring, feed recommendations, behavioral or risk scoring, automatic collections, financial forecasting, and supervised workflow automation are permitted launch candidates within the boundaries of this Model.</w:t>
      </w:r>
    </w:p>
    <w:p>
      <w:pPr>
        <w:pStyle w:val="ListBullet"/>
        <w:keepLines w:val="0"/>
        <w:widowControl w:val="true"/>
      </w:pPr>
      <w:r>
        <w:rPr>
          <w:rFonts w:ascii="Inter" w:hAnsi="Inter" w:eastAsia="Inter"/>
          <w:b w:val="0"/>
          <w:color w:val="252A36"/>
          <w:sz w:val="18"/>
        </w:rPr>
        <w:t>Predictive Emergency Decisions remain deferred.</w:t>
      </w:r>
    </w:p>
    <w:p>
      <w:pPr>
        <w:pStyle w:val="Heading2"/>
        <w:pBdr>
          <w:left w:val="single" w:sz="14" w:space="5" w:color="B8AECF"/>
        </w:pBdr>
        <w:keepNext/>
        <w:widowControl w:val="true"/>
      </w:pPr>
      <w:r>
        <w:rPr>
          <w:rFonts w:ascii="Inter" w:hAnsi="Inter" w:eastAsia="Inter"/>
          <w:b/>
          <w:color w:val="303A59"/>
          <w:sz w:val="23"/>
        </w:rPr>
        <w:t>97. Controlled Review Obligations and Remaining Implementation Dependencies</w:t>
      </w:r>
    </w:p>
    <w:p>
      <w:pPr>
        <w:widowControl w:val="true"/>
      </w:pPr>
      <w:r>
        <w:rPr>
          <w:rFonts w:ascii="Inter" w:hAnsi="Inter" w:eastAsia="Inter"/>
          <w:b w:val="0"/>
          <w:color w:val="252A36"/>
          <w:sz w:val="18"/>
        </w:rPr>
        <w:t>No additional founder policy decision is required to complete this Version 2.0 candidate. Controlled review must confirm and evidence:</w:t>
      </w:r>
    </w:p>
    <w:p>
      <w:pPr>
        <w:pStyle w:val="ListBullet"/>
        <w:keepLines w:val="0"/>
        <w:widowControl w:val="true"/>
      </w:pPr>
      <w:r>
        <w:rPr>
          <w:rFonts w:ascii="Inter" w:hAnsi="Inter" w:eastAsia="Inter"/>
          <w:b w:val="0"/>
          <w:color w:val="252A36"/>
          <w:sz w:val="18"/>
        </w:rPr>
        <w:t>exact cross-canon terminology, authority stack, and conflict resolution;</w:t>
      </w:r>
    </w:p>
    <w:p>
      <w:pPr>
        <w:pStyle w:val="ListBullet"/>
        <w:keepLines w:val="0"/>
        <w:widowControl w:val="true"/>
      </w:pPr>
      <w:r>
        <w:rPr>
          <w:rFonts w:ascii="Inter" w:hAnsi="Inter" w:eastAsia="Inter"/>
          <w:b w:val="0"/>
          <w:color w:val="252A36"/>
          <w:sz w:val="18"/>
        </w:rPr>
        <w:t>alignment with Identity, Relationships, Agreements, Claims, Records, Audit, Communications, Financial Truth V2.1, External Architecture, Platform Operations, Horse Transfer, and Implementation Atlas authority;</w:t>
      </w:r>
    </w:p>
    <w:p>
      <w:pPr>
        <w:pStyle w:val="ListBullet"/>
        <w:keepLines w:val="0"/>
        <w:widowControl w:val="true"/>
      </w:pPr>
      <w:r>
        <w:rPr>
          <w:rFonts w:ascii="Inter" w:hAnsi="Inter" w:eastAsia="Inter"/>
          <w:b w:val="0"/>
          <w:color w:val="252A36"/>
          <w:sz w:val="18"/>
        </w:rPr>
        <w:t>jurisdiction-specific notice, consent, automated-decision, employment, minor, professional-practice, insurance, privacy, consumer-protection, and communications requirements for each use case;</w:t>
      </w:r>
    </w:p>
    <w:p>
      <w:pPr>
        <w:pStyle w:val="ListBullet"/>
        <w:keepLines w:val="0"/>
        <w:widowControl w:val="true"/>
      </w:pPr>
      <w:r>
        <w:rPr>
          <w:rFonts w:ascii="Inter" w:hAnsi="Inter" w:eastAsia="Inter"/>
          <w:b w:val="0"/>
          <w:color w:val="252A36"/>
          <w:sz w:val="18"/>
        </w:rPr>
        <w:t>professional advisory requirements for health-risk, feed, lameness-adjacent, rider-safety, financial, collections, safeguarding, employment, and other specialized capabilities;</w:t>
      </w:r>
    </w:p>
    <w:p>
      <w:pPr>
        <w:pStyle w:val="ListBullet"/>
        <w:keepLines w:val="0"/>
        <w:widowControl w:val="true"/>
      </w:pPr>
      <w:r>
        <w:rPr>
          <w:rFonts w:ascii="Inter" w:hAnsi="Inter" w:eastAsia="Inter"/>
          <w:b w:val="0"/>
          <w:color w:val="252A36"/>
          <w:sz w:val="18"/>
        </w:rPr>
        <w:t>provider ability to satisfy no-training, no-generalized-evaluation, retention, human-review, security, deletion, change-notice, and exit requirements;</w:t>
      </w:r>
    </w:p>
    <w:p>
      <w:pPr>
        <w:pStyle w:val="ListBullet"/>
        <w:keepLines w:val="0"/>
        <w:widowControl w:val="true"/>
      </w:pPr>
      <w:r>
        <w:rPr>
          <w:rFonts w:ascii="Inter" w:hAnsi="Inter" w:eastAsia="Inter"/>
          <w:b w:val="0"/>
          <w:color w:val="252A36"/>
          <w:sz w:val="18"/>
        </w:rPr>
        <w:t>architecture enforcement of source-level permissions, Purpose Limitation, tenant-isolated Retrieval Indexes, Derived Data lifecycle, model identity, tool composition limits, and independent kill controls;</w:t>
      </w:r>
    </w:p>
    <w:p>
      <w:pPr>
        <w:pStyle w:val="ListBullet"/>
        <w:keepLines w:val="0"/>
        <w:widowControl w:val="true"/>
      </w:pPr>
      <w:r>
        <w:rPr>
          <w:rFonts w:ascii="Inter" w:hAnsi="Inter" w:eastAsia="Inter"/>
          <w:b w:val="0"/>
          <w:color w:val="252A36"/>
          <w:sz w:val="18"/>
        </w:rPr>
        <w:t>accessibility, comprehension, language, non-AI fallback, challenge, and redress quality;</w:t>
      </w:r>
    </w:p>
    <w:p>
      <w:pPr>
        <w:pStyle w:val="ListBullet"/>
        <w:keepLines w:val="0"/>
        <w:widowControl w:val="true"/>
      </w:pPr>
      <w:r>
        <w:rPr>
          <w:rFonts w:ascii="Inter" w:hAnsi="Inter" w:eastAsia="Inter"/>
          <w:b w:val="0"/>
          <w:color w:val="252A36"/>
          <w:sz w:val="18"/>
        </w:rPr>
        <w:t>practical feasibility of the Safety Case, expiry, renewal, suspension, and retrospective-review framework.</w:t>
      </w:r>
    </w:p>
    <w:p>
      <w:pPr>
        <w:widowControl w:val="true"/>
      </w:pPr>
      <w:r>
        <w:rPr>
          <w:rFonts w:ascii="Inter" w:hAnsi="Inter" w:eastAsia="Inter"/>
          <w:b w:val="0"/>
          <w:color w:val="252A36"/>
          <w:sz w:val="18"/>
        </w:rPr>
        <w:t>Findings must be recorded by severity and must not be silently resolved by weakening founder-approved boundaries. A material unresolved conflict blocks adoption or narrows the affected capability.</w:t>
      </w:r>
    </w:p>
    <w:p>
      <w:pPr>
        <w:pStyle w:val="Heading2"/>
        <w:pBdr>
          <w:left w:val="single" w:sz="14" w:space="5" w:color="B8AECF"/>
        </w:pBdr>
        <w:keepNext/>
        <w:widowControl w:val="true"/>
      </w:pPr>
      <w:r>
        <w:rPr>
          <w:rFonts w:ascii="Inter" w:hAnsi="Inter" w:eastAsia="Inter"/>
          <w:b/>
          <w:color w:val="303A59"/>
          <w:sz w:val="23"/>
        </w:rPr>
        <w:t>98. Lifecycle, Adoption, Amendment, Exceptions, and Review</w:t>
      </w:r>
    </w:p>
    <w:p>
      <w:pPr>
        <w:widowControl w:val="true"/>
      </w:pPr>
      <w:r>
        <w:rPr>
          <w:rFonts w:ascii="Inter" w:hAnsi="Inter" w:eastAsia="Inter"/>
          <w:b w:val="0"/>
          <w:color w:val="252A36"/>
          <w:sz w:val="18"/>
        </w:rPr>
        <w:t>The intended lifecycle is:</w:t>
      </w:r>
    </w:p>
    <w:p>
      <w:pPr>
        <w:pStyle w:val="ListNumber"/>
        <w:widowControl w:val="true"/>
      </w:pPr>
      <w:r>
        <w:rPr>
          <w:rFonts w:ascii="Inter" w:hAnsi="Inter" w:eastAsia="Inter"/>
          <w:b w:val="0"/>
          <w:color w:val="252A36"/>
          <w:sz w:val="18"/>
        </w:rPr>
        <w:t>Founder-directed draft.</w:t>
      </w:r>
    </w:p>
    <w:p>
      <w:pPr>
        <w:pStyle w:val="ListNumber"/>
        <w:widowControl w:val="true"/>
      </w:pPr>
      <w:r>
        <w:rPr>
          <w:rFonts w:ascii="Inter" w:hAnsi="Inter" w:eastAsia="Inter"/>
          <w:b w:val="0"/>
          <w:color w:val="252A36"/>
          <w:sz w:val="18"/>
        </w:rPr>
        <w:t>Foundational hardening and controlled cross-canon review.</w:t>
      </w:r>
    </w:p>
    <w:p>
      <w:pPr>
        <w:pStyle w:val="ListNumber"/>
        <w:widowControl w:val="true"/>
      </w:pPr>
      <w:r>
        <w:rPr>
          <w:rFonts w:ascii="Inter" w:hAnsi="Inter" w:eastAsia="Inter"/>
          <w:b w:val="0"/>
          <w:color w:val="252A36"/>
          <w:sz w:val="18"/>
        </w:rPr>
        <w:t>Corrections, dependency validation, and finding closure.</w:t>
      </w:r>
    </w:p>
    <w:p>
      <w:pPr>
        <w:pStyle w:val="ListNumber"/>
        <w:widowControl w:val="true"/>
      </w:pPr>
      <w:r>
        <w:rPr>
          <w:rFonts w:ascii="Inter" w:hAnsi="Inter" w:eastAsia="Inter"/>
          <w:b w:val="0"/>
          <w:color w:val="252A36"/>
          <w:sz w:val="18"/>
        </w:rPr>
        <w:t>Founder review and approval.</w:t>
      </w:r>
    </w:p>
    <w:p>
      <w:pPr>
        <w:pStyle w:val="ListNumber"/>
        <w:widowControl w:val="true"/>
      </w:pPr>
      <w:r>
        <w:rPr>
          <w:rFonts w:ascii="Inter" w:hAnsi="Inter" w:eastAsia="Inter"/>
          <w:b w:val="0"/>
          <w:color w:val="252A36"/>
          <w:sz w:val="18"/>
        </w:rPr>
        <w:t>Controlled adoption.</w:t>
      </w:r>
    </w:p>
    <w:p>
      <w:pPr>
        <w:pStyle w:val="ListNumber"/>
        <w:widowControl w:val="true"/>
      </w:pPr>
      <w:r>
        <w:rPr>
          <w:rFonts w:ascii="Inter" w:hAnsi="Inter" w:eastAsia="Inter"/>
          <w:b w:val="0"/>
          <w:color w:val="252A36"/>
          <w:sz w:val="18"/>
        </w:rPr>
        <w:t>Constitutional lock.</w:t>
      </w:r>
    </w:p>
    <w:p>
      <w:pPr>
        <w:pStyle w:val="ListNumber"/>
        <w:widowControl w:val="true"/>
      </w:pPr>
      <w:r>
        <w:rPr>
          <w:rFonts w:ascii="Inter" w:hAnsi="Inter" w:eastAsia="Inter"/>
          <w:b w:val="0"/>
          <w:color w:val="252A36"/>
          <w:sz w:val="18"/>
        </w:rPr>
        <w:t>Separate use-case implementation planning and stage-specific authorization.</w:t>
      </w:r>
    </w:p>
    <w:p>
      <w:pPr>
        <w:pStyle w:val="ListNumber"/>
        <w:widowControl w:val="true"/>
      </w:pPr>
      <w:r>
        <w:rPr>
          <w:rFonts w:ascii="Inter" w:hAnsi="Inter" w:eastAsia="Inter"/>
          <w:b w:val="0"/>
          <w:color w:val="252A36"/>
          <w:sz w:val="18"/>
        </w:rPr>
        <w:t>Periodic constitutional review and controlled amendment when needed.</w:t>
      </w:r>
    </w:p>
    <w:p>
      <w:pPr>
        <w:widowControl w:val="true"/>
      </w:pPr>
      <w:r>
        <w:rPr>
          <w:rFonts w:ascii="Inter" w:hAnsi="Inter" w:eastAsia="Inter"/>
          <w:b w:val="0"/>
          <w:color w:val="252A36"/>
          <w:sz w:val="18"/>
        </w:rPr>
        <w:t>No product, engineering, legal, vendor, tenant, or operational exception may waive an Absolute Human-Authority Zone, the no-training rule, cross-tenant prohibition, permission boundary, or other constitutional invariant.</w:t>
      </w:r>
    </w:p>
    <w:p>
      <w:pPr>
        <w:widowControl w:val="true"/>
      </w:pPr>
      <w:r>
        <w:rPr>
          <w:rFonts w:ascii="Inter" w:hAnsi="Inter" w:eastAsia="Inter"/>
          <w:b w:val="0"/>
          <w:color w:val="252A36"/>
          <w:sz w:val="18"/>
        </w:rPr>
        <w:t>A temporary operational deviation may address an implementation detail only when it does not expand AI authority, data purpose, permissions, population, consequence, or risk. It must be documented, time-limited, approved by the proper human authority, and tracked to closure.</w:t>
      </w:r>
    </w:p>
    <w:p>
      <w:pPr>
        <w:widowControl w:val="true"/>
      </w:pPr>
      <w:r>
        <w:rPr>
          <w:rFonts w:ascii="Inter" w:hAnsi="Inter" w:eastAsia="Inter"/>
          <w:b w:val="0"/>
          <w:color w:val="252A36"/>
          <w:sz w:val="18"/>
        </w:rPr>
        <w:t>A constitutional amendment must identify the exact affected sections, rationale, evidence, risk, dependencies, superseded text, effective date, and founder disposition. Prior versions must remain preserved. Silence, inconsistent implementation, or a vendor term does not amend the canon.</w:t>
      </w:r>
    </w:p>
    <w:p>
      <w:pPr>
        <w:widowControl w:val="true"/>
      </w:pPr>
      <w:r>
        <w:rPr>
          <w:rFonts w:ascii="Inter" w:hAnsi="Inter" w:eastAsia="Inter"/>
          <w:b w:val="0"/>
          <w:color w:val="252A36"/>
          <w:sz w:val="18"/>
        </w:rPr>
        <w:t>After adoption, this Model should receive scheduled review and immediate review when a material legal, professional, technical, incident, provider, or product-development change challenges its assumptions.</w:t>
      </w:r>
    </w:p>
    <w:p>
      <w:pPr>
        <w:pStyle w:val="Heading2"/>
        <w:pBdr>
          <w:left w:val="single" w:sz="14" w:space="5" w:color="B8AECF"/>
        </w:pBdr>
        <w:keepNext/>
        <w:widowControl w:val="true"/>
      </w:pPr>
      <w:r>
        <w:rPr>
          <w:rFonts w:ascii="Inter" w:hAnsi="Inter" w:eastAsia="Inter"/>
          <w:b/>
          <w:color w:val="303A59"/>
          <w:sz w:val="23"/>
        </w:rPr>
        <w:t>99. Non-Authorization Statement</w:t>
      </w:r>
    </w:p>
    <w:p>
      <w:pPr>
        <w:widowControl w:val="true"/>
      </w:pPr>
      <w:r>
        <w:rPr>
          <w:rFonts w:ascii="Inter" w:hAnsi="Inter" w:eastAsia="Inter"/>
          <w:b w:val="0"/>
          <w:color w:val="252A36"/>
          <w:sz w:val="18"/>
        </w:rPr>
        <w:t>This document does not authorize runtime AI, provider activation, credentials, Customer Operational Data transmission, model training, embeddings, Retrieval Indexes, persistent memory, customer pilots, autonomous tools, production scoring, automated collections, financial forecasting, health-risk scoring, feed recommendations, behavioral scoring, lameness-adjacent analysis, rider-horse matching, workflow automation, external web retrieval, schema mutation, migration, production mutation, or public launch.</w:t>
      </w:r>
    </w:p>
    <w:p>
      <w:pPr>
        <w:widowControl w:val="true"/>
      </w:pPr>
      <w:r>
        <w:rPr>
          <w:rFonts w:ascii="Inter" w:hAnsi="Inter" w:eastAsia="Inter"/>
          <w:b w:val="0"/>
          <w:color w:val="252A36"/>
          <w:sz w:val="18"/>
        </w:rPr>
        <w:t>Each capability remains prohibited until separately planned, classified, supported by a Safety Case, tested, professionally reviewed where required, approved for an exact stage, and released under the applicable governance process.</w:t>
      </w:r>
    </w:p>
    <w:p>
      <w:pPr>
        <w:widowControl w:val="true"/>
      </w:pPr>
      <w:r>
        <w:rPr>
          <w:rFonts w:ascii="Inter" w:hAnsi="Inter" w:eastAsia="Inter"/>
          <w:b w:val="0"/>
          <w:color w:val="252A36"/>
          <w:sz w:val="18"/>
        </w:rPr>
        <w:t>Constitutional eligibility is not implementation authority. Founder approval of this Model, if later granted, will not itself approve any provider, model, dataset, tool, use case, or launch candidate.</w:t>
      </w:r>
    </w:p>
    <w:p>
      <w:pPr>
        <w:pStyle w:val="Heading2"/>
        <w:pBdr>
          <w:left w:val="single" w:sz="14" w:space="5" w:color="B8AECF"/>
        </w:pBdr>
        <w:keepNext/>
        <w:widowControl w:val="true"/>
      </w:pPr>
      <w:r>
        <w:rPr>
          <w:rFonts w:ascii="Inter" w:hAnsi="Inter" w:eastAsia="Inter"/>
          <w:b/>
          <w:color w:val="303A59"/>
          <w:sz w:val="23"/>
        </w:rPr>
        <w:t>100. Terminal State</w:t>
      </w:r>
    </w:p>
    <w:p>
      <w:pPr>
        <w:widowControl w:val="true"/>
      </w:pPr>
      <w:r>
        <w:rPr>
          <w:rFonts w:ascii="Inter" w:hAnsi="Inter" w:eastAsia="Inter"/>
          <w:b w:val="0"/>
          <w:color w:val="252A36"/>
          <w:sz w:val="18"/>
        </w:rPr>
        <w:t>The proper terminal state for this constitutionally hardened candidate is:</w:t>
      </w:r>
    </w:p>
    <w:p>
      <w:pPr>
        <w:spacing w:before="120" w:after="120"/>
        <w:jc w:val="center"/>
        <w:shd w:fill="E3E6EB"/>
        <w:pBdr>
          <w:left w:val="single" w:sz="14" w:space="5" w:color="B8AECF"/>
        </w:pBdr>
        <w:widowControl w:val="true"/>
      </w:pPr>
      <w:r>
        <w:rPr>
          <w:rFonts w:ascii="Inter" w:hAnsi="Inter" w:eastAsia="Inter"/>
          <w:b/>
          <w:color w:val="252A36"/>
          <w:sz w:val="18"/>
        </w:rPr>
        <w:t>MASTER_AI_GOVERNANCE_AND_DECISION_BOUNDARY_MODEL_V2_0_READY_FOR_CONTROLLED_CROSS_CANON_REVIEW</w:t>
      </w:r>
    </w:p>
    <w:p>
      <w:pPr>
        <w:widowControl w:val="true"/>
      </w:pPr>
      <w:r>
        <w:rPr>
          <w:rFonts w:ascii="Inter" w:hAnsi="Inter" w:eastAsia="Inter"/>
          <w:b w:val="0"/>
          <w:color w:val="252A36"/>
          <w:sz w:val="18"/>
        </w:rPr>
        <w:t>No adoption, lock, implementation, provider activation, Customer Operational Data transfer, pilot, production, autonomous decision, or public-launch authority is created by this terminal state.</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A: LAUNCH-CANDIDATE ELIGIBILITY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2520"/>
        <w:gridCol w:w="2520"/>
        <w:gridCol w:w="2520"/>
        <w:gridCol w:w="2520"/>
      </w:tblGrid>
      <w:tr>
        <w:trPr>
          <w:tblHeader w:val="true"/>
          <w:cantSplit/>
          <w:tblHeader w:val="true"/>
          <w:cantSplit/>
        </w:trPr>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Capability</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Constitutional Status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Maximum Tier</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Foundational Boundary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Document and receipt extraction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Source-linked; human review before consequential authoritative use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Natural-language search</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Permission and purpose checked before retrieval, ranking, and display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Draft summaries and communications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review or approved template-and-trigger automation; provenance preserved</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Task suggestions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Authorized person assigns or accepts; no qualification or consent inference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Inventory recognition and forecasting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verification for feed, medication, chemicals, purchasing, and safety equipment</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Schedule conflict detection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resolves availability, qualification, labor, consent, and safeguarding issues</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Operational anomaly flagging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Flag is not proof, discipline, fraud, illness, neglect, or professional conclusion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Horse-record summaries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Current, disputed, and contradictory sources disclosed; records remain authoritative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Support and onboarding assistance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escalation, non-AI access, and accessible guidance available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Health-risk scoring or pattern alerting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diagnosis, lameness, treatment, prognosis, or clearance authority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Feed recommendations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autonomous ration, supplement, medication, or instruction change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Behavioral or operational risk scoring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Time-bounded; no rider ability, employment action, discipline, permanent label, or portability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Automatic collections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4</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Deterministic obligation rules; neutral communications; no vulnerability or Essential Horse Care restriction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forecasting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Versioned estimate only; no posting, commitment, credit, ability-to-pay, or pricing authority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Agentic Supervised Automation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4</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Tool-by-tool authorization, purpose limits, composition controls, audit, interruption, and fallback</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Lameness-adjacent vision or sensor analysis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only for advisory research and review</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soundness, fitness, diagnosis, or clearance conclusion</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Rider-horse matching assistance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only for advisory review</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human safety review; no Rider Ability Determination or participation decision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Predictive emergency decisions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Deferred and prohibited</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5</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 may alert and summarize; humans and authorized professionals determine emergency disposition</w:t>
            </w:r>
          </w:p>
        </w:tc>
      </w:tr>
    </w:tbl>
    <w:p>
      <w:pPr>
        <w:spacing w:after="0"/>
        <w:widowControl w:val="true"/>
      </w:pPr>
    </w:p>
    <w:p>
      <w:pPr>
        <w:widowControl w:val="true"/>
      </w:pPr>
      <w:r>
        <w:rPr>
          <w:rFonts w:ascii="Inter" w:hAnsi="Inter" w:eastAsia="Inter"/>
          <w:b w:val="0"/>
          <w:color w:val="252A36"/>
          <w:sz w:val="18"/>
        </w:rPr>
        <w:t>Eligibility means only that a named use case may seek separate implementation authority. No row grants customer-data, pilot, production, or launch authority.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B: PROHIBITED AUTONOMOUS DECISION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Domain</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Permitted Assistance</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Prohibited Autonomous Conclusion or Action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Rider ability</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instructor observations and progress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Assign level, certify readiness, rank suitability, or approve higher-risk activity</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Horse lameness or soundness</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Flag possible asymmetry or change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lame, sound, fit, diagnosed, or cleared for work</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Veterinary care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Organize history and suggest questions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Diagnose, prescribe, determine treatment, or delay care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Feed and nutrition</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Compare records and suggest questions or options</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Change ration, supplement, medication, allergy restriction, or professional instruction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Ownership and transfer</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records and prepare drafts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ownership, custody, transfer, surrender, retirement, death status, or sale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Contracts and consent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Extract and draft</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Execute, accept, rescind, or interpret with binding effect</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responsibility</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forecast, and run approved administrative steps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Create liability, impose unauthorized charges, score vulnerability, resolve disputes, or restrict essential care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and discipline</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Route a concern for review</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Adjudicate abuse, neglect, credibility, misconduct, employment, access, or sanctions</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Records and evidence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Extract, organize, and preserve provenance</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legal hold, delete evidence, declare a claim proven, or rewrite history</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Emergency disposition</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Issue urgent alerts and route humans</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treatment, transport, evacuation, euthanasia, denial of activity, or final emergency status</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C: AI RISK CLASSIFICATION AND MINIMUM CONTROLS</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2520"/>
        <w:gridCol w:w="2520"/>
        <w:gridCol w:w="2520"/>
        <w:gridCol w:w="2520"/>
      </w:tblGrid>
      <w:tr>
        <w:trPr>
          <w:tblHeader w:val="true"/>
          <w:cantSplit/>
          <w:tblHeader w:val="true"/>
          <w:cantSplit/>
        </w:trPr>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Risk Class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Description</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Examples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Governance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R0 - Non-AI / Out of Scope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Deterministic display or calculation with no material AI influence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Static filters, fixed arithmetic, ordinary reminders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Controlling domain and release governance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R1 - Low</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Read-only assistance with limited harm potential</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Help search, formatting, basic extraction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Registry, permissions, labeling, basic evaluation, monitoring</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R2 - Moderate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Recommendations or summaries that may influence operations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Scheduling suggestions, forecasts, anomaly flags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R1 plus source disclosure, uncertainty, challenge, periodic review</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R3 - High</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Sensitive data, professional, health, welfare, financial influence, or proposed consequential action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Health-risk signal, feed recommendation, collections proposal</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R2 plus Safety Case, professional/domain review, critical-error ceilings, Meaningful Human Review, incident, fallback, and rollback plan</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R4 - Controlled Automation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Bounded automated side effects under preapproved deterministic policy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Reminder sequence, authorized retry, task routing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R3 plus tool and composition authorization, transaction limits, idempotency, independent kill control, enhanced audit, and expiry</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R5 - Prohibited</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Autonomous consequential authority reserved to humans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Lameness decision, rider ability, diagnosis, legal liability, emergency disposition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Not eligible for implementation under this Model</w:t>
            </w:r>
          </w:p>
        </w:tc>
      </w:tr>
    </w:tbl>
    <w:p>
      <w:pPr>
        <w:spacing w:after="0"/>
        <w:widowControl w:val="true"/>
      </w:pPr>
    </w:p>
    <w:p>
      <w:pPr>
        <w:widowControl w:val="true"/>
      </w:pPr>
      <w:r>
        <w:rPr>
          <w:rFonts w:ascii="Inter" w:hAnsi="Inter" w:eastAsia="Inter"/>
          <w:b w:val="0"/>
          <w:color w:val="252A36"/>
          <w:sz w:val="18"/>
        </w:rPr>
        <w:t>A higher risk class controls when one workflow contains multiple components. Risk classification may not be lowered solely because a provider markets a model as safe, enterprise, private, or deterministic.</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D: REQUIRED AI USE CASE REGISTRY FIELDS</w:t>
            </w:r>
          </w:p>
        </w:tc>
        <w:trPr>
          <w:tblHeader/>
        </w:trPr>
      </w:tr>
    </w:tbl>
    <w:p>
      <w:pPr>
        <w:spacing w:after="0"/>
        <w:widowControl w:val="true"/>
      </w:pPr>
    </w:p>
    <w:p>
      <w:pPr>
        <w:pStyle w:val="ListNumber"/>
        <w:widowControl w:val="true"/>
      </w:pPr>
      <w:r>
        <w:rPr>
          <w:rFonts w:ascii="Inter" w:hAnsi="Inter" w:eastAsia="Inter"/>
          <w:b w:val="0"/>
          <w:color w:val="252A36"/>
          <w:sz w:val="18"/>
        </w:rPr>
        <w:t>Use-case name, identifier, owner, and current lifecycle state.</w:t>
      </w:r>
    </w:p>
    <w:p>
      <w:pPr>
        <w:pStyle w:val="ListNumber"/>
        <w:widowControl w:val="true"/>
      </w:pPr>
      <w:r>
        <w:rPr>
          <w:rFonts w:ascii="Inter" w:hAnsi="Inter" w:eastAsia="Inter"/>
          <w:b w:val="0"/>
          <w:color w:val="252A36"/>
          <w:sz w:val="18"/>
        </w:rPr>
        <w:t>Purpose, intended users, excluded users, and supported jurisdictions.</w:t>
      </w:r>
    </w:p>
    <w:p>
      <w:pPr>
        <w:pStyle w:val="ListNumber"/>
        <w:widowControl w:val="true"/>
      </w:pPr>
      <w:r>
        <w:rPr>
          <w:rFonts w:ascii="Inter" w:hAnsi="Inter" w:eastAsia="Inter"/>
          <w:b w:val="0"/>
          <w:color w:val="252A36"/>
          <w:sz w:val="18"/>
        </w:rPr>
        <w:t>Maximum decision tier and risk class.</w:t>
      </w:r>
    </w:p>
    <w:p>
      <w:pPr>
        <w:pStyle w:val="ListNumber"/>
        <w:widowControl w:val="true"/>
      </w:pPr>
      <w:r>
        <w:rPr>
          <w:rFonts w:ascii="Inter" w:hAnsi="Inter" w:eastAsia="Inter"/>
          <w:b w:val="0"/>
          <w:color w:val="252A36"/>
          <w:sz w:val="18"/>
        </w:rPr>
        <w:t>Source systems, data categories, sensitive-data flags, and retention.</w:t>
      </w:r>
    </w:p>
    <w:p>
      <w:pPr>
        <w:pStyle w:val="ListNumber"/>
        <w:widowControl w:val="true"/>
      </w:pPr>
      <w:r>
        <w:rPr>
          <w:rFonts w:ascii="Inter" w:hAnsi="Inter" w:eastAsia="Inter"/>
          <w:b w:val="0"/>
          <w:color w:val="252A36"/>
          <w:sz w:val="18"/>
        </w:rPr>
        <w:t>Model, provider, exact version, hosting, subprocessors, and change controls.</w:t>
      </w:r>
    </w:p>
    <w:p>
      <w:pPr>
        <w:pStyle w:val="ListNumber"/>
        <w:widowControl w:val="true"/>
      </w:pPr>
      <w:r>
        <w:rPr>
          <w:rFonts w:ascii="Inter" w:hAnsi="Inter" w:eastAsia="Inter"/>
          <w:b w:val="0"/>
          <w:color w:val="252A36"/>
          <w:sz w:val="18"/>
        </w:rPr>
        <w:t>Retrieval Index design, tenant isolation, permission enforcement, and deletion behavior.</w:t>
      </w:r>
    </w:p>
    <w:p>
      <w:pPr>
        <w:pStyle w:val="ListNumber"/>
        <w:widowControl w:val="true"/>
      </w:pPr>
      <w:r>
        <w:rPr>
          <w:rFonts w:ascii="Inter" w:hAnsi="Inter" w:eastAsia="Inter"/>
          <w:b w:val="0"/>
          <w:color w:val="252A36"/>
          <w:sz w:val="18"/>
        </w:rPr>
        <w:t>Prompts, policies, tools, network access, secrets handling, and action limits.</w:t>
      </w:r>
    </w:p>
    <w:p>
      <w:pPr>
        <w:pStyle w:val="ListNumber"/>
        <w:widowControl w:val="true"/>
      </w:pPr>
      <w:r>
        <w:rPr>
          <w:rFonts w:ascii="Inter" w:hAnsi="Inter" w:eastAsia="Inter"/>
          <w:b w:val="0"/>
          <w:color w:val="252A36"/>
          <w:sz w:val="18"/>
        </w:rPr>
        <w:t>Human-review role, competence, interface, escalation, and service-level expectation.</w:t>
      </w:r>
    </w:p>
    <w:p>
      <w:pPr>
        <w:pStyle w:val="ListNumber"/>
        <w:widowControl w:val="true"/>
      </w:pPr>
      <w:r>
        <w:rPr>
          <w:rFonts w:ascii="Inter" w:hAnsi="Inter" w:eastAsia="Inter"/>
          <w:b w:val="0"/>
          <w:color w:val="252A36"/>
          <w:sz w:val="18"/>
        </w:rPr>
        <w:t>Required labels, source disclosure, uncertainty language, and known limitations.</w:t>
      </w:r>
    </w:p>
    <w:p>
      <w:pPr>
        <w:pStyle w:val="ListNumber"/>
        <w:widowControl w:val="true"/>
      </w:pPr>
      <w:r>
        <w:rPr>
          <w:rFonts w:ascii="Inter" w:hAnsi="Inter" w:eastAsia="Inter"/>
          <w:b w:val="0"/>
          <w:color w:val="252A36"/>
          <w:sz w:val="18"/>
        </w:rPr>
        <w:t>Evaluation datasets, metrics, critical-error ceilings, results, and approval evidence.</w:t>
      </w:r>
    </w:p>
    <w:p>
      <w:pPr>
        <w:pStyle w:val="ListNumber"/>
        <w:widowControl w:val="true"/>
      </w:pPr>
      <w:r>
        <w:rPr>
          <w:rFonts w:ascii="Inter" w:hAnsi="Inter" w:eastAsia="Inter"/>
          <w:b w:val="0"/>
          <w:color w:val="252A36"/>
          <w:sz w:val="18"/>
        </w:rPr>
        <w:t>Monitoring metrics, incident owner, pause control, rollback, fallback, and exit plan.</w:t>
      </w:r>
    </w:p>
    <w:p>
      <w:pPr>
        <w:pStyle w:val="ListNumber"/>
        <w:widowControl w:val="true"/>
      </w:pPr>
      <w:r>
        <w:rPr>
          <w:rFonts w:ascii="Inter" w:hAnsi="Inter" w:eastAsia="Inter"/>
          <w:b w:val="0"/>
          <w:color w:val="252A36"/>
          <w:sz w:val="18"/>
        </w:rPr>
        <w:t>Tenant enablement, user notice, challenge, correction, and support process.</w:t>
      </w:r>
    </w:p>
    <w:p>
      <w:pPr>
        <w:pStyle w:val="ListNumber"/>
        <w:widowControl w:val="true"/>
      </w:pPr>
      <w:r>
        <w:rPr>
          <w:rFonts w:ascii="Inter" w:hAnsi="Inter" w:eastAsia="Inter"/>
          <w:b w:val="0"/>
          <w:color w:val="252A36"/>
          <w:sz w:val="18"/>
        </w:rPr>
        <w:t>Approval scope, approval date, reviewer, review cadence, expiry, and retirement status.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E: AI INCIDENT SEVERITY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Severity</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Illustrative Condition</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Initial Response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P0 - Critical</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Cross-tenant exposure; hidden training; unauthorized payment or record destruction; unsafe output plausibly causing severe human or horse harm; compromised agent with broad tools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Immediately disable affected capability, preserve evidence, activate executive/security response, assess notification and regulatory duties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P1 - High</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Consequential unauthorized action; repeated false reassurance; material financial or safeguarding harm; broken human-review control; systemic permission leakage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Suspend affected workflow, notify accountable owners, correct downstream effects, complete root-cause review before reactivation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P2 - Moderate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Material inaccurate output caught before consequential effect; repeated source or labeling failures; biased or inaccessible behavior with bounded impact</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Contain affected path, correct output, open tracked remediation, increase monitoring and regression coverage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P3 - Low</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Isolated cosmetic or low-impact quality issue with no rights, safety, privacy, or record effect</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Record, prioritize, and correct through ordinary release governance</w:t>
            </w:r>
          </w:p>
        </w:tc>
      </w:tr>
    </w:tbl>
    <w:p>
      <w:pPr>
        <w:spacing w:after="0"/>
        <w:widowControl w:val="true"/>
      </w:pPr>
    </w:p>
    <w:p>
      <w:pPr>
        <w:widowControl w:val="true"/>
      </w:pPr>
      <w:r>
        <w:rPr>
          <w:rFonts w:ascii="Inter" w:hAnsi="Inter" w:eastAsia="Inter"/>
          <w:b w:val="0"/>
          <w:color w:val="252A36"/>
          <w:sz w:val="18"/>
        </w:rPr>
        <w:t>Severity must reflect plausible harm and exposure, not merely the number of support tickets. Multiple similar P2 events may constitute a P1 systemic incident.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F: REQUIRED AI OUTPUT LABELING STANDARD</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Output Type</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Label Elements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Summary or extraction</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“AI-assisted”; source document or record; date or period; unverified fields and confidence concerns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Recommendation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“Recommendation, not a decision”; material inputs; assumptions; uncertainty; authorized human next step</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Estimate or forecast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“Estimate”; model or scenario date; source period; key assumptions; range or sensitivity where material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Risk signal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“Signal for review”; not diagnosis, proof, discipline, or emergency determination; escalation route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Proposed action</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“Proposed action”; affected records or parties; side effects; reviewer identity and confirmation requirement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Automated action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“Automated under approved policy”; policy or workflow reference; timestamp; result; pause or human-help route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Generated or altered media</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“AI-generated” or “AI-altered”; provenance reference; prohibition on use as unverified evidence</w:t>
            </w:r>
          </w:p>
        </w:tc>
      </w:tr>
    </w:tbl>
    <w:p>
      <w:pPr>
        <w:spacing w:after="0"/>
        <w:widowControl w:val="true"/>
      </w:pPr>
    </w:p>
    <w:p>
      <w:pPr>
        <w:widowControl w:val="true"/>
      </w:pPr>
      <w:r>
        <w:rPr>
          <w:rFonts w:ascii="Inter" w:hAnsi="Inter" w:eastAsia="Inter"/>
          <w:b w:val="0"/>
          <w:color w:val="252A36"/>
          <w:sz w:val="18"/>
        </w:rPr>
        <w:t>Labels must be placed near the output, remain visible when exported or shared where feasible, and avoid language that overstates certainty or professional authority.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G: MEANINGFUL HUMAN REVIEW CHECKLIST</w:t>
            </w:r>
          </w:p>
        </w:tc>
        <w:trPr>
          <w:tblHeader/>
        </w:trPr>
      </w:tr>
    </w:tbl>
    <w:p>
      <w:pPr>
        <w:spacing w:after="0"/>
        <w:widowControl w:val="true"/>
      </w:pPr>
    </w:p>
    <w:p>
      <w:pPr>
        <w:widowControl w:val="true"/>
      </w:pPr>
      <w:r>
        <w:rPr>
          <w:rFonts w:ascii="Inter" w:hAnsi="Inter" w:eastAsia="Inter"/>
          <w:b w:val="0"/>
          <w:color w:val="252A36"/>
          <w:sz w:val="18"/>
        </w:rPr>
        <w:t>Before approving a consequential AI proposal, the reviewer must be able to answer yes to each applicable question:</w:t>
      </w:r>
    </w:p>
    <w:p>
      <w:pPr>
        <w:pStyle w:val="ListBullet"/>
        <w:keepLines w:val="0"/>
        <w:widowControl w:val="true"/>
      </w:pPr>
      <w:r>
        <w:rPr>
          <w:rFonts w:ascii="Inter" w:hAnsi="Inter" w:eastAsia="Inter"/>
          <w:b w:val="0"/>
          <w:color w:val="252A36"/>
          <w:sz w:val="18"/>
        </w:rPr>
        <w:t>Am I authorized and sufficiently competent to make this decision without relying on the AI's authority?</w:t>
      </w:r>
    </w:p>
    <w:p>
      <w:pPr>
        <w:pStyle w:val="ListBullet"/>
        <w:keepLines w:val="0"/>
        <w:widowControl w:val="true"/>
      </w:pPr>
      <w:r>
        <w:rPr>
          <w:rFonts w:ascii="Inter" w:hAnsi="Inter" w:eastAsia="Inter"/>
          <w:b w:val="0"/>
          <w:color w:val="252A36"/>
          <w:sz w:val="18"/>
        </w:rPr>
        <w:t>Can I inspect the material Source Records and their dates?</w:t>
      </w:r>
    </w:p>
    <w:p>
      <w:pPr>
        <w:pStyle w:val="ListBullet"/>
        <w:keepLines w:val="0"/>
        <w:widowControl w:val="true"/>
      </w:pPr>
      <w:r>
        <w:rPr>
          <w:rFonts w:ascii="Inter" w:hAnsi="Inter" w:eastAsia="Inter"/>
          <w:b w:val="0"/>
          <w:color w:val="252A36"/>
          <w:sz w:val="18"/>
        </w:rPr>
        <w:t>Are facts separated from inference, recommendation, and estimate?</w:t>
      </w:r>
    </w:p>
    <w:p>
      <w:pPr>
        <w:pStyle w:val="ListBullet"/>
        <w:keepLines w:val="0"/>
        <w:widowControl w:val="true"/>
      </w:pPr>
      <w:r>
        <w:rPr>
          <w:rFonts w:ascii="Inter" w:hAnsi="Inter" w:eastAsia="Inter"/>
          <w:b w:val="0"/>
          <w:color w:val="252A36"/>
          <w:sz w:val="18"/>
        </w:rPr>
        <w:t>Are missing, conflicting, stale, or low-quality records visible?</w:t>
      </w:r>
    </w:p>
    <w:p>
      <w:pPr>
        <w:pStyle w:val="ListBullet"/>
        <w:keepLines w:val="0"/>
        <w:widowControl w:val="true"/>
      </w:pPr>
      <w:r>
        <w:rPr>
          <w:rFonts w:ascii="Inter" w:hAnsi="Inter" w:eastAsia="Inter"/>
          <w:b w:val="0"/>
          <w:color w:val="252A36"/>
          <w:sz w:val="18"/>
        </w:rPr>
        <w:t>Do I understand the material uncertainty, limitations, and possible harm if the output is wrong?</w:t>
      </w:r>
    </w:p>
    <w:p>
      <w:pPr>
        <w:pStyle w:val="ListBullet"/>
        <w:keepLines w:val="0"/>
        <w:widowControl w:val="true"/>
      </w:pPr>
      <w:r>
        <w:rPr>
          <w:rFonts w:ascii="Inter" w:hAnsi="Inter" w:eastAsia="Inter"/>
          <w:b w:val="0"/>
          <w:color w:val="252A36"/>
          <w:sz w:val="18"/>
        </w:rPr>
        <w:t>Can I reject, modify, defer, or escalate the proposal?</w:t>
      </w:r>
    </w:p>
    <w:p>
      <w:pPr>
        <w:pStyle w:val="ListBullet"/>
        <w:keepLines w:val="0"/>
        <w:widowControl w:val="true"/>
      </w:pPr>
      <w:r>
        <w:rPr>
          <w:rFonts w:ascii="Inter" w:hAnsi="Inter" w:eastAsia="Inter"/>
          <w:b w:val="0"/>
          <w:color w:val="252A36"/>
          <w:sz w:val="18"/>
        </w:rPr>
        <w:t>Have I considered contrary evidence and relevant professional or safety requirements?</w:t>
      </w:r>
    </w:p>
    <w:p>
      <w:pPr>
        <w:pStyle w:val="ListBullet"/>
        <w:keepLines w:val="0"/>
        <w:widowControl w:val="true"/>
      </w:pPr>
      <w:r>
        <w:rPr>
          <w:rFonts w:ascii="Inter" w:hAnsi="Inter" w:eastAsia="Inter"/>
          <w:b w:val="0"/>
          <w:color w:val="252A36"/>
          <w:sz w:val="18"/>
        </w:rPr>
        <w:t>Is the proposed action within the user's, tenant's, and my own authority?</w:t>
      </w:r>
    </w:p>
    <w:p>
      <w:pPr>
        <w:pStyle w:val="ListBullet"/>
        <w:keepLines w:val="0"/>
        <w:widowControl w:val="true"/>
      </w:pPr>
      <w:r>
        <w:rPr>
          <w:rFonts w:ascii="Inter" w:hAnsi="Inter" w:eastAsia="Inter"/>
          <w:b w:val="0"/>
          <w:color w:val="252A36"/>
          <w:sz w:val="18"/>
        </w:rPr>
        <w:t>Are recipients, amounts, timing, records, and side effects correct?</w:t>
      </w:r>
    </w:p>
    <w:p>
      <w:pPr>
        <w:pStyle w:val="ListBullet"/>
        <w:keepLines w:val="0"/>
        <w:widowControl w:val="true"/>
      </w:pPr>
      <w:r>
        <w:rPr>
          <w:rFonts w:ascii="Inter" w:hAnsi="Inter" w:eastAsia="Inter"/>
          <w:b w:val="0"/>
          <w:color w:val="252A36"/>
          <w:sz w:val="18"/>
        </w:rPr>
        <w:t>Is the action reversible, or are stronger safeguards required before approval?</w:t>
      </w:r>
    </w:p>
    <w:p>
      <w:pPr>
        <w:pStyle w:val="ListBullet"/>
        <w:keepLines w:val="0"/>
        <w:widowControl w:val="true"/>
      </w:pPr>
      <w:r>
        <w:rPr>
          <w:rFonts w:ascii="Inter" w:hAnsi="Inter" w:eastAsia="Inter"/>
          <w:b w:val="0"/>
          <w:color w:val="252A36"/>
          <w:sz w:val="18"/>
        </w:rPr>
        <w:t>Is there any indication that sensitive data, a minor, safeguarding, horse welfare, financial hardship, a dispute, or an emergency requires specialized review?</w:t>
      </w:r>
    </w:p>
    <w:p>
      <w:pPr>
        <w:pStyle w:val="ListBullet"/>
        <w:keepLines w:val="0"/>
        <w:widowControl w:val="true"/>
      </w:pPr>
      <w:r>
        <w:rPr>
          <w:rFonts w:ascii="Inter" w:hAnsi="Inter" w:eastAsia="Inter"/>
          <w:b w:val="0"/>
          <w:color w:val="252A36"/>
          <w:sz w:val="18"/>
        </w:rPr>
        <w:t>Will the approval, modification, or rejection be attributable and auditable?</w:t>
      </w:r>
    </w:p>
    <w:p>
      <w:pPr>
        <w:widowControl w:val="true"/>
      </w:pPr>
      <w:r>
        <w:rPr>
          <w:rFonts w:ascii="Inter" w:hAnsi="Inter" w:eastAsia="Inter"/>
          <w:b w:val="0"/>
          <w:color w:val="252A36"/>
          <w:sz w:val="18"/>
        </w:rPr>
        <w:t>A workflow must not claim “human in the loop” merely because a person clicked approve after an AI-selected outcome. Meaningful review requires independent judgment.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H: CONSTITUTIONAL AUTHORITY AND CONFLICT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Question</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Controlling Authority</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AI Behavior</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 may access the record?</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Identity, relationship, permission, and record authority</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Enforce the narrowest applicable authority at every step</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What is the authoritative fact?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Controlling domain record and claims authority</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Cite and summarize; do not replace, silently resolve, or fabricate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 may make the decision?</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Applicable law, professional duty, agreement, and domain canon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Remain within assigned tier; stop at Absolute Human-Authority Zones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May the data be used for this purpose?</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Agreement, consent, record stewardship, privacy, and this Model</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Apply Purpose Limitation and minimum necessary processing</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May an action occur?</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Domain canon plus named implementation and stage authority</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Confirm exact action, recipient, amount, record, tool, and side effects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What happens in a conflict?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Higher authority and more protective controlling rule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Stop, preserve evidence, and escalate through governed review</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user or tenant waive a rule?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This Model and applicable controlling canon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 waiver of invariants, prohibited zones, or no-training rule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vendor term change authority?</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Suspend or reject the use case when protections cannot be maintained</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lower-risk tool chain create a higher-risk result?</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Whole-workflow classification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Apply the highest tier and risk class; prohibit evasive composition</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I: MINIMUM AI SAFETY CASE CONTENTS</w:t>
            </w:r>
          </w:p>
        </w:tc>
        <w:trPr>
          <w:tblHeader/>
        </w:trPr>
      </w:tr>
    </w:tbl>
    <w:p>
      <w:pPr>
        <w:spacing w:after="0"/>
        <w:widowControl w:val="true"/>
      </w:pPr>
    </w:p>
    <w:p>
      <w:pPr>
        <w:widowControl w:val="true"/>
      </w:pPr>
      <w:r>
        <w:rPr>
          <w:rFonts w:ascii="Inter" w:hAnsi="Inter" w:eastAsia="Inter"/>
          <w:b w:val="0"/>
          <w:color w:val="252A36"/>
          <w:sz w:val="18"/>
        </w:rPr>
        <w:t>A Safety Case must contain, at minimum:</w:t>
      </w:r>
    </w:p>
    <w:p>
      <w:pPr>
        <w:pStyle w:val="ListNumber"/>
        <w:widowControl w:val="true"/>
      </w:pPr>
      <w:r>
        <w:rPr>
          <w:rFonts w:ascii="Inter" w:hAnsi="Inter" w:eastAsia="Inter"/>
          <w:b w:val="0"/>
          <w:color w:val="252A36"/>
          <w:sz w:val="18"/>
        </w:rPr>
        <w:t>Exact use-case identifier, purpose, prohibited adjacent purposes, users, excluded users, jurisdictions, and stage sought.</w:t>
      </w:r>
    </w:p>
    <w:p>
      <w:pPr>
        <w:pStyle w:val="ListNumber"/>
        <w:widowControl w:val="true"/>
      </w:pPr>
      <w:r>
        <w:rPr>
          <w:rFonts w:ascii="Inter" w:hAnsi="Inter" w:eastAsia="Inter"/>
          <w:b w:val="0"/>
          <w:color w:val="252A36"/>
          <w:sz w:val="18"/>
        </w:rPr>
        <w:t>Responsible Organization, accountable owners, professional reviewers, release authority, and escalation paths.</w:t>
      </w:r>
    </w:p>
    <w:p>
      <w:pPr>
        <w:pStyle w:val="ListNumber"/>
        <w:widowControl w:val="true"/>
      </w:pPr>
      <w:r>
        <w:rPr>
          <w:rFonts w:ascii="Inter" w:hAnsi="Inter" w:eastAsia="Inter"/>
          <w:b w:val="0"/>
          <w:color w:val="252A36"/>
          <w:sz w:val="18"/>
        </w:rPr>
        <w:t>Controlling canon and legal or professional constraints.</w:t>
      </w:r>
    </w:p>
    <w:p>
      <w:pPr>
        <w:pStyle w:val="ListNumber"/>
        <w:widowControl w:val="true"/>
      </w:pPr>
      <w:r>
        <w:rPr>
          <w:rFonts w:ascii="Inter" w:hAnsi="Inter" w:eastAsia="Inter"/>
          <w:b w:val="0"/>
          <w:color w:val="252A36"/>
          <w:sz w:val="18"/>
        </w:rPr>
        <w:t>Maximum tier, risk class, consequential-decision analysis, and composition analysis.</w:t>
      </w:r>
    </w:p>
    <w:p>
      <w:pPr>
        <w:pStyle w:val="ListNumber"/>
        <w:widowControl w:val="true"/>
      </w:pPr>
      <w:r>
        <w:rPr>
          <w:rFonts w:ascii="Inter" w:hAnsi="Inter" w:eastAsia="Inter"/>
          <w:b w:val="0"/>
          <w:color w:val="252A36"/>
          <w:sz w:val="18"/>
        </w:rPr>
        <w:t>Model, provider, version, supply chain, hosting, tools, Retrieval Indexes, memory, and data-flow diagram.</w:t>
      </w:r>
    </w:p>
    <w:p>
      <w:pPr>
        <w:pStyle w:val="ListNumber"/>
        <w:widowControl w:val="true"/>
      </w:pPr>
      <w:r>
        <w:rPr>
          <w:rFonts w:ascii="Inter" w:hAnsi="Inter" w:eastAsia="Inter"/>
          <w:b w:val="0"/>
          <w:color w:val="252A36"/>
          <w:sz w:val="18"/>
        </w:rPr>
        <w:t>Customer Operational Data, Derived Data, minimum-necessary fields, permissions, purpose, retention, deletion, and export behavior.</w:t>
      </w:r>
    </w:p>
    <w:p>
      <w:pPr>
        <w:pStyle w:val="ListNumber"/>
        <w:widowControl w:val="true"/>
      </w:pPr>
      <w:r>
        <w:rPr>
          <w:rFonts w:ascii="Inter" w:hAnsi="Inter" w:eastAsia="Inter"/>
          <w:b w:val="0"/>
          <w:color w:val="252A36"/>
          <w:sz w:val="18"/>
        </w:rPr>
        <w:t>Intended benefits, evidence of necessity, non-AI alternatives, and why AI is appropriate.</w:t>
      </w:r>
    </w:p>
    <w:p>
      <w:pPr>
        <w:pStyle w:val="ListNumber"/>
        <w:widowControl w:val="true"/>
      </w:pPr>
      <w:r>
        <w:rPr>
          <w:rFonts w:ascii="Inter" w:hAnsi="Inter" w:eastAsia="Inter"/>
          <w:b w:val="0"/>
          <w:color w:val="252A36"/>
          <w:sz w:val="18"/>
        </w:rPr>
        <w:t>Foreseeable misuse, failure modes, false reassurance, false positives, false negatives, bias, accessibility, and edge cases.</w:t>
      </w:r>
    </w:p>
    <w:p>
      <w:pPr>
        <w:pStyle w:val="ListNumber"/>
        <w:widowControl w:val="true"/>
      </w:pPr>
      <w:r>
        <w:rPr>
          <w:rFonts w:ascii="Inter" w:hAnsi="Inter" w:eastAsia="Inter"/>
          <w:b w:val="0"/>
          <w:color w:val="252A36"/>
          <w:sz w:val="18"/>
        </w:rPr>
        <w:t>Required human and professional review, reviewer competence, workload, independence, interface, and service expectations.</w:t>
      </w:r>
    </w:p>
    <w:p>
      <w:pPr>
        <w:pStyle w:val="ListNumber"/>
        <w:widowControl w:val="true"/>
      </w:pPr>
      <w:r>
        <w:rPr>
          <w:rFonts w:ascii="Inter" w:hAnsi="Inter" w:eastAsia="Inter"/>
          <w:b w:val="0"/>
          <w:color w:val="252A36"/>
          <w:sz w:val="18"/>
        </w:rPr>
        <w:t>Evaluation datasets, rights, representativeness, metrics, critical-error ceilings, test results, unresolved limitations, and independent challenge.</w:t>
      </w:r>
    </w:p>
    <w:p>
      <w:pPr>
        <w:pStyle w:val="ListNumber"/>
        <w:widowControl w:val="true"/>
      </w:pPr>
      <w:r>
        <w:rPr>
          <w:rFonts w:ascii="Inter" w:hAnsi="Inter" w:eastAsia="Inter"/>
          <w:b w:val="0"/>
          <w:color w:val="252A36"/>
          <w:sz w:val="18"/>
        </w:rPr>
        <w:t>Security, prompt-injection, tool, secrets, egress, model-supply-chain, and incident controls.</w:t>
      </w:r>
    </w:p>
    <w:p>
      <w:pPr>
        <w:pStyle w:val="ListNumber"/>
        <w:widowControl w:val="true"/>
      </w:pPr>
      <w:r>
        <w:rPr>
          <w:rFonts w:ascii="Inter" w:hAnsi="Inter" w:eastAsia="Inter"/>
          <w:b w:val="0"/>
          <w:color w:val="252A36"/>
          <w:sz w:val="18"/>
        </w:rPr>
        <w:t>User notice, labels, challenge, correction, non-AI access, complaint, redress, and support path.</w:t>
      </w:r>
    </w:p>
    <w:p>
      <w:pPr>
        <w:pStyle w:val="ListNumber"/>
        <w:widowControl w:val="true"/>
      </w:pPr>
      <w:r>
        <w:rPr>
          <w:rFonts w:ascii="Inter" w:hAnsi="Inter" w:eastAsia="Inter"/>
          <w:b w:val="0"/>
          <w:color w:val="252A36"/>
          <w:sz w:val="18"/>
        </w:rPr>
        <w:t>Monitoring, expiry, renewal, suspension triggers, rollback, fallback, vendor exit, and retirement plan.</w:t>
      </w:r>
    </w:p>
    <w:p>
      <w:pPr>
        <w:pStyle w:val="ListNumber"/>
        <w:widowControl w:val="true"/>
      </w:pPr>
      <w:r>
        <w:rPr>
          <w:rFonts w:ascii="Inter" w:hAnsi="Inter" w:eastAsia="Inter"/>
          <w:b w:val="0"/>
          <w:color w:val="252A36"/>
          <w:sz w:val="18"/>
        </w:rPr>
        <w:t>Residual risk, named human risk owner, approval decision, conditions, effective date, and expiration date.</w:t>
      </w:r>
    </w:p>
    <w:p>
      <w:pPr>
        <w:widowControl w:val="true"/>
      </w:pPr>
      <w:r>
        <w:rPr>
          <w:rFonts w:ascii="Inter" w:hAnsi="Inter" w:eastAsia="Inter"/>
          <w:b w:val="0"/>
          <w:color w:val="252A36"/>
          <w:sz w:val="18"/>
        </w:rPr>
        <w:t>A Safety Case must be updated when a material change affects any claim or evidence on which approval relied.</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J: DATA AND MODEL SUPPLY-CHAIN CONTROL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Asset or Dependency</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Control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Customer prompt or attachment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Purpose-limited, minimum necessary, permission-checked, provider retention controlled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AI output</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Labeled, provenance-linked, authority status clear, retention defined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Embedding or vector</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Tenant-isolated, permission-aware, derived-data lifecycle, deletion and export support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Persistent memory</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Disabled by default; visible, editable, deletable, purpose-specific, no minor memory</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Evaluation dataset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Provenance, rights, privacy, representativeness, contamination and retention controls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Open-source model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License, provenance, integrity, malicious-artifact, update, and support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Hosted model</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Exact identity, version control, data terms, processing region, change notice, exit plan</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Reranker, classifier, moderation model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Registered as a material dependency when it affects output or access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Agent framework or orchestration layer</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Tool boundaries, identity, recursion, logging, and supply-chain integrity</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Provider subprocessor</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Contractual disclosure, security, location, retention, change notice, and suspension right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Fallback model</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Same registry, evaluation, data, and tier controls as the primary model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External web or third-party content</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Source date, reliability, rights, trust classification, prompt-injection isolation</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K: MANDATORY SUSPENSION TRIGGERS</w:t>
            </w:r>
          </w:p>
        </w:tc>
        <w:trPr>
          <w:tblHeader/>
        </w:trPr>
      </w:tr>
    </w:tbl>
    <w:p>
      <w:pPr>
        <w:spacing w:after="0"/>
        <w:widowControl w:val="true"/>
      </w:pPr>
    </w:p>
    <w:p>
      <w:pPr>
        <w:widowControl w:val="true"/>
      </w:pPr>
      <w:r>
        <w:rPr>
          <w:rFonts w:ascii="Inter" w:hAnsi="Inter" w:eastAsia="Inter"/>
          <w:b w:val="0"/>
          <w:color w:val="252A36"/>
          <w:sz w:val="18"/>
        </w:rPr>
        <w:t>A use case must be suspended or automatically reduced to a safe non-actioning mode when any applicable condition occurs:</w:t>
      </w:r>
    </w:p>
    <w:p>
      <w:pPr>
        <w:pStyle w:val="ListBullet"/>
        <w:keepLines w:val="0"/>
        <w:widowControl w:val="true"/>
      </w:pPr>
      <w:r>
        <w:rPr>
          <w:rFonts w:ascii="Inter" w:hAnsi="Inter" w:eastAsia="Inter"/>
          <w:b w:val="0"/>
          <w:color w:val="252A36"/>
          <w:sz w:val="18"/>
        </w:rPr>
        <w:t>cross-tenant disclosure or credible evidence of permission bypass;</w:t>
      </w:r>
    </w:p>
    <w:p>
      <w:pPr>
        <w:pStyle w:val="ListBullet"/>
        <w:keepLines w:val="0"/>
        <w:widowControl w:val="true"/>
      </w:pPr>
      <w:r>
        <w:rPr>
          <w:rFonts w:ascii="Inter" w:hAnsi="Inter" w:eastAsia="Inter"/>
          <w:b w:val="0"/>
          <w:color w:val="252A36"/>
          <w:sz w:val="18"/>
        </w:rPr>
        <w:t>hidden training, generalized evaluation, provider human review, or unauthorized retention;</w:t>
      </w:r>
    </w:p>
    <w:p>
      <w:pPr>
        <w:pStyle w:val="ListBullet"/>
        <w:keepLines w:val="0"/>
        <w:widowControl w:val="true"/>
      </w:pPr>
      <w:r>
        <w:rPr>
          <w:rFonts w:ascii="Inter" w:hAnsi="Inter" w:eastAsia="Inter"/>
          <w:b w:val="0"/>
          <w:color w:val="252A36"/>
          <w:sz w:val="18"/>
        </w:rPr>
        <w:t>inability to identify the active model or provider version;</w:t>
      </w:r>
    </w:p>
    <w:p>
      <w:pPr>
        <w:pStyle w:val="ListBullet"/>
        <w:keepLines w:val="0"/>
        <w:widowControl w:val="true"/>
      </w:pPr>
      <w:r>
        <w:rPr>
          <w:rFonts w:ascii="Inter" w:hAnsi="Inter" w:eastAsia="Inter"/>
          <w:b w:val="0"/>
          <w:color w:val="252A36"/>
          <w:sz w:val="18"/>
        </w:rPr>
        <w:t>loss of required contractual protection, provider acquisition risk, or material unreviewed terms change;</w:t>
      </w:r>
    </w:p>
    <w:p>
      <w:pPr>
        <w:pStyle w:val="ListBullet"/>
        <w:keepLines w:val="0"/>
        <w:widowControl w:val="true"/>
      </w:pPr>
      <w:r>
        <w:rPr>
          <w:rFonts w:ascii="Inter" w:hAnsi="Inter" w:eastAsia="Inter"/>
          <w:b w:val="0"/>
          <w:color w:val="252A36"/>
          <w:sz w:val="18"/>
        </w:rPr>
        <w:t>compromised credentials, agent identity, tool boundary, model artifact, or supply-chain component;</w:t>
      </w:r>
    </w:p>
    <w:p>
      <w:pPr>
        <w:pStyle w:val="ListBullet"/>
        <w:keepLines w:val="0"/>
        <w:widowControl w:val="true"/>
      </w:pPr>
      <w:r>
        <w:rPr>
          <w:rFonts w:ascii="Inter" w:hAnsi="Inter" w:eastAsia="Inter"/>
          <w:b w:val="0"/>
          <w:color w:val="252A36"/>
          <w:sz w:val="18"/>
        </w:rPr>
        <w:t>unauthorized payment, message, record mutation, deletion, access change, or external publication;</w:t>
      </w:r>
    </w:p>
    <w:p>
      <w:pPr>
        <w:pStyle w:val="ListBullet"/>
        <w:keepLines w:val="0"/>
        <w:widowControl w:val="true"/>
      </w:pPr>
      <w:r>
        <w:rPr>
          <w:rFonts w:ascii="Inter" w:hAnsi="Inter" w:eastAsia="Inter"/>
          <w:b w:val="0"/>
          <w:color w:val="252A36"/>
          <w:sz w:val="18"/>
        </w:rPr>
        <w:t>serious false reassurance, unsafe professional-style advice, or a plausible severe human or horse harm;</w:t>
      </w:r>
    </w:p>
    <w:p>
      <w:pPr>
        <w:pStyle w:val="ListBullet"/>
        <w:keepLines w:val="0"/>
        <w:widowControl w:val="true"/>
      </w:pPr>
      <w:r>
        <w:rPr>
          <w:rFonts w:ascii="Inter" w:hAnsi="Inter" w:eastAsia="Inter"/>
          <w:b w:val="0"/>
          <w:color w:val="252A36"/>
          <w:sz w:val="18"/>
        </w:rPr>
        <w:t>repeated failure of Meaningful Human Review or evidence of systematic rubber-stamping;</w:t>
      </w:r>
    </w:p>
    <w:p>
      <w:pPr>
        <w:pStyle w:val="ListBullet"/>
        <w:keepLines w:val="0"/>
        <w:widowControl w:val="true"/>
      </w:pPr>
      <w:r>
        <w:rPr>
          <w:rFonts w:ascii="Inter" w:hAnsi="Inter" w:eastAsia="Inter"/>
          <w:b w:val="0"/>
          <w:color w:val="252A36"/>
          <w:sz w:val="18"/>
        </w:rPr>
        <w:t>unresolved drift beyond acceptance criteria or critical-error ceiling;</w:t>
      </w:r>
    </w:p>
    <w:p>
      <w:pPr>
        <w:pStyle w:val="ListBullet"/>
        <w:keepLines w:val="0"/>
        <w:widowControl w:val="true"/>
      </w:pPr>
      <w:r>
        <w:rPr>
          <w:rFonts w:ascii="Inter" w:hAnsi="Inter" w:eastAsia="Inter"/>
          <w:b w:val="0"/>
          <w:color w:val="252A36"/>
          <w:sz w:val="18"/>
        </w:rPr>
        <w:t>expired production authorization or overdue required review;</w:t>
      </w:r>
    </w:p>
    <w:p>
      <w:pPr>
        <w:pStyle w:val="ListBullet"/>
        <w:keepLines w:val="0"/>
        <w:widowControl w:val="true"/>
      </w:pPr>
      <w:r>
        <w:rPr>
          <w:rFonts w:ascii="Inter" w:hAnsi="Inter" w:eastAsia="Inter"/>
          <w:b w:val="0"/>
          <w:color w:val="252A36"/>
          <w:sz w:val="18"/>
        </w:rPr>
        <w:t>unavailable kill control, audit evidence, rollback, or non-AI fallback;</w:t>
      </w:r>
    </w:p>
    <w:p>
      <w:pPr>
        <w:pStyle w:val="ListBullet"/>
        <w:keepLines w:val="0"/>
        <w:widowControl w:val="true"/>
      </w:pPr>
      <w:r>
        <w:rPr>
          <w:rFonts w:ascii="Inter" w:hAnsi="Inter" w:eastAsia="Inter"/>
          <w:b w:val="0"/>
          <w:color w:val="252A36"/>
          <w:sz w:val="18"/>
        </w:rPr>
        <w:t>legal, professional, or constitutional conflict that cannot be safely resolved at runtime.</w:t>
      </w:r>
    </w:p>
    <w:p>
      <w:pPr>
        <w:widowControl w:val="true"/>
      </w:pPr>
      <w:r>
        <w:rPr>
          <w:rFonts w:ascii="Inter" w:hAnsi="Inter" w:eastAsia="Inter"/>
          <w:b w:val="0"/>
          <w:color w:val="252A36"/>
          <w:sz w:val="18"/>
        </w:rPr>
        <w:t>Suspension must preserve evidence, notify accountable owners, stop further side effects, and route through incident and reauthorization procedures.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L: PROFESSIONAL AND SPECIALIZED REVIEW REQUIREMENTS</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Use-Case Domain</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Specialized Review Before Customer Pilot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Equine health-risk scoring</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or appropriately qualified equine-health professional; false-reassurance and escalation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Feed recommendations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or qualified equine nutrition professional; units, contraindications, transition and source-authority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Lameness-adjacent image or sensor analysis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and relevant technical/domain reviewer; validation, image quality, abstention and claims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Rider-horse matching or rider-safety assistance</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trainer or instructor; minor, guardian, consent and safeguarding review where applicable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Automatic collections and financial communications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Truth domain owner plus legal/compliance review appropriate to jurisdiction and communication channel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Financial forecasting used for consequential planning</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financial/accounting domain review and fairness review when affecting people or access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Safeguarding signal routing</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authority; no credibility, intent, abuse, or sanction adjudication by AI</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Employee or contractor analytics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Employment, privacy, fairness, and legal review; no autonomous adverse action</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Minor-facing conversational assistance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guardian, privacy, age-appropriateness, communication, and accessibility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Legal, contract, consent, or waiver assistance</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Legal and Agreement/Consent domain review; no binding interpretation or execution by AI</w:t>
            </w:r>
          </w:p>
        </w:tc>
      </w:tr>
    </w:tbl>
    <w:p>
      <w:pPr>
        <w:spacing w:after="0"/>
        <w:widowControl w:val="true"/>
      </w:pPr>
    </w:p>
    <w:p>
      <w:pPr>
        <w:widowControl w:val="true"/>
      </w:pPr>
      <w:r>
        <w:rPr>
          <w:rFonts w:ascii="Inter" w:hAnsi="Inter" w:eastAsia="Inter"/>
          <w:b w:val="0"/>
          <w:color w:val="252A36"/>
          <w:sz w:val="18"/>
        </w:rPr>
        <w:t>Professional review validates boundaries and safety evidence. It does not transfer professional authority to the AI System or make the reviewer responsible for unapproved later changes.</w:t>
      </w:r>
    </w:p>
    <w:p>
      <w:pPr>
        <w:pBdr>
          <w:bottom w:val="single" w:sz="8" w:space="2" w:color="B8AECF"/>
        </w:pBdr>
        <w:spacing w:after="80"/>
        <w:widowControl w:val="true"/>
      </w:pPr>
    </w:p>
    <w:p>
      <w:pPr>
        <w:spacing w:before="120" w:after="120"/>
        <w:jc w:val="center"/>
        <w:shd w:fill="E3E6EB"/>
        <w:pBdr>
          <w:left w:val="single" w:sz="14" w:space="5" w:color="B8AECF"/>
        </w:pBdr>
        <w:widowControl w:val="true"/>
      </w:pPr>
      <w:r>
        <w:rPr>
          <w:rFonts w:ascii="Inter" w:hAnsi="Inter" w:eastAsia="Inter"/>
          <w:b/>
          <w:color w:val="252A36"/>
          <w:sz w:val="18"/>
        </w:rPr>
        <w:t>MASTER_AI_GOVERNANCE_AND_DECISION_BOUNDARY_MODEL_V2_0_READY_FOR_CONTROLLED_CROSS_CANON_REVIEW</w:t>
      </w:r>
    </w:p>
    <w:sectPr w:rsidR="00FC693F" w:rsidRPr="0006063C" w:rsidSect="00034616">
      <w:headerReference w:type="default" r:id="rId9"/>
      <w:footerReference w:type="default" r:id="rId10"/>
      <w:headerReference w:type="first" r:id="rId11"/>
      <w:footerReference w:type="first" r:id="rId12"/>
      <w:pgSz w:w="12240" w:h="15840"/>
      <w:pgMar w:top="893" w:right="1008" w:bottom="893"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jc w:val="center"/>
      <w:tblLook w:firstColumn="1" w:firstRow="1" w:lastColumn="0" w:lastRow="0" w:noHBand="0" w:noVBand="1" w:val="04A0"/>
      <w:tblBorders/>
    </w:tblPr>
    <w:tblGrid>
      <w:gridCol w:w="3408"/>
      <w:gridCol w:w="3408"/>
      <w:gridCol w:w="3408"/>
    </w:tblGrid>
    <w:tr>
      <w:tc>
        <w:tcPr>
          <w:tcW w:type="dxa" w:w="4032"/>
          <w:tcMar>
            <w:top w:w="20" w:type="dxa"/>
            <w:start w:w="20" w:type="dxa"/>
            <w:bottom w:w="0" w:type="dxa"/>
            <w:end w:w="20" w:type="dxa"/>
          </w:tcMar>
        </w:tcPr>
        <w:p>
          <w:pPr>
            <w:jc w:val="left"/>
          </w:pPr>
          <w:r>
            <w:rPr>
              <w:rFonts w:ascii="Inter" w:hAnsi="Inter" w:eastAsia="Inter"/>
              <w:b/>
              <w:color w:val="5C6A82"/>
              <w:sz w:val="14"/>
            </w:rPr>
            <w:t>CONTROLLED CANDIDATE</w:t>
          </w:r>
        </w:p>
      </w:tc>
      <w:tc>
        <w:tcPr>
          <w:tcW w:type="dxa" w:w="2160"/>
          <w:tcMar>
            <w:top w:w="20" w:type="dxa"/>
            <w:start w:w="20" w:type="dxa"/>
            <w:bottom w:w="0" w:type="dxa"/>
            <w:end w:w="20" w:type="dxa"/>
          </w:tcMar>
        </w:tcPr>
        <w:p>
          <w:pPr>
            <w:jc w:val="center"/>
          </w:pPr>
          <w:r>
            <w:rPr>
              <w:rFonts w:ascii="Inter" w:hAnsi="Inter" w:eastAsia="Inter"/>
              <w:color w:val="5C6A82"/>
              <w:sz w:val="16"/>
            </w:rPr>
            <w:t xml:space="preserve">Page </w:t>
          </w:r>
          <w:r>
            <w:rPr>
              <w:rFonts w:ascii="Inter" w:hAnsi="Inter" w:eastAsia="Inter"/>
              <w:color w:val="5C6A82"/>
              <w:sz w:val="17"/>
            </w:rPr>
            <w:fldChar w:fldCharType="begin"/>
            <w:instrText xml:space="preserve"> PAGE </w:instrText>
            <w:fldChar w:fldCharType="end"/>
          </w:r>
        </w:p>
      </w:tc>
      <w:tc>
        <w:tcPr>
          <w:tcW w:type="dxa" w:w="4032"/>
          <w:tcMar>
            <w:top w:w="20" w:type="dxa"/>
            <w:start w:w="20" w:type="dxa"/>
            <w:bottom w:w="0" w:type="dxa"/>
            <w:end w:w="20" w:type="dxa"/>
          </w:tcMar>
        </w:tcPr>
        <w:p>
          <w:pPr>
            <w:jc w:val="right"/>
          </w:pPr>
          <w:r>
            <w:rPr>
              <w:rFonts w:ascii="Inter" w:hAnsi="Inter" w:eastAsia="Inter"/>
              <w:b/>
              <w:color w:val="5C6A82"/>
              <w:sz w:val="14"/>
            </w:rPr>
            <w:t>EQUINESYNC CANON</w:t>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spacing w:after="60"/>
      <w:jc w:val="left"/>
      <w:pBdr>
        <w:bottom w:val="single" w:sz="5" w:space="3" w:color="B8AACD"/>
      </w:pBdr>
    </w:pPr>
    <w:r>
      <w:rPr>
        <w:rFonts w:ascii="Inter" w:hAnsi="Inter" w:eastAsia="Inter"/>
        <w:b/>
        <w:color w:val="303A59"/>
        <w:sz w:val="15"/>
      </w:rPr>
      <w:t>EQUINESYNC</w:t>
    </w:r>
    <w:r>
      <w:rPr>
        <w:rFonts w:ascii="Inter" w:hAnsi="Inter" w:eastAsia="Inter"/>
        <w:b/>
        <w:color w:val="5C6A82"/>
        <w:sz w:val="15"/>
      </w:rPr>
      <w:t xml:space="preserve">   /   AI GOVERNANCE AND DECISION BOUNDARY   /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Inter" w:hAnsi="Inter"/>
      <w:color w:val="25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EB Garamond" w:hAnsi="EB Garamond"/>
      <w:b/>
      <w:bCs/>
      <w:color w:val="232734"/>
      <w:sz w:val="3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Inter" w:hAnsi="Inter"/>
      <w:b/>
      <w:bCs/>
      <w:color w:val="303A59"/>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Inter" w:hAnsi="Inter"/>
      <w:b/>
      <w:bCs/>
      <w:color w:val="303A59"/>
      <w:sz w:val="2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Inter" w:hAnsi="Inter"/>
      <w:b/>
      <w:bCs/>
      <w:i/>
      <w:iCs/>
      <w:color w:val="5C6A82"/>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60" w:hanging="202"/>
      <w:contextualSpacing/>
    </w:pPr>
    <w:rPr>
      <w:rFonts w:ascii="Inter" w:hAnsi="Inter"/>
      <w:color w:val="252A36"/>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30"/>
      <w:contextualSpacing/>
    </w:pPr>
    <w:rPr>
      <w:rFonts w:ascii="Inter" w:hAnsi="Inter"/>
      <w:color w:val="1E212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AI Governance and Decision Boundary Model</dc:title>
  <dc:subject>Tier 3 Foundational Domain Canon</dc:subject>
  <dc:creator>EquineSync</dc:creator>
  <cp:keywords>EquineSync, governance, canon, controlled publication</cp:keywords>
  <dc:description>Modernized presentation edition; constitutional substance preserved unless expressly stated in document control.</dc:description>
  <cp:lastModifiedBy/>
  <cp:revision>1</cp:revision>
  <dcterms:created xsi:type="dcterms:W3CDTF">2013-12-23T23:15:00Z</dcterms:created>
  <dcterms:modified xsi:type="dcterms:W3CDTF">2013-12-23T23:15:00Z</dcterms:modified>
  <cp:category/>
</cp:coreProperties>
</file>