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7378dc110051e0fa3941784e529786473b77dc"/>
    <w:p>
      <w:pPr>
        <w:pStyle w:val="Heading1"/>
      </w:pPr>
      <w:r>
        <w:t xml:space="preserve">CONSTITUTIONAL DOMAIN OWNERSHIP AND BOUNDARY REGISTER V1.1</w:t>
      </w:r>
    </w:p>
    <w:p>
      <w:pPr>
        <w:pStyle w:val="FirstParagraph"/>
      </w:pPr>
      <w:r>
        <w:rPr>
          <w:b/>
          <w:bCs/>
        </w:rPr>
        <w:t xml:space="preserve">Registry Status:</w:t>
      </w:r>
      <w:r>
        <w:t xml:space="preserve"> </w:t>
      </w:r>
      <w:r>
        <w:t xml:space="preserve">Controlled Completion Integration Candidate for Founder Review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Identify the single constitutional owner for major governance concepts and prevent duplicated or competing canon.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2026</w:t>
      </w:r>
      <w:r>
        <w:br/>
      </w:r>
      <w:r>
        <w:rPr>
          <w:b/>
          <w:bCs/>
        </w:rPr>
        <w:t xml:space="preserve">Supersedes:</w:t>
      </w:r>
      <w:r>
        <w:t xml:space="preserve"> </w:t>
      </w:r>
      <w:r>
        <w:t xml:space="preserve">V1.0 for controlled review; V1.0 remains preserved</w:t>
      </w:r>
      <w:r>
        <w:br/>
      </w:r>
      <w:r>
        <w:rPr>
          <w:b/>
          <w:bCs/>
        </w:rPr>
        <w:t xml:space="preserve">Implementation Authority:</w:t>
      </w:r>
      <w:r>
        <w:t xml:space="preserve"> </w:t>
      </w:r>
      <w:r>
        <w:t xml:space="preserve">False</w:t>
      </w:r>
    </w:p>
    <w:bookmarkStart w:id="20" w:name="ownership-rule"/>
    <w:p>
      <w:pPr>
        <w:pStyle w:val="Heading2"/>
      </w:pPr>
      <w:r>
        <w:t xml:space="preserve">1. Ownership Rule</w:t>
      </w:r>
    </w:p>
    <w:p>
      <w:pPr>
        <w:pStyle w:val="FirstParagraph"/>
      </w:pPr>
      <w:r>
        <w:t xml:space="preserve">Each constitutional concept has one primary owner. Peer and subordinate documents may impose narrower controls, supply domain facts, or reference the owner, but must not create a competing lifecycle, definition, authority, or system of record.</w:t>
      </w:r>
    </w:p>
    <w:bookmarkEnd w:id="20"/>
    <w:bookmarkStart w:id="21" w:name="current-ownership-map"/>
    <w:p>
      <w:pPr>
        <w:pStyle w:val="Heading2"/>
      </w:pPr>
      <w:r>
        <w:t xml:space="preserve">2. Current Ownership Map</w:t>
      </w:r>
    </w:p>
    <w:tbl>
      <w:tblPr>
        <w:tblW w:type="dxa" w:w="10368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177"/>
        <w:gridCol w:w="2592"/>
        <w:gridCol w:w="2592"/>
        <w:gridCol w:w="3007"/>
      </w:tblGrid>
      <w:tr>
        <w:trPr>
          <w:tblHeader w:val="1"/>
        </w:trPr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center"/>
            <w:shd w:fill="17365D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FFFFFF"/>
                <w:b w:val="1"/>
              </w:rPr>
              <w:t xml:space="preserve">Concept or Domain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center"/>
            <w:shd w:fill="17365D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FFFFFF"/>
                <w:b w:val="1"/>
              </w:rPr>
              <w:t xml:space="preserve">Primary Constitutional Owner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center"/>
            <w:shd w:fill="17365D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FFFFFF"/>
                <w:b w:val="1"/>
              </w:rPr>
              <w:t xml:space="preserve">Referencing or Enforcing Canons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center"/>
            <w:shd w:fill="17365D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FFFFFF"/>
                <w:b w:val="1"/>
              </w:rPr>
              <w:t xml:space="preserve">Boundary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Product purpose, promises, doctrine, and constitutional architecture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Master Product Vision V2.1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All canon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Explains why and how decisions are made; does not own specialized implementation rules.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Platform entities and ecosystem relationships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Master Ecosystem Model V2.1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Identity, Relationship, lifecycles, permissions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Conceptual architecture only.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People, accounts, actors, sessions, and representation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Identity, Account, and Actor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Permission, Audit, Security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Authentication does not create relationship or authority.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Relationships and their lifecycle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Relationship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Permission, Transfer, Claims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Relationship truth does not independently grant access.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Final access evaluation and field projection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Permission and Access-Control Model V1.1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All product and integration surfaces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Other canons may narrow but not broaden permission.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Agreements, consent, authorization, signatures, and operational effect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Agreement, Consent, and Authorization Model V2.1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Permission, Privacy, Communication, Media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Permission enforces; Privacy determines privacy basis; Communication owns channel delivery.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Privacy processing, rights, transparency, tracking, international processing, and privacy impact assessment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Privacy and Data Protection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Security, Permission, Records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Security protects privacy but does not redefine privacy rights or lawful processing.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Security invariants, assurance, abuse resistance, and trust controls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Security and Trust Model V1.1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All technical canons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Delegates encryption, incident, resilience, vendor, audit, AI, and offline detail to specialized owners.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Cryptography, keys, secrets, tokenization, and cryptographic deletion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Data Protection, Encryption, and Key Management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Security, External Architecture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Security floor may be stricter but lifecycle ownership remains here.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Security incident command, breach assessment, notification, and disclosure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Security Incident Response and Disclosure Model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Security, Communication, Audit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Platform Operations supports execution but does not own disclosure decisions.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Backup, restoration, failover, failback, and recovery evidence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Platform Resilience, Backup, and Recovery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Platform Operations, External Architecture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Platform Operations executes under this model.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Records, stewardship, retention, correction, legal hold, export, and disposal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Record Stewardship and Retention Model V2.1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Claims, Privacy, Agreements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No other canon creates an independent retention lifecycle.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Claims, disputes, authority evidence, restrictions, review, and appeal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Claims, Disputes, and Authority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Transfer, Financial, Permission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Records neutral operational outcomes without adjudicating legal title.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Audit events, evidence, provenance, and reconstruction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Audit Event and Evidence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All consequential workflows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Domain canons define event triggers; Audit owns evidence semantics.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Communications, notifications, notice, delivery, acknowledgment, and escalation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Communication, Notification, and Notice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Agreements, Privacy, Operations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Legal/contractual notice source remains traceable to the Agreement model.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APIs, developer identity, integration lifecycle, service accounts, devices, sync, and external technical access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Developer, Platform, and Integration Governance Model V2.1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Plugin, External Architecture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Does not own plugin installation/marketplace or provider adapter internals.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Plugins, extension points, plugin runtime, tenant installation, marketplace publication, plugin updates and removal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Platform Extensibility and Plugin Governance Model V2.1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Developer, Permission, Vendor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Incorporates shared developer controls by reference.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Provider-neutral adapters, webhooks, retries, state normalization, degraded mode, portability, and exit architecture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External Architecture and Adapter Model V2.1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Developer, Platform Operations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Current provider preference belongs to the Provider Strategy Register.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Vendor diligence, contracts, fourth parties, supply chain, concentration, and vendor assurance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Vendor Security and Supply Chain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External Architecture, Security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Does not own adapter semantics or current provider selection.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Current preferred providers and alternatives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Approved Provider Strategy Register V1.0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External Architecture, Vendor Security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Planning preference only; no activation authority.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Unified extensibility and integration risk scale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Extensibility and Integration Risk Taxonomy Registry V1.0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Developer and Plugin Governance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One Tier 0-Tier 5 scale.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AI authority, provider use, human review, uncertainty, and decision boundaries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AI Governance and Decision Boundary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Permission, Analytics, Developer, Plugin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AI never creates authority.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Analytics methodology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Analytics Framework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Reporting and BI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Reporting canon owns publication, certification, correction, and business-intelligence governance.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Reporting, analytics publication, certification, and BI governance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Reporting, Analytics, and Business Intelligence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Analytics Framework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Reports do not replace authoritative records.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Named-provider preferences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Approved Provider Strategy Register V1.0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External Architecture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Provider names are not constitutional commitments.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Minor status, protected-participant status, guardian authority, assent, protected refusal, safeguarding intake, protected communication, emergency restrictions, adult eligibility, protected pickup and transportation, and transition to adulthood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Master Minor, Guardianship, Safeguarding, and Protected Participant Model V1.1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Identity, Relationship, Agreement, Permission, Privacy, Communication, Records, Claims, Audit, Media, Search, AI, Reporting, Barn Operations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Owns the heightened protected-participant and safeguarding rules. It does not replace identity, relationship, agreement, permission, records, communications, or other underlying domain ownership.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Delegated-assistance relationship and eligible participants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Master Relationship Model V2.0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Agreement, Permission, Barn Operations, Search, Master Minor, Guardianship, Safeguarding, and Protected Participant Model V1.1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Safeguarding may narrow or block a grant involving a protected participant but does not own the underlying relationship.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Adult-to-minor electronic communication safety and guardian inclusion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Master Minor, Guardianship, Safeguarding, and Protected Participant Model V1.1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Communication, Identity, Relationship, Agreement, Permission, Audit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Communication owns channel delivery and evidence. This Model owns the constitutional prohibition on ordinary one-to-one adult-minor electronic communication and the guardian-inclusion floor.</w:t>
            </w:r>
          </w:p>
        </w:tc>
      </w:tr>
      <w:tr>
        <w:trPr/>
        <w:tc>
          <w:tcPr>
            <w:tcW w:type="dxa" w:w="217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Protected safeguarding intake, confidentiality, emergency restriction, and non-retaliation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Master Minor, Guardianship, Safeguarding, and Protected Participant Model V1.1</w:t>
            </w:r>
          </w:p>
        </w:tc>
        <w:tc>
          <w:tcPr>
            <w:tcW w:type="dxa" w:w="2592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Privacy, Records, Claims, Audit, Communication, Security</w:t>
            </w:r>
          </w:p>
        </w:tc>
        <w:tc>
          <w:tcPr>
            <w:tcW w:type="dxa" w:w="3007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Protected intake is not ordinary messaging; guardian access may be limited where disclosure creates documented safeguarding risk.</w:t>
            </w:r>
          </w:p>
        </w:tc>
      </w:tr>
    </w:tbl>
    <w:bookmarkEnd w:id="21"/>
    <w:bookmarkStart w:id="22" w:name="conflict-handling"/>
    <w:p>
      <w:pPr>
        <w:pStyle w:val="Heading2"/>
      </w:pPr>
      <w:r>
        <w:t xml:space="preserve">3. Conflict Handling</w:t>
      </w:r>
    </w:p>
    <w:p>
      <w:pPr>
        <w:pStyle w:val="FirstParagraph"/>
      </w:pPr>
      <w:r>
        <w:t xml:space="preserve">When two documents appear to own the same concept:</w:t>
      </w:r>
    </w:p>
    <w:p>
      <w:pPr>
        <w:pStyle w:val="Compact"/>
        <w:numPr>
          <w:ilvl w:val="0"/>
          <w:numId w:val="1001"/>
        </w:numPr>
      </w:pPr>
      <w:r>
        <w:t xml:space="preserve">preserve both texts and provenance;</w:t>
      </w:r>
    </w:p>
    <w:p>
      <w:pPr>
        <w:pStyle w:val="Compact"/>
        <w:numPr>
          <w:ilvl w:val="0"/>
          <w:numId w:val="1001"/>
        </w:numPr>
      </w:pPr>
      <w:r>
        <w:t xml:space="preserve">identify the primary owner in this registry;</w:t>
      </w:r>
    </w:p>
    <w:p>
      <w:pPr>
        <w:pStyle w:val="Compact"/>
        <w:numPr>
          <w:ilvl w:val="0"/>
          <w:numId w:val="1001"/>
        </w:numPr>
      </w:pPr>
      <w:r>
        <w:t xml:space="preserve">convert the non-owner’s rule into a reference or narrower enforcement rule;</w:t>
      </w:r>
    </w:p>
    <w:p>
      <w:pPr>
        <w:pStyle w:val="Compact"/>
        <w:numPr>
          <w:ilvl w:val="0"/>
          <w:numId w:val="1001"/>
        </w:numPr>
      </w:pPr>
      <w:r>
        <w:t xml:space="preserve">prohibit silent deletion of historical language;</w:t>
      </w:r>
    </w:p>
    <w:p>
      <w:pPr>
        <w:pStyle w:val="Compact"/>
        <w:numPr>
          <w:ilvl w:val="0"/>
          <w:numId w:val="1001"/>
        </w:numPr>
      </w:pPr>
      <w:r>
        <w:t xml:space="preserve">record the reconciliation in the Cross-Canon Audit and Conflict Register;</w:t>
      </w:r>
    </w:p>
    <w:p>
      <w:pPr>
        <w:pStyle w:val="Compact"/>
        <w:numPr>
          <w:ilvl w:val="0"/>
          <w:numId w:val="1001"/>
        </w:numPr>
      </w:pPr>
      <w:r>
        <w:t xml:space="preserve">require founder or delegated constitutional approval for any ownership change.</w:t>
      </w:r>
    </w:p>
    <w:bookmarkEnd w:id="22"/>
    <w:bookmarkStart w:id="23" w:name="authority-boundary"/>
    <w:p>
      <w:pPr>
        <w:pStyle w:val="Heading2"/>
      </w:pPr>
      <w:r>
        <w:t xml:space="preserve">4. Authority Boundary</w:t>
      </w:r>
    </w:p>
    <w:p>
      <w:pPr>
        <w:pStyle w:val="FirstParagraph"/>
      </w:pPr>
      <w:r>
        <w:t xml:space="preserve">This register resolves constitutional ownership for drafting and audit. It does not authorize schema changes, migrations, implementation, provider activation, production access, or public launch.</w:t>
      </w:r>
    </w:p>
    <w:bookmarkEnd w:id="23"/>
    <w:bookmarkStart w:id="24" w:name="Xf4b773622ed5ce3335ad867862378d676926309"/>
    <w:p>
      <w:pPr>
        <w:pStyle w:val="Heading2"/>
      </w:pPr>
      <w:r>
        <w:t xml:space="preserve">5. V1.1 Safeguarding Integration Change Record</w:t>
      </w:r>
    </w:p>
    <w:p>
      <w:pPr>
        <w:pStyle w:val="FirstParagraph"/>
      </w:pPr>
      <w:r>
        <w:t xml:space="preserve">V1.1 establishes the approved safeguarding canon as the primary owner for protected-participant status and safeguarding-specific rules, preserves delegated-assistance ownership in the Relationship Model, and records the communication, intake, guardian, adult-eligibility, transport, evidence, and transition-to-adulthood boundaries. This successor is a controlled integration candidate pending separate founder review.</w:t>
      </w:r>
    </w:p>
    <w:bookmarkEnd w:id="24"/>
    <w:bookmarkEnd w:id="25"/>
    <w:sectPr>
      <w:headerReference w:type="default" r:id="rId9"/>
      <w:footerReference w:type="default" r:id="rId10"/>
      <w:pgMar w:top="893" w:bottom="893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978"/>
        <w:sz w:val="15"/>
      </w:rPr>
      <w:t xml:space="preserve">Controlled governance integration candidate  |  No adoption, lock, implementation, production, or launch authority  |  Page </w:t>
    </w: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365D"/>
        <w:sz w:val="16"/>
      </w:rPr>
      <w:t>EQUINESYNC  |  CONSTITUTIONAL GOVERNANCE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2" w:lineRule="auto"/>
    </w:pPr>
    <w:rPr>
      <w:rFonts w:ascii="Aptos" w:hAnsi="Aptos"/>
      <w:color w:val="1F2937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36" w:line="240" w:lineRule="auto"/>
    </w:pPr>
    <w:rPr>
      <w:rFonts w:ascii="Aptos" w:hAnsi="Aptos"/>
      <w:sz w:val="17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160"/>
      <w:jc w:val="center"/>
    </w:pPr>
    <w:rPr>
      <w:rFonts w:asciiTheme="majorHAnsi" w:cstheme="majorBidi" w:eastAsiaTheme="majorEastAsia" w:hAnsiTheme="majorHAnsi" w:ascii="Georgia" w:hAnsi="Georgia"/>
      <w:b/>
      <w:bCs/>
      <w:color w:val="17365D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2026-07-15T21:50:06Z</dcterms:created>
  <dcterms:modified xsi:type="dcterms:W3CDTF">2026-07-15T21:50:06Z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