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69d1fd7134849a050ccd4656b0b55235fd832b2"/>
    <w:p>
      <w:pPr>
        <w:pStyle w:val="Heading1"/>
      </w:pPr>
      <w:r>
        <w:t xml:space="preserve">CROSS-CANON REFERENCE NORMALIZATION REGISTER V1.1</w:t>
      </w:r>
    </w:p>
    <w:p>
      <w:pPr>
        <w:pStyle w:val="FirstParagraph"/>
      </w:pPr>
      <w:r>
        <w:rPr>
          <w:b/>
          <w:bCs/>
        </w:rPr>
        <w:t xml:space="preserve">Register Status:</w:t>
      </w:r>
      <w:r>
        <w:t xml:space="preserve"> </w:t>
      </w:r>
      <w:r>
        <w:t xml:space="preserve">Controlled Completion Integration Candidate for Founder Review</w:t>
      </w:r>
      <w:r>
        <w:br/>
      </w:r>
      <w:r>
        <w:rPr>
          <w:b/>
          <w:bCs/>
        </w:rPr>
        <w:t xml:space="preserve">Purpose:</w:t>
      </w:r>
      <w:r>
        <w:t xml:space="preserve"> </w:t>
      </w:r>
      <w:r>
        <w:t xml:space="preserve">Map legacy, abbreviated, or superseded document names to the current canonical family.</w:t>
      </w:r>
      <w:r>
        <w:br/>
      </w:r>
      <w:r>
        <w:rPr>
          <w:b/>
          <w:bCs/>
        </w:rPr>
        <w:t xml:space="preserve">Date:</w:t>
      </w:r>
      <w:r>
        <w:t xml:space="preserve"> </w:t>
      </w:r>
      <w:r>
        <w:t xml:space="preserve">July 15, 2026</w:t>
      </w:r>
      <w:r>
        <w:br/>
      </w:r>
      <w:r>
        <w:rPr>
          <w:b/>
          <w:bCs/>
        </w:rPr>
        <w:t xml:space="preserve">Supersedes:</w:t>
      </w:r>
      <w:r>
        <w:t xml:space="preserve"> </w:t>
      </w:r>
      <w:r>
        <w:t xml:space="preserve">V1.0 for controlled review; V1.0 remains preserved</w:t>
      </w:r>
      <w:r>
        <w:br/>
      </w:r>
      <w:r>
        <w:rPr>
          <w:b/>
          <w:bCs/>
        </w:rPr>
        <w:t xml:space="preserve">Implementation Authority:</w:t>
      </w:r>
      <w:r>
        <w:t xml:space="preserve"> </w:t>
      </w:r>
      <w:r>
        <w:t xml:space="preserve">False</w:t>
      </w:r>
    </w:p>
    <w:bookmarkStart w:id="20" w:name="normalization-map"/>
    <w:p>
      <w:pPr>
        <w:pStyle w:val="Heading2"/>
      </w:pPr>
      <w:r>
        <w:t xml:space="preserve">1. Normalization Map</w:t>
      </w:r>
    </w:p>
    <w:tbl>
      <w:tblPr>
        <w:tblW w:type="dxa" w:w="10368"/>
        <w:jc w:val="center"/>
        <w:tblLayout w:type="fixed"/>
        <w:tblLook w:firstRow="1" w:lastRow="0" w:firstColumn="0" w:lastColumn="0" w:noHBand="0" w:noVBand="0" w:val="0020"/>
        <w:tblBorders>
          <w:top w:val="single" w:sz="4" w:space="0" w:color="AAB7C4"/>
          <w:left w:val="single" w:sz="4" w:space="0" w:color="AAB7C4"/>
          <w:bottom w:val="single" w:sz="4" w:space="0" w:color="AAB7C4"/>
          <w:right w:val="single" w:sz="4" w:space="0" w:color="AAB7C4"/>
          <w:insideH w:val="single" w:sz="4" w:space="0" w:color="AAB7C4"/>
          <w:insideV w:val="single" w:sz="4" w:space="0" w:color="AAB7C4"/>
        </w:tblBorders>
      </w:tblPr>
      <w:tblGrid>
        <w:gridCol w:w="2073"/>
        <w:gridCol w:w="3939"/>
        <w:gridCol w:w="4356"/>
      </w:tblGrid>
      <w:tr>
        <w:trPr>
          <w:tblHeader w:val="1"/>
        </w:trPr>
        <w:tc>
          <w:tcPr>
            <w:tcW w:type="dxa" w:w="2073"/>
            <w:tcMar>
              <w:top w:type="dxa" w:w="60"/>
              <w:start w:type="dxa" w:w="75"/>
              <w:bottom w:type="dxa" w:w="60"/>
              <w:end w:type="dxa" w:w="75"/>
            </w:tcMar>
            <w:vAlign w:val="center"/>
            <w:shd w:fill="17365D"/>
          </w:tcPr>
          <w:p>
            <w:pPr>
              <w:pStyle w:val="Compact"/>
              <w:jc w:val="left"/>
              <w:spacing w:before="0" w:after="0" w:line="190" w:lineRule="auto"/>
            </w:pPr>
            <w:r>
              <w:rPr>
                <w:sz w:val="16"/>
                <w:szCs w:val="16"/>
                <w:color w:val="FFFFFF"/>
                <w:b w:val="1"/>
              </w:rPr>
              <w:t xml:space="preserve">Legacy or Variant Reference</w:t>
            </w:r>
          </w:p>
        </w:tc>
        <w:tc>
          <w:tcPr>
            <w:tcW w:type="dxa" w:w="3939"/>
            <w:tcMar>
              <w:top w:type="dxa" w:w="60"/>
              <w:start w:type="dxa" w:w="75"/>
              <w:bottom w:type="dxa" w:w="60"/>
              <w:end w:type="dxa" w:w="75"/>
            </w:tcMar>
            <w:vAlign w:val="center"/>
            <w:shd w:fill="17365D"/>
          </w:tcPr>
          <w:p>
            <w:pPr>
              <w:pStyle w:val="Compact"/>
              <w:jc w:val="left"/>
              <w:spacing w:before="0" w:after="0" w:line="190" w:lineRule="auto"/>
            </w:pPr>
            <w:r>
              <w:rPr>
                <w:sz w:val="16"/>
                <w:szCs w:val="16"/>
                <w:color w:val="FFFFFF"/>
                <w:b w:val="1"/>
              </w:rPr>
              <w:t xml:space="preserve">Current Canonical Reference</w:t>
            </w:r>
          </w:p>
        </w:tc>
        <w:tc>
          <w:tcPr>
            <w:tcW w:type="dxa" w:w="4356"/>
            <w:tcMar>
              <w:top w:type="dxa" w:w="60"/>
              <w:start w:type="dxa" w:w="75"/>
              <w:bottom w:type="dxa" w:w="60"/>
              <w:end w:type="dxa" w:w="75"/>
            </w:tcMar>
            <w:vAlign w:val="center"/>
            <w:shd w:fill="17365D"/>
          </w:tcPr>
          <w:p>
            <w:pPr>
              <w:pStyle w:val="Compact"/>
              <w:jc w:val="left"/>
              <w:spacing w:before="0" w:after="0" w:line="190" w:lineRule="auto"/>
            </w:pPr>
            <w:r>
              <w:rPr>
                <w:sz w:val="16"/>
                <w:szCs w:val="16"/>
                <w:color w:val="FFFFFF"/>
                <w:b w:val="1"/>
              </w:rPr>
              <w:t xml:space="preserve">Treatment</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Claims and Retention Model</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Claims, Disputes, and Authority Model V2.0</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Replace. Retention belongs to Record Stewardship and Retention.</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Security, Privacy, and Trust Model</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Security and Trust Model V1.1</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Replace formal title; privacy-processing ownership remains with Privacy and Data Protection.</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AI Operating System</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AI Governance and Decision Boundary Model V2.0</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Replace unless a separate lower-order operating specification is intended.</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AI Governance Model</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AI Governance and Decision Boundary Model V2.0</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Normalize.</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Notification Framework</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Communication, Notification, and Notice Model V2.0</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Replace.</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Financial Architecture</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Financial Truth and Responsibility Model V2.1</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Replace unless referring to a separate implementation architecture.</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Platform Operations</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Platform Operations, Reliability, and Release Model V2.0</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Normalize.</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Permission Model</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Permission and Access-Control Model V1.1; canonical filename remains</w:t>
            </w:r>
            <w:r>
              <w:rPr>
                <w:sz w:val="16"/>
                <w:szCs w:val="16"/>
                <w:color w:val="1F2937"/>
              </w:rPr>
              <w:t xml:space="preserve"> </w:t>
            </w:r>
            <w:r>
              <w:rPr>
                <w:rStyle w:val="VerbatimChar"/>
                <w:sz w:val="16"/>
                <w:szCs w:val="16"/>
                <w:color w:val="1F2937"/>
              </w:rPr>
              <w:t xml:space="preserve">MASTER_PERMISSION_MODEL_V1_1</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Use formal family name in prose.</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Media, File, and Digital Asset Governance Model</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Media, Files, and Digital Asset Governance Model</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Normalize plural form.</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Relationship Model</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Relationship Model V2.0</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Add active version.</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Record Stewardship and Retention Model</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Record Stewardship and Retention Model V2.1</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Add active version.</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External Architecture and Adapter Model</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External Architecture and Adapter Model V2.1</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Add active version.</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Agreement, Consent, and Authorization Model</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Agreement, Consent, and Authorization Model V2.1</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Add active version.</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Product Vision</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Product Vision V2.1</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Add active version.</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Ecosystem Model</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Ecosystem Model V2.1</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Add active version.</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Minor, Guardian, Safeguarding, and Delegated-Assistance Canon</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Minor, Guardianship, Safeguarding, and Protected Participant Model V1.1</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Replace provisional family title. Delegated-assistance relationship ownership remains with the Relationship Model; this Model owns safeguarding constraints involving protected participants.</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Minor and Guardian Canon</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Minor, Guardianship, Safeguarding, and Protected Participant Model V1.1</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Replace abbreviated provisional reference.</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Minor Safeguarding Canon</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Minor, Guardianship, Safeguarding, and Protected Participant Model V1.1</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Normalize abbreviated reference.</w:t>
            </w:r>
          </w:p>
        </w:tc>
      </w:tr>
      <w:tr>
        <w:trPr/>
        <w:tc>
          <w:tcPr>
            <w:tcW w:type="dxa" w:w="2073"/>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Protected Participant Canon</w:t>
            </w:r>
          </w:p>
        </w:tc>
        <w:tc>
          <w:tcPr>
            <w:tcW w:type="dxa" w:w="3939"/>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Master Minor, Guardianship, Safeguarding, and Protected Participant Model V1.1</w:t>
            </w:r>
          </w:p>
        </w:tc>
        <w:tc>
          <w:tcPr>
            <w:tcW w:type="dxa" w:w="4356"/>
            <w:tcMar>
              <w:top w:type="dxa" w:w="60"/>
              <w:start w:type="dxa" w:w="75"/>
              <w:bottom w:type="dxa" w:w="60"/>
              <w:end w:type="dxa" w:w="75"/>
            </w:tcMar>
            <w:vAlign w:val="top"/>
            <w:shd w:fill="FFFFFF"/>
          </w:tcPr>
          <w:p>
            <w:pPr>
              <w:pStyle w:val="Compact"/>
              <w:jc w:val="left"/>
              <w:spacing w:before="0" w:after="0" w:line="190" w:lineRule="auto"/>
            </w:pPr>
            <w:r>
              <w:rPr>
                <w:sz w:val="16"/>
                <w:szCs w:val="16"/>
                <w:color w:val="1F2937"/>
              </w:rPr>
              <w:t xml:space="preserve">Normalize abbreviated reference.</w:t>
            </w:r>
          </w:p>
        </w:tc>
      </w:tr>
      <w:tr>
        <w:trPr/>
        <w:tc>
          <w:tcPr>
            <w:tcW w:type="dxa" w:w="2073"/>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Minor, Guardianship, Safeguarding, and Protected Participant Model</w:t>
            </w:r>
          </w:p>
        </w:tc>
        <w:tc>
          <w:tcPr>
            <w:tcW w:type="dxa" w:w="3939"/>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Master Minor, Guardianship, Safeguarding, and Protected Participant Model V1.1</w:t>
            </w:r>
          </w:p>
        </w:tc>
        <w:tc>
          <w:tcPr>
            <w:tcW w:type="dxa" w:w="4356"/>
            <w:tcMar>
              <w:top w:type="dxa" w:w="60"/>
              <w:start w:type="dxa" w:w="75"/>
              <w:bottom w:type="dxa" w:w="60"/>
              <w:end w:type="dxa" w:w="75"/>
            </w:tcMar>
            <w:vAlign w:val="top"/>
            <w:shd w:fill="EEF3F7"/>
          </w:tcPr>
          <w:p>
            <w:pPr>
              <w:pStyle w:val="Compact"/>
              <w:jc w:val="left"/>
              <w:spacing w:before="0" w:after="0" w:line="190" w:lineRule="auto"/>
            </w:pPr>
            <w:r>
              <w:rPr>
                <w:sz w:val="16"/>
                <w:szCs w:val="16"/>
                <w:color w:val="1F2937"/>
              </w:rPr>
              <w:t xml:space="preserve">Add active founder-approved version.</w:t>
            </w:r>
          </w:p>
        </w:tc>
      </w:tr>
    </w:tbl>
    <w:bookmarkEnd w:id="20"/>
    <w:bookmarkStart w:id="21" w:name="application-rule"/>
    <w:p>
      <w:pPr>
        <w:pStyle w:val="Heading2"/>
      </w:pPr>
      <w:r>
        <w:t xml:space="preserve">2. Application Rule</w:t>
      </w:r>
    </w:p>
    <w:p>
      <w:pPr>
        <w:pStyle w:val="FirstParagraph"/>
      </w:pPr>
      <w:r>
        <w:t xml:space="preserve">A normalized reference changes the cited authority name, not the historical filename or checksum of the source artifact. Historical files remain preserved. New and revised documents must use the current canonical reference unless explicitly discussing a historical version.</w:t>
      </w:r>
    </w:p>
    <w:bookmarkEnd w:id="21"/>
    <w:bookmarkStart w:id="22" w:name="ambiguity-rule"/>
    <w:p>
      <w:pPr>
        <w:pStyle w:val="Heading2"/>
      </w:pPr>
      <w:r>
        <w:t xml:space="preserve">3. Ambiguity Rule</w:t>
      </w:r>
    </w:p>
    <w:p>
      <w:pPr>
        <w:pStyle w:val="FirstParagraph"/>
      </w:pPr>
      <w:r>
        <w:t xml:space="preserve">Where a legacy title may refer to a distinct implementation standard rather than constitutional canon, the author must identify the intended artifact and may not silently map it.</w:t>
      </w:r>
    </w:p>
    <w:bookmarkEnd w:id="22"/>
    <w:bookmarkStart w:id="23" w:name="usage-examples"/>
    <w:p>
      <w:pPr>
        <w:pStyle w:val="Heading2"/>
      </w:pPr>
      <w:r>
        <w:t xml:space="preserve">4. Usage Examples</w:t>
      </w:r>
    </w:p>
    <w:p>
      <w:pPr>
        <w:pStyle w:val="Compact"/>
        <w:numPr>
          <w:ilvl w:val="0"/>
          <w:numId w:val="1001"/>
        </w:numPr>
      </w:pPr>
      <w:r>
        <w:t xml:space="preserve">A new plugin-governance document must cite the Master Claims, Disputes, and Authority Model V2.0 rather than the legacy Claims and Retention title.</w:t>
      </w:r>
    </w:p>
    <w:p>
      <w:pPr>
        <w:pStyle w:val="Compact"/>
        <w:numPr>
          <w:ilvl w:val="0"/>
          <w:numId w:val="1001"/>
        </w:numPr>
      </w:pPr>
      <w:r>
        <w:t xml:space="preserve">A security document may describe privacy-protective safeguards, but it must cite the Privacy and Data Protection Model V2.0 for processing rights and lawful-basis rules.</w:t>
      </w:r>
    </w:p>
    <w:p>
      <w:pPr>
        <w:pStyle w:val="Compact"/>
        <w:numPr>
          <w:ilvl w:val="0"/>
          <w:numId w:val="1001"/>
        </w:numPr>
      </w:pPr>
      <w:r>
        <w:t xml:space="preserve">A permission document must cite the Agreement, Consent, and Authorization Model V2.1 for the consent record and lifecycle, while retaining permission ownership over enforcement.</w:t>
      </w:r>
    </w:p>
    <w:p>
      <w:pPr>
        <w:pStyle w:val="Compact"/>
        <w:numPr>
          <w:ilvl w:val="0"/>
          <w:numId w:val="1001"/>
        </w:numPr>
      </w:pPr>
      <w:r>
        <w:t xml:space="preserve">A provider-specific implementation plan may name a vendor, but constitutional adapter rules must cite the External Architecture and Adapter Model V2.1 and current preferences must cite the Approved Provider Strategy Register V1.0.</w:t>
      </w:r>
    </w:p>
    <w:p>
      <w:pPr>
        <w:pStyle w:val="Compact"/>
        <w:numPr>
          <w:ilvl w:val="0"/>
          <w:numId w:val="1001"/>
        </w:numPr>
      </w:pPr>
      <w:r>
        <w:t xml:space="preserve">A historical audit may quote an older filename exactly when the historical reference is material, but it must identify the current controlling successor.</w:t>
      </w:r>
    </w:p>
    <w:bookmarkEnd w:id="23"/>
    <w:bookmarkStart w:id="24" w:name="review-rule"/>
    <w:p>
      <w:pPr>
        <w:pStyle w:val="Heading2"/>
      </w:pPr>
      <w:r>
        <w:t xml:space="preserve">5. Review Rule</w:t>
      </w:r>
    </w:p>
    <w:p>
      <w:pPr>
        <w:pStyle w:val="FirstParagraph"/>
      </w:pPr>
      <w:r>
        <w:t xml:space="preserve">The register must be reviewed whenever a canonical document is renamed, versioned, split, consolidated, superseded, or assigned a new constitutional owner. Broken-reference scans must use this registry as a normalization dictionary before treating a legacy title as a missing document.</w:t>
      </w:r>
    </w:p>
    <w:bookmarkEnd w:id="24"/>
    <w:bookmarkStart w:id="25" w:name="authority-boundary"/>
    <w:p>
      <w:pPr>
        <w:pStyle w:val="Heading2"/>
      </w:pPr>
      <w:r>
        <w:t xml:space="preserve">6. Authority Boundary</w:t>
      </w:r>
    </w:p>
    <w:p>
      <w:pPr>
        <w:pStyle w:val="FirstParagraph"/>
      </w:pPr>
      <w:r>
        <w:t xml:space="preserve">This registry corrects references. It does not amend the substance of a cited canon, alter a historical checksum, authorize adoption or lock, or create implementation and production authority.</w:t>
      </w:r>
    </w:p>
    <w:bookmarkEnd w:id="25"/>
    <w:bookmarkStart w:id="26" w:name="Xf4b773622ed5ce3335ad867862378d676926309"/>
    <w:p>
      <w:pPr>
        <w:pStyle w:val="Heading2"/>
      </w:pPr>
      <w:r>
        <w:t xml:space="preserve">7. V1.1 Safeguarding Integration Change Record</w:t>
      </w:r>
    </w:p>
    <w:p>
      <w:pPr>
        <w:pStyle w:val="FirstParagraph"/>
      </w:pPr>
      <w:r>
        <w:t xml:space="preserve">V1.1 retires provisional safeguarding-family titles for new references and binds them to the founder-approved V1.1 family while preserving historical filenames and prior text.</w:t>
      </w:r>
    </w:p>
    <w:bookmarkEnd w:id="26"/>
    <w:bookmarkEnd w:id="27"/>
    <w:sectPr>
      <w:headerReference w:type="default" r:id="rId9"/>
      <w:footerReference w:type="default" r:id="rId10"/>
      <w:pgMar w:top="893" w:bottom="893" w:left="936" w:right="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978"/>
        <w:sz w:val="15"/>
      </w:rPr>
      <w:t xml:space="preserve">Controlled governance integration candidate  |  No adoption, lock, implementation, production, or launch authority  |  Page </w:t>
    </w: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7365D"/>
        <w:sz w:val="16"/>
      </w:rPr>
      <w:t>EQUINESYNC  |  CONSTITUTIONAL GOVERNANCE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2" w:lineRule="auto"/>
    </w:pPr>
    <w:rPr>
      <w:rFonts w:ascii="Aptos" w:hAnsi="Aptos"/>
      <w:color w:val="1F2937"/>
      <w:sz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36" w:line="240" w:lineRule="auto"/>
    </w:pPr>
    <w:rPr>
      <w:rFonts w:ascii="Aptos" w:hAnsi="Aptos"/>
      <w:sz w:val="17"/>
    </w:rPr>
  </w:style>
  <w:style w:styleId="Title" w:type="paragraph">
    <w:name w:val="Title"/>
    <w:basedOn w:val="Normal"/>
    <w:next w:val="BodyText"/>
    <w:qFormat/>
    <w:pPr>
      <w:keepNext/>
      <w:keepLines/>
      <w:spacing w:after="80" w:before="160"/>
      <w:jc w:val="center"/>
    </w:pPr>
    <w:rPr>
      <w:rFonts w:asciiTheme="majorHAnsi" w:cstheme="majorBidi" w:eastAsiaTheme="majorEastAsia" w:hAnsiTheme="majorHAnsi" w:ascii="Georgia" w:hAnsi="Georgia"/>
      <w:b/>
      <w:bCs/>
      <w:color w:val="17365D"/>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2026-07-15T21:50:08Z</dcterms:created>
  <dcterms:modified xsi:type="dcterms:W3CDTF">2026-07-15T21:50:08Z</dcterms:modified>
</cp:coreProperties>
</file>

<file path=docProps/custom.xml><?xml version="1.0" encoding="utf-8"?>
<Properties xmlns="http://schemas.openxmlformats.org/officeDocument/2006/custom-properties" xmlns:vt="http://schemas.openxmlformats.org/officeDocument/2006/docPropsVTypes"/>
</file>