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d4b8ce8696af24a1dca4c1f72a8a0ac1bf7c445"/>
    <w:p>
      <w:pPr>
        <w:pStyle w:val="Heading1"/>
      </w:pPr>
      <w:r>
        <w:t xml:space="preserve">EQUINESYNC SAFEGUARDING COMPANION ARTIFACT INTEGRATION MEMORANDUM V1.0</w:t>
      </w:r>
    </w:p>
    <w:p>
      <w:pPr>
        <w:pStyle w:val="FirstParagraph"/>
      </w:pPr>
      <w:r>
        <w:rPr>
          <w:b/>
          <w:bCs/>
        </w:rPr>
        <w:t xml:space="preserve">Document Identifier:</w:t>
      </w:r>
      <w:r>
        <w:t xml:space="preserve"> </w:t>
      </w:r>
      <w:r>
        <w:rPr>
          <w:rStyle w:val="VerbatimChar"/>
        </w:rPr>
        <w:t xml:space="preserve">EQUINESYNC_SAFEGUARDING_COMPANION_ARTIFACT_INTEGRATION_MEMORANDUM_V1_0</w:t>
      </w:r>
      <w:r>
        <w:br/>
      </w:r>
      <w:r>
        <w:rPr>
          <w:b/>
          <w:bCs/>
        </w:rPr>
        <w:t xml:space="preserve">Date:</w:t>
      </w:r>
      <w:r>
        <w:t xml:space="preserve"> </w:t>
      </w:r>
      <w:r>
        <w:t xml:space="preserve">July 15, 2026</w:t>
      </w:r>
      <w:r>
        <w:br/>
      </w:r>
      <w:r>
        <w:rPr>
          <w:b/>
          <w:bCs/>
        </w:rPr>
        <w:t xml:space="preserve">Disposition:</w:t>
      </w:r>
      <w:r>
        <w:t xml:space="preserve"> </w:t>
      </w:r>
      <w:r>
        <w:rPr>
          <w:rStyle w:val="VerbatimChar"/>
        </w:rPr>
        <w:t xml:space="preserve">CONTROLLED_INTEGRATION_PACKAGE_READY_FOR_FOUNDER_AND_REPOSITORY_REVIEW</w:t>
      </w:r>
      <w:r>
        <w:br/>
      </w:r>
      <w:r>
        <w:rPr>
          <w:b/>
          <w:bCs/>
        </w:rPr>
        <w:t xml:space="preserve">Adoption / Lock / Implementation / Runtime / Production / Public Claims / Launch:</w:t>
      </w:r>
      <w:r>
        <w:t xml:space="preserve"> </w:t>
      </w:r>
      <w:r>
        <w:t xml:space="preserve">FALSE</w:t>
      </w:r>
    </w:p>
    <w:bookmarkStart w:id="20" w:name="executive-determination"/>
    <w:p>
      <w:pPr>
        <w:pStyle w:val="Heading2"/>
      </w:pPr>
      <w:r>
        <w:t xml:space="preserve">1. Executive Determination</w:t>
      </w:r>
    </w:p>
    <w:p>
      <w:pPr>
        <w:pStyle w:val="FirstParagraph"/>
      </w:pPr>
      <w:r>
        <w:t xml:space="preserve">The founder-approved</w:t>
      </w:r>
      <w:r>
        <w:t xml:space="preserve"> </w:t>
      </w:r>
      <w:r>
        <w:rPr>
          <w:rStyle w:val="VerbatimChar"/>
        </w:rPr>
        <w:t xml:space="preserve">MASTER_MINOR_GUARDIANSHIP_SAFEGUARDING_AND_PROTECTED_PARTICIPANT_MODEL_V1_1</w:t>
      </w:r>
      <w:r>
        <w:t xml:space="preserve"> </w:t>
      </w:r>
      <w:r>
        <w:t xml:space="preserve">has been integrated into every companion artifact for which exact mounted source bytes were available. For the four companion sources that C0 classified as unavailable in the drafting workspace, this package supplies deterministic patch rows rather than inventing full replacement artifacts.</w:t>
      </w:r>
    </w:p>
    <w:bookmarkEnd w:id="20"/>
    <w:bookmarkStart w:id="21" w:name="exact-source-successors-created"/>
    <w:p>
      <w:pPr>
        <w:pStyle w:val="Heading2"/>
      </w:pPr>
      <w:r>
        <w:t xml:space="preserve">2. Exact-Source Successors Created</w:t>
      </w:r>
    </w:p>
    <w:p>
      <w:pPr>
        <w:pStyle w:val="Compact"/>
        <w:numPr>
          <w:ilvl w:val="0"/>
          <w:numId w:val="1001"/>
        </w:numPr>
      </w:pPr>
      <w:r>
        <w:t xml:space="preserve">Constitutional Domain Ownership and Boundary Register V1.1</w:t>
      </w:r>
    </w:p>
    <w:p>
      <w:pPr>
        <w:pStyle w:val="Compact"/>
        <w:numPr>
          <w:ilvl w:val="0"/>
          <w:numId w:val="1001"/>
        </w:numPr>
      </w:pPr>
      <w:r>
        <w:t xml:space="preserve">Cross-Canon Reference Normalization Register V1.1</w:t>
      </w:r>
    </w:p>
    <w:p>
      <w:pPr>
        <w:pStyle w:val="Compact"/>
        <w:numPr>
          <w:ilvl w:val="0"/>
          <w:numId w:val="1001"/>
        </w:numPr>
      </w:pPr>
      <w:r>
        <w:t xml:space="preserve">Constitutional Authority Matrix V1.2</w:t>
      </w:r>
    </w:p>
    <w:p>
      <w:pPr>
        <w:pStyle w:val="Compact"/>
        <w:numPr>
          <w:ilvl w:val="0"/>
          <w:numId w:val="1001"/>
        </w:numPr>
      </w:pPr>
      <w:r>
        <w:t xml:space="preserve">Constitutional Cross Reference Index V1.2</w:t>
      </w:r>
    </w:p>
    <w:p>
      <w:pPr>
        <w:pStyle w:val="Compact"/>
        <w:numPr>
          <w:ilvl w:val="0"/>
          <w:numId w:val="1001"/>
        </w:numPr>
      </w:pPr>
      <w:r>
        <w:t xml:space="preserve">Canon Dependency Map V1.2</w:t>
      </w:r>
    </w:p>
    <w:p>
      <w:pPr>
        <w:pStyle w:val="Compact"/>
        <w:numPr>
          <w:ilvl w:val="0"/>
          <w:numId w:val="1001"/>
        </w:numPr>
      </w:pPr>
      <w:r>
        <w:t xml:space="preserve">Constitutional Vocabulary and Definitions Index V1.2</w:t>
      </w:r>
    </w:p>
    <w:p>
      <w:pPr>
        <w:pStyle w:val="FirstParagraph"/>
      </w:pPr>
      <w:r>
        <w:t xml:space="preserve">These artifacts replace provisional safeguarding-family names, establish the founder-approved family, and preserve the underlying ownership of Identity, Relationship, Agreement, Permission, Communication, Privacy, Record Stewardship, Claims, Audit, Media, Search, AI, Reporting, Barn Operations, and other adjacent domains.</w:t>
      </w:r>
    </w:p>
    <w:bookmarkEnd w:id="21"/>
    <w:bookmarkStart w:id="22" w:name="exact-source-patch-schedules-created"/>
    <w:p>
      <w:pPr>
        <w:pStyle w:val="Heading2"/>
      </w:pPr>
      <w:r>
        <w:t xml:space="preserve">3. Exact-Source Patch Schedules Created</w:t>
      </w:r>
    </w:p>
    <w:p>
      <w:pPr>
        <w:pStyle w:val="FirstParagraph"/>
      </w:pPr>
      <w:r>
        <w:t xml:space="preserve">The patch workbook and Markdown schedule contain exact insertion rows for:</w:t>
      </w:r>
    </w:p>
    <w:p>
      <w:pPr>
        <w:pStyle w:val="Compact"/>
        <w:numPr>
          <w:ilvl w:val="0"/>
          <w:numId w:val="1002"/>
        </w:numPr>
      </w:pPr>
      <w:r>
        <w:t xml:space="preserve">Constitutional Canon Index and Navigator;</w:t>
      </w:r>
    </w:p>
    <w:p>
      <w:pPr>
        <w:pStyle w:val="Compact"/>
        <w:numPr>
          <w:ilvl w:val="0"/>
          <w:numId w:val="1002"/>
        </w:numPr>
      </w:pPr>
      <w:r>
        <w:t xml:space="preserve">Founder Decision Register;</w:t>
      </w:r>
    </w:p>
    <w:p>
      <w:pPr>
        <w:pStyle w:val="Compact"/>
        <w:numPr>
          <w:ilvl w:val="0"/>
          <w:numId w:val="1002"/>
        </w:numPr>
      </w:pPr>
      <w:r>
        <w:t xml:space="preserve">Governance Requirement Index;</w:t>
      </w:r>
    </w:p>
    <w:p>
      <w:pPr>
        <w:pStyle w:val="Compact"/>
        <w:numPr>
          <w:ilvl w:val="0"/>
          <w:numId w:val="1002"/>
        </w:numPr>
      </w:pPr>
      <w:r>
        <w:t xml:space="preserve">Requirement Traceability Matrix.</w:t>
      </w:r>
    </w:p>
    <w:p>
      <w:pPr>
        <w:pStyle w:val="FirstParagraph"/>
      </w:pPr>
      <w:r>
        <w:t xml:space="preserve">They include one Canon Index record, FD-MSP01 through FD-MSP15 provenance, 40 safeguarding requirements, and 40 matching traceability records.</w:t>
      </w:r>
    </w:p>
    <w:bookmarkEnd w:id="22"/>
    <w:bookmarkStart w:id="23" w:name="key-constitutional-integrations"/>
    <w:p>
      <w:pPr>
        <w:pStyle w:val="Heading2"/>
      </w:pPr>
      <w:r>
        <w:t xml:space="preserve">4. Key Constitutional Integrations</w:t>
      </w:r>
    </w:p>
    <w:p>
      <w:pPr>
        <w:pStyle w:val="Compact"/>
        <w:numPr>
          <w:ilvl w:val="0"/>
          <w:numId w:val="1003"/>
        </w:numPr>
      </w:pPr>
      <w:r>
        <w:t xml:space="preserve">Final family name normalized to</w:t>
      </w:r>
      <w:r>
        <w:t xml:space="preserve"> </w:t>
      </w:r>
      <w:r>
        <w:rPr>
          <w:rStyle w:val="VerbatimChar"/>
        </w:rPr>
        <w:t xml:space="preserve">Master Minor, Guardianship, Safeguarding, and Protected Participant Model V1.1</w:t>
      </w:r>
      <w:r>
        <w:t xml:space="preserve">.</w:t>
      </w:r>
    </w:p>
    <w:p>
      <w:pPr>
        <w:pStyle w:val="Compact"/>
        <w:numPr>
          <w:ilvl w:val="0"/>
          <w:numId w:val="1003"/>
        </w:numPr>
      </w:pPr>
      <w:r>
        <w:t xml:space="preserve">Delegated-assistance relationship ownership remains with the Relationship Model.</w:t>
      </w:r>
    </w:p>
    <w:p>
      <w:pPr>
        <w:pStyle w:val="Compact"/>
        <w:numPr>
          <w:ilvl w:val="0"/>
          <w:numId w:val="1003"/>
        </w:numPr>
      </w:pPr>
      <w:r>
        <w:t xml:space="preserve">Guardian-included communication is treated as a constitutional floor across in-app messaging, email, SMS, files, comments, replies, plugins, and integrations.</w:t>
      </w:r>
    </w:p>
    <w:p>
      <w:pPr>
        <w:pStyle w:val="Compact"/>
        <w:numPr>
          <w:ilvl w:val="0"/>
          <w:numId w:val="1003"/>
        </w:numPr>
      </w:pPr>
      <w:r>
        <w:t xml:space="preserve">Protected safeguarding intake remains distinct from ordinary adult-minor communication.</w:t>
      </w:r>
    </w:p>
    <w:p>
      <w:pPr>
        <w:pStyle w:val="Compact"/>
        <w:numPr>
          <w:ilvl w:val="0"/>
          <w:numId w:val="1003"/>
        </w:numPr>
      </w:pPr>
      <w:r>
        <w:t xml:space="preserve">Guardian access is evidence-based and may be restricted for documented safeguarding reasons.</w:t>
      </w:r>
    </w:p>
    <w:p>
      <w:pPr>
        <w:pStyle w:val="Compact"/>
        <w:numPr>
          <w:ilvl w:val="0"/>
          <w:numId w:val="1003"/>
        </w:numPr>
      </w:pPr>
      <w:r>
        <w:t xml:space="preserve">Emergency restrictions, Safety Plans, adult eligibility, transport, task safety, case separation, evidence, appeals, and transition to adulthood now have explicit Authority Matrix and Cross Reference entries.</w:t>
      </w:r>
    </w:p>
    <w:p>
      <w:pPr>
        <w:pStyle w:val="Compact"/>
        <w:numPr>
          <w:ilvl w:val="0"/>
          <w:numId w:val="1003"/>
        </w:numPr>
      </w:pPr>
      <w:r>
        <w:t xml:space="preserve">Twenty-three canonical safeguarding terms are added to the Vocabulary Index.</w:t>
      </w:r>
    </w:p>
    <w:p>
      <w:pPr>
        <w:pStyle w:val="Compact"/>
        <w:numPr>
          <w:ilvl w:val="0"/>
          <w:numId w:val="1003"/>
        </w:numPr>
      </w:pPr>
      <w:r>
        <w:t xml:space="preserve">Dependency paths and change-propagation rules now treat safeguarding as a resolved primary constitutional family.</w:t>
      </w:r>
    </w:p>
    <w:bookmarkEnd w:id="23"/>
    <w:bookmarkStart w:id="24" w:name="remaining-pre-adoption-conditions"/>
    <w:p>
      <w:pPr>
        <w:pStyle w:val="Heading2"/>
      </w:pPr>
      <w:r>
        <w:t xml:space="preserve">5. Remaining Pre-Adoption Conditions</w:t>
      </w:r>
    </w:p>
    <w:p>
      <w:pPr>
        <w:pStyle w:val="Compact"/>
        <w:numPr>
          <w:ilvl w:val="0"/>
          <w:numId w:val="1004"/>
        </w:numPr>
      </w:pPr>
      <w:r>
        <w:t xml:space="preserve">Repository paths and repository hashes must be verified.</w:t>
      </w:r>
    </w:p>
    <w:p>
      <w:pPr>
        <w:pStyle w:val="Compact"/>
        <w:numPr>
          <w:ilvl w:val="0"/>
          <w:numId w:val="1004"/>
        </w:numPr>
      </w:pPr>
      <w:r>
        <w:t xml:space="preserve">Patch schedules must be applied to the exact four missing companion sources after Codex recovers them.</w:t>
      </w:r>
    </w:p>
    <w:p>
      <w:pPr>
        <w:pStyle w:val="Compact"/>
        <w:numPr>
          <w:ilvl w:val="0"/>
          <w:numId w:val="1004"/>
        </w:numPr>
      </w:pPr>
      <w:r>
        <w:t xml:space="preserve">Duplicate ID, broken reference, dependency cycle, orphan requirement, and orphan traceability validation must pass.</w:t>
      </w:r>
    </w:p>
    <w:p>
      <w:pPr>
        <w:pStyle w:val="Compact"/>
        <w:numPr>
          <w:ilvl w:val="0"/>
          <w:numId w:val="1004"/>
        </w:numPr>
      </w:pPr>
      <w:r>
        <w:t xml:space="preserve">These integration candidates must return for separate founder review.</w:t>
      </w:r>
    </w:p>
    <w:bookmarkEnd w:id="24"/>
    <w:bookmarkStart w:id="25" w:name="authority-boundary"/>
    <w:p>
      <w:pPr>
        <w:pStyle w:val="Heading2"/>
      </w:pPr>
      <w:r>
        <w:t xml:space="preserve">6. Authority Boundary</w:t>
      </w:r>
    </w:p>
    <w:p>
      <w:pPr>
        <w:pStyle w:val="FirstParagraph"/>
      </w:pPr>
      <w:r>
        <w:t xml:space="preserve">This package does not authorize adoption, lock, implementation, schema creation or mutation, migration, permission expansion, vendor or provider activation, runtime activation, production access or mutation, public safeguarding or SafeSport claims, production promotion, or public launch.</w:t>
      </w:r>
    </w:p>
    <w:bookmarkEnd w:id="25"/>
    <w:bookmarkEnd w:id="26"/>
    <w:sectPr>
      <w:headerReference w:type="default" r:id="rId9"/>
      <w:footerReference w:type="default" r:id="rId10"/>
      <w:pgMar w:top="893" w:bottom="893" w:left="936" w:right="9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978"/>
        <w:sz w:val="15"/>
      </w:rPr>
      <w:t xml:space="preserve">Controlled governance integration candidate  |  No adoption, lock, implementation, production, or launch authority  |  Page </w:t>
    </w: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7365D"/>
        <w:sz w:val="16"/>
      </w:rPr>
      <w:t>EQUINESYNC  |  CONSTITUTIONAL GOVERNANCE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2" w:lineRule="auto"/>
    </w:pPr>
    <w:rPr>
      <w:rFonts w:ascii="Aptos" w:hAnsi="Aptos"/>
      <w:color w:val="1F2937"/>
      <w:sz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36" w:line="240" w:lineRule="auto"/>
    </w:pPr>
    <w:rPr>
      <w:rFonts w:ascii="Aptos" w:hAnsi="Aptos"/>
      <w:sz w:val="17"/>
    </w:rPr>
  </w:style>
  <w:style w:styleId="Title" w:type="paragraph">
    <w:name w:val="Title"/>
    <w:basedOn w:val="Normal"/>
    <w:next w:val="BodyText"/>
    <w:qFormat/>
    <w:pPr>
      <w:keepNext/>
      <w:keepLines/>
      <w:spacing w:after="80" w:before="160"/>
      <w:jc w:val="center"/>
    </w:pPr>
    <w:rPr>
      <w:rFonts w:asciiTheme="majorHAnsi" w:cstheme="majorBidi" w:eastAsiaTheme="majorEastAsia" w:hAnsiTheme="majorHAnsi" w:ascii="Georgia" w:hAnsi="Georgia"/>
      <w:b/>
      <w:bCs/>
      <w:color w:val="17365D"/>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2026-07-15T21:50:19Z</dcterms:created>
  <dcterms:modified xsi:type="dcterms:W3CDTF">2026-07-15T21:50:19Z</dcterms:modified>
</cp:coreProperties>
</file>

<file path=docProps/custom.xml><?xml version="1.0" encoding="utf-8"?>
<Properties xmlns="http://schemas.openxmlformats.org/officeDocument/2006/custom-properties" xmlns:vt="http://schemas.openxmlformats.org/officeDocument/2006/docPropsVTypes"/>
</file>