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09bf25dd7f4c68ea9c03e2b06d3969146aca7c"/>
    <w:p>
      <w:pPr>
        <w:pStyle w:val="Heading1"/>
      </w:pPr>
      <w:r>
        <w:t xml:space="preserve">EQUINESYNC SAFEGUARDING COMPANION PATCH SCHEDULE V1.0</w:t>
      </w:r>
    </w:p>
    <w:p>
      <w:pPr>
        <w:pStyle w:val="FirstParagraph"/>
      </w:pPr>
      <w:r>
        <w:rPr>
          <w:b/>
          <w:bCs/>
        </w:rPr>
        <w:t xml:space="preserve">Status:</w:t>
      </w:r>
      <w:r>
        <w:t xml:space="preserve"> </w:t>
      </w:r>
      <w:r>
        <w:t xml:space="preserve">Controlled Completion Patch Schedule - Exact companion source application pending repository verification</w:t>
      </w:r>
      <w:r>
        <w:br/>
      </w:r>
      <w:r>
        <w:rPr>
          <w:b/>
          <w:bCs/>
        </w:rPr>
        <w:t xml:space="preserve">Date:</w:t>
      </w:r>
      <w:r>
        <w:t xml:space="preserve"> </w:t>
      </w:r>
      <w:r>
        <w:t xml:space="preserve">July 15, 2026</w:t>
      </w:r>
      <w:r>
        <w:br/>
      </w:r>
      <w:r>
        <w:rPr>
          <w:b/>
          <w:bCs/>
        </w:rPr>
        <w:t xml:space="preserve">Implementation / Production / Public Claims / Launch:</w:t>
      </w:r>
      <w:r>
        <w:t xml:space="preserve"> </w:t>
      </w:r>
      <w:r>
        <w:t xml:space="preserve">FALSE</w:t>
      </w:r>
    </w:p>
    <w:bookmarkStart w:id="20" w:name="purpose"/>
    <w:p>
      <w:pPr>
        <w:pStyle w:val="Heading2"/>
      </w:pPr>
      <w:r>
        <w:t xml:space="preserve">1. Purpose</w:t>
      </w:r>
    </w:p>
    <w:p>
      <w:pPr>
        <w:pStyle w:val="FirstParagraph"/>
      </w:pPr>
      <w:r>
        <w:t xml:space="preserve">This schedule provides deterministic rows for integrating the founder-approved safeguarding canon into four companion artifacts whose exact current source files were not mounted in the drafting workspace: the Canon Index and Navigator, Founder Decision Register, Governance Requirement Index, and Requirement Traceability Matrix. It is an insertion schedule, not a fabricated replacement for those artifacts.</w:t>
      </w:r>
    </w:p>
    <w:bookmarkEnd w:id="20"/>
    <w:bookmarkStart w:id="21" w:name="canon-index-patch"/>
    <w:p>
      <w:pPr>
        <w:pStyle w:val="Heading2"/>
      </w:pPr>
      <w:r>
        <w:t xml:space="preserve">2. Canon Index Patch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Field</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Value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Canon Family</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Minor, Guardianship, Safeguarding, and Protected Participant</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Canonical Document Identifier</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MASTER_MINOR_GUARDIANSHIP_SAFEGUARDING_AND_PROTECTED_PARTICIPANT_MODEL_V1_1</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Exact Markdown Filename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MASTER_MINOR_GUARDIANSHIP_SAFEGUARDING_AND_PROTECTED_PARTICIPANT_MODEL_V1_1_REVIEWED_DRAFT.md</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Exact DOCX Filename</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MASTER_MINOR_GUARDIANSHIP_SAFEGUARDING_AND_PROTECTED_PARTICIPANT_MODEL_V1_1_REVIEWED_DRAFT.docx</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Version</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1.1</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Founder Status</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Founder Approved</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Constitutional Status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Controlling substantive text; controlled adoption pending</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Repository Lock</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Pending</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Implementation / Runtime / Production / Public Claims / Launch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FALSE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Markdown SHA-256</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e956999709da35b2260ce8fdac230bc37d0bee6000007cec35c18e3653f59f05</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DOCX SHA-256</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8058981a7a5288698324c55ebee33ba7d4902548a723c2a5c35e4f3a12daa76c</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Repository Path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UNRESOLVED until verified by Codex</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Supersession</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Substantively supersedes V1.0 first draft; preserves drafting history</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Principal Dependencies</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Identity; Relationship; Agreement; Permission; Communication; Privacy; Records; Claims; Audit; Media; Search; AI; Reporting; Security; Barn Operations</w:t>
            </w:r>
          </w:p>
        </w:tc>
      </w:tr>
    </w:tbl>
    <w:bookmarkEnd w:id="21"/>
    <w:bookmarkStart w:id="22" w:name="founder-decision-register-patch"/>
    <w:p>
      <w:pPr>
        <w:pStyle w:val="Heading2"/>
      </w:pPr>
      <w:r>
        <w:t xml:space="preserve">3. Founder Decision Register Patch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177"/>
        <w:gridCol w:w="2592"/>
        <w:gridCol w:w="2592"/>
        <w:gridCol w:w="3007"/>
      </w:tblGrid>
      <w:tr>
        <w:trPr>
          <w:tblHeader w:val="1"/>
        </w:trPr>
        <w:tc>
          <w:tcPr>
            <w:tcW w:type="dxa" w:w="2177"/>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Decision ID</w:t>
            </w:r>
          </w:p>
        </w:tc>
        <w:tc>
          <w:tcPr>
            <w:tcW w:type="dxa" w:w="2592"/>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Topic</w:t>
            </w:r>
          </w:p>
        </w:tc>
        <w:tc>
          <w:tcPr>
            <w:tcW w:type="dxa" w:w="2592"/>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Disposition</w:t>
            </w:r>
          </w:p>
        </w:tc>
        <w:tc>
          <w:tcPr>
            <w:tcW w:type="dxa" w:w="3007"/>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Exact Source</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FD-MSP01</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Final domain boundary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FD-MSP02</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Protected-participant definition</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FD-MSP03</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Age and jurisdiction model</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FD-MSP04</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Guardian authority and conflicting guardians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FD-MSP05</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Minor assent and refusal</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FD-MSP06</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Electronic communications involving minors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Approved with founder modification</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FD-MSP07</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Safeguarding report intake and anonymity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FD-MSP08</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Guardian notification and access exceptions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FD-MSP09</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Emergency protective authority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FD-MSP10</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In-person interaction, transportation, and release</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FD-MSP11</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Minor participation in delegated horse care</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FD-MSP12</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Eligibility of adults working with protected participants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FD-MSP13</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AI and automated safeguarding support</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FD-MSP14</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Challenge, appeal, and non-retaliation</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FD-MSP15</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Transition to adulthood or restored autonomy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Approved as recommended</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EQUINESYNC_MINOR_SAFEGUARDING_FOUNDER_DECISION_DIRECTIVE_FD_MSP01_FD_MSP15_V1_0</w:t>
            </w:r>
          </w:p>
        </w:tc>
      </w:tr>
    </w:tbl>
    <w:bookmarkEnd w:id="22"/>
    <w:bookmarkStart w:id="23" w:name="governance-requirement-index-patch"/>
    <w:p>
      <w:pPr>
        <w:pStyle w:val="Heading2"/>
      </w:pPr>
      <w:r>
        <w:t xml:space="preserve">4. Governance Requirement Index Patch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177"/>
        <w:gridCol w:w="2592"/>
        <w:gridCol w:w="2592"/>
        <w:gridCol w:w="3007"/>
      </w:tblGrid>
      <w:tr>
        <w:trPr>
          <w:tblHeader w:val="1"/>
        </w:trPr>
        <w:tc>
          <w:tcPr>
            <w:tcW w:type="dxa" w:w="2177"/>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Requirement ID</w:t>
            </w:r>
          </w:p>
        </w:tc>
        <w:tc>
          <w:tcPr>
            <w:tcW w:type="dxa" w:w="2592"/>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Requirement</w:t>
            </w:r>
          </w:p>
        </w:tc>
        <w:tc>
          <w:tcPr>
            <w:tcW w:type="dxa" w:w="2592"/>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Source Sections</w:t>
            </w:r>
          </w:p>
        </w:tc>
        <w:tc>
          <w:tcPr>
            <w:tcW w:type="dxa" w:w="3007"/>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Primary Owner</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GOV-MSP-001</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Treat persons under eighteen as minors by default unless controlling jurisdictional evidence establishes another rule.</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6.1; 8; 81-84</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GOV-MSP-002</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Protected-participant status must be evidence-based, scoped, reviewable, and must not be inferred solely from diagnosis, disability, age, communication style, reputation, or convenience.</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6.2; 9-10</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GOV-MSP-003</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Guardian identity and guardian authority must remain separate from parentage, payer, household, emergency-contact, account, and administrative status.</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6.3-6.4; 13-18</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GOV-MSP-004</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Each guardian authority record must preserve source, scope, restrictions, dates, evidence, notice rights, communication rights, pickup rights, and dispute state.</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6.4; 13-18</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GOV-MSP-005</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Conflicting guardian claims must be preserved and routed to controlled review without choosing the first actor, payer, or account controller.</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16-18; 50</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GOV-MSP-006</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Age-appropriate assent must be sought for material participation decisions whenever practicable.</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6.5; 11-12</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GOV-MSP-007</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 protected refusal must control optional publicity, research, social exposure, nonessential communication, and personalization unless a documented safety, legal, emergency, or essential-care basis applies.</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6.6; 11-12; 61-62</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GOV-MSP-008</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Ordinary one-to-one electronic communication between an adult third party and a minor must be prohibited.</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23-32; 115-117</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GOV-MSP-009</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At least one currently verified guardian must be an active participant from the start and throughout every ordinary adult-minor electronic communication thread.</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23-32; 115-117</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GOV-MSP-010</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New conversational messages must be blocked when guardian delivery fails, guardian authority expires, or no valid guardian can participate.</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18.1; 28; 31</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GOV-MSP-011</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Messaging integrations, email, SMS, replies, comments, attachments, and external-channel handoffs must not bypass guardian inclusion or create disappearing or hidden communication.</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23-32; 88-95</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GOV-MSP-012</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Protected safeguarding intake must remain segregated from ordinary coaching, training, social, and operational messaging.</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6.13; 30-37.2</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GOV-MSP-013</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Safeguarding intake must support identified, confidential, on-behalf-of, emergency, and anonymous reporting where technically and legally supportable, without falsely promising absolute anonymity.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33-37.2</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GOV-MSP-014</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Guardian notice or access may be delayed, restricted, or withheld when disclosure creates danger, retaliation, investigative compromise, legal conflict, or third-party privacy harm.</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17; 30-31; 40</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GOV-MSP-015</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Internal approval, tenant administration, customer preference, or workflow delay must not block an applicable emergency or external reporting duty.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36-37.2</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GOV-MSP-016</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Temporary safeguarding restrictions must be minimum-necessary, attributable, time-aware, promptly reviewed, and must not be represented as final guilt or liability.</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37-40</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GOV-MSP-017</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Material protective matters must support a governed Safety Plan combining communication, scheduling, contact, pickup, transportation, assignment, media, and access safeguards.</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6.22; 37-40</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GOV-MSP-018</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Safeguarding case assignment must identify conflicts of interest, support recusal and reassignment, and provide an alternate path outside an implicated ordinary chain.</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6.23; 34-42.2</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GOV-MSP-019</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Good-faith reporting and participation in safeguarding processes must be protected from retaliation.</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41-42.2; 76-80</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GOV-MSP-020</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An adult eligibility state must precede protected-participant access, assignments, communication, pickup, transport, or other protected roles.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43-47</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GOV-MSP-021</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Adult eligibility must support verified identity, applicable role, required training or acknowledgment, restriction checks, periodic revalidation, no self-approval, and immediate revocation.</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43-47</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GOV-MSP-022</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Pickup and release must require verified, current, scoped authority and must preserve conflicts and emergency exceptions.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48-53</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GOV-MSP-023</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Transportation must require separate authorization, identified driver and responsible organization, destination, expected time, and emergency-contact availability.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48-53</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GOV-MSP-024</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Lodging, changing areas, private spaces, and comparable exposure require distinct authorization and observable, interruptible safeguards.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48-53</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GOV-MSP-025</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Minor delegated horse-care tasks must be horse-specific, task-specific, time-limited, age-appropriate, competence-appropriate, and supervised according to risk.</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54-57</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GOV-MSP-026</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Minors must not independently exercise medical, medication, veterinary, transport, financial, ownership, custody, safeguarding-investigation, or unsupervised high-risk authority.</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54-57</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GOV-MSP-027</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Protected-participant personal information must use high-privacy defaults, minimum-necessary projection, purpose limitation, and guardian-access exceptions.</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58-64</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GOV-MSP-028</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Minors, safeguarding reports, reporter identities, witness identities, restrictions, and precise protected details must be excluded from general search and discoverability.</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58-64</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GOV-MSP-029</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Minor media publication and marketing use must require appropriate rights, guardian authorization where applicable, participant assent or protected-refusal treatment, and withdrawal propagation.</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61-64</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GOV-MSP-030</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Precise location, routine movement, facility security detail, and embedded geolocation metadata must be suppressed unless minimum-necessary authority exists.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58-64</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GOV-MSP-031</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AI must not independently determine abuse, credibility, danger, grooming risk, trauma, maturity, discipline, guardian rights, or mandatory-reporting outcomes.</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65-69</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GOV-MSP-032</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Permitted AI assistance must remain source-aware, limited, reviewable, correction-capable, and subject to authorized human judgment.</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65-69</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GOV-MSP-033</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Each safeguarding matter must be a distinct governed case with separable participants, issues, allegations, restrictions, evidence, and access.</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70-75</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GOV-MSP-034</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Safeguarding evidence, holds, access, transformations, exports, custody, and disposition must preserve originals and block incompatible deletion.</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70-75</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GOV-MSP-035</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Responding persons must receive appropriate notice and review rights without receiving protected reporter, witness, unrelated participant, privileged, or unsafe information.</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76-80</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GOV-MSP-036</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 challenge or appeal must not automatically suspend a protective restriction, and unsubstantiated reports must not be relabeled false or malicious without a separate authorized determination.</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76-80</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GOV-MSP-037</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Age of majority or restored autonomy must trigger reassessment of guardian-derived permissions, account control, communications, privacy, and optional consents while preserving history.</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81-84</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GOV-MSP-038</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Vendors, processors, integrations, plugins, APIs, and automations must inherit protected-participant controls and may not create bypass channels or broader access.</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85-95</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GOV-MSP-039</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Offline access, device storage, notifications, caches, exports, and recovery must apply encryption, expiry, revocation, minimum display, and protected-content suppression.</w:t>
            </w:r>
          </w:p>
        </w:tc>
        <w:tc>
          <w:tcPr>
            <w:tcW w:type="dxa" w:w="2592"/>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85-95</w:t>
            </w:r>
          </w:p>
        </w:tc>
        <w:tc>
          <w:tcPr>
            <w:tcW w:type="dxa" w:w="3007"/>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r>
      <w:tr>
        <w:trPr/>
        <w:tc>
          <w:tcPr>
            <w:tcW w:type="dxa" w:w="217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GOV-MSP-040</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Public safeguarding, SafeSport, safety, or compliance claims must remain blocked until current external requirements, implementation evidence, validation, and separate founder claim authority exist.</w:t>
            </w:r>
          </w:p>
        </w:tc>
        <w:tc>
          <w:tcPr>
            <w:tcW w:type="dxa" w:w="2592"/>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118-121</w:t>
            </w:r>
          </w:p>
        </w:tc>
        <w:tc>
          <w:tcPr>
            <w:tcW w:type="dxa" w:w="3007"/>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r>
    </w:tbl>
    <w:bookmarkEnd w:id="23"/>
    <w:bookmarkStart w:id="24" w:name="requirement-traceability-patch"/>
    <w:p>
      <w:pPr>
        <w:pStyle w:val="Heading2"/>
      </w:pPr>
      <w:r>
        <w:t xml:space="preserve">5. Requirement Traceability Patch</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80"/>
        <w:gridCol w:w="1492"/>
        <w:gridCol w:w="1866"/>
        <w:gridCol w:w="2384"/>
        <w:gridCol w:w="2156"/>
        <w:gridCol w:w="1890"/>
      </w:tblGrid>
      <w:tr>
        <w:trPr>
          <w:tblHeader w:val="1"/>
        </w:trPr>
        <w:tc>
          <w:tcPr>
            <w:tcW w:type="dxa" w:w="580"/>
            <w:tcMar>
              <w:top w:type="dxa" w:w="60"/>
              <w:start w:type="dxa" w:w="75"/>
              <w:bottom w:type="dxa" w:w="60"/>
              <w:end w:type="dxa" w:w="75"/>
            </w:tcMar>
            <w:vAlign w:val="center"/>
            <w:shd w:fill="17365D"/>
          </w:tcPr>
          <w:p>
            <w:pPr>
              <w:pStyle w:val="Compact"/>
              <w:jc w:val="left"/>
              <w:spacing w:before="0" w:after="0" w:line="190" w:lineRule="auto"/>
            </w:pPr>
            <w:r>
              <w:rPr>
                <w:sz w:val="14"/>
                <w:szCs w:val="14"/>
                <w:color w:val="FFFFFF"/>
                <w:b w:val="1"/>
              </w:rPr>
              <w:t xml:space="preserve">Requirement ID</w:t>
            </w:r>
          </w:p>
        </w:tc>
        <w:tc>
          <w:tcPr>
            <w:tcW w:type="dxa" w:w="1492"/>
            <w:tcMar>
              <w:top w:type="dxa" w:w="60"/>
              <w:start w:type="dxa" w:w="75"/>
              <w:bottom w:type="dxa" w:w="60"/>
              <w:end w:type="dxa" w:w="75"/>
            </w:tcMar>
            <w:vAlign w:val="center"/>
            <w:shd w:fill="17365D"/>
          </w:tcPr>
          <w:p>
            <w:pPr>
              <w:pStyle w:val="Compact"/>
              <w:jc w:val="left"/>
              <w:spacing w:before="0" w:after="0" w:line="190" w:lineRule="auto"/>
            </w:pPr>
            <w:r>
              <w:rPr>
                <w:sz w:val="14"/>
                <w:szCs w:val="14"/>
                <w:color w:val="FFFFFF"/>
                <w:b w:val="1"/>
              </w:rPr>
              <w:t xml:space="preserve">Source</w:t>
            </w:r>
          </w:p>
        </w:tc>
        <w:tc>
          <w:tcPr>
            <w:tcW w:type="dxa" w:w="1866"/>
            <w:tcMar>
              <w:top w:type="dxa" w:w="60"/>
              <w:start w:type="dxa" w:w="75"/>
              <w:bottom w:type="dxa" w:w="60"/>
              <w:end w:type="dxa" w:w="75"/>
            </w:tcMar>
            <w:vAlign w:val="center"/>
            <w:shd w:fill="17365D"/>
          </w:tcPr>
          <w:p>
            <w:pPr>
              <w:pStyle w:val="Compact"/>
              <w:jc w:val="left"/>
              <w:spacing w:before="0" w:after="0" w:line="190" w:lineRule="auto"/>
            </w:pPr>
            <w:r>
              <w:rPr>
                <w:sz w:val="14"/>
                <w:szCs w:val="14"/>
                <w:color w:val="FFFFFF"/>
                <w:b w:val="1"/>
              </w:rPr>
              <w:t xml:space="preserve">Sections</w:t>
            </w:r>
          </w:p>
        </w:tc>
        <w:tc>
          <w:tcPr>
            <w:tcW w:type="dxa" w:w="2384"/>
            <w:tcMar>
              <w:top w:type="dxa" w:w="60"/>
              <w:start w:type="dxa" w:w="75"/>
              <w:bottom w:type="dxa" w:w="60"/>
              <w:end w:type="dxa" w:w="75"/>
            </w:tcMar>
            <w:vAlign w:val="center"/>
            <w:shd w:fill="17365D"/>
          </w:tcPr>
          <w:p>
            <w:pPr>
              <w:pStyle w:val="Compact"/>
              <w:jc w:val="left"/>
              <w:spacing w:before="0" w:after="0" w:line="190" w:lineRule="auto"/>
            </w:pPr>
            <w:r>
              <w:rPr>
                <w:sz w:val="14"/>
                <w:szCs w:val="14"/>
                <w:color w:val="FFFFFF"/>
                <w:b w:val="1"/>
              </w:rPr>
              <w:t xml:space="preserve">Owner</w:t>
            </w:r>
          </w:p>
        </w:tc>
        <w:tc>
          <w:tcPr>
            <w:tcW w:type="dxa" w:w="2156"/>
            <w:tcMar>
              <w:top w:type="dxa" w:w="60"/>
              <w:start w:type="dxa" w:w="75"/>
              <w:bottom w:type="dxa" w:w="60"/>
              <w:end w:type="dxa" w:w="75"/>
            </w:tcMar>
            <w:vAlign w:val="center"/>
            <w:shd w:fill="17365D"/>
          </w:tcPr>
          <w:p>
            <w:pPr>
              <w:pStyle w:val="Compact"/>
              <w:jc w:val="left"/>
              <w:spacing w:before="0" w:after="0" w:line="190" w:lineRule="auto"/>
            </w:pPr>
            <w:r>
              <w:rPr>
                <w:sz w:val="14"/>
                <w:szCs w:val="14"/>
                <w:color w:val="FFFFFF"/>
                <w:b w:val="1"/>
              </w:rPr>
              <w:t xml:space="preserve">Test Evidence</w:t>
            </w:r>
          </w:p>
        </w:tc>
        <w:tc>
          <w:tcPr>
            <w:tcW w:type="dxa" w:w="1890"/>
            <w:tcMar>
              <w:top w:type="dxa" w:w="60"/>
              <w:start w:type="dxa" w:w="75"/>
              <w:bottom w:type="dxa" w:w="60"/>
              <w:end w:type="dxa" w:w="75"/>
            </w:tcMar>
            <w:vAlign w:val="center"/>
            <w:shd w:fill="17365D"/>
          </w:tcPr>
          <w:p>
            <w:pPr>
              <w:pStyle w:val="Compact"/>
              <w:jc w:val="left"/>
              <w:spacing w:before="0" w:after="0" w:line="190" w:lineRule="auto"/>
            </w:pPr>
            <w:r>
              <w:rPr>
                <w:sz w:val="14"/>
                <w:szCs w:val="14"/>
                <w:color w:val="FFFFFF"/>
                <w:b w:val="1"/>
              </w:rPr>
              <w:t xml:space="preserve">Design / Control / Evidence / Release Status</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GOV-MSP-001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6.1; 8; 81-84</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MSP-T01; MSP-T80</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GOV-MSP-002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6.2; 9-10</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MSP-T58; MSP-T80</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GOV-MSP-003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6.3-6.4; 13-18</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MSP-T02; MSP-T03</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GOV-MSP-004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6.4; 13-18</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MSP-T04</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GOV-MSP-005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16-18; 50</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MSP-T05; MSP-T06</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GOV-MSP-006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6.5; 11-12</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MSP-T07</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GOV-MSP-007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6.6; 11-12; 61-62</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MSP-T08; MSP-T09</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GOV-MSP-008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23-32; 115-117</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MSP-T10; MSP-T61</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GOV-MSP-009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23-32; 115-117</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MSP-T11; MSP-T61</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GOV-MSP-010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18.1; 28; 31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MSP-T62; MSP-T63</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GOV-MSP-011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23-32; 88-95</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MSP-T12; MSP-T13; MSP-T64</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GOV-MSP-012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6.13; 30-37.2</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MSP-T14; MSP-T54</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GOV-MSP-013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33-37.2</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MSP-T15; MSP-T16</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GOV-MSP-014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17; 30-31; 40</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MSP-T17; MSP-T18</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GOV-MSP-015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36-37.2</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MSP-T66</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GOV-MSP-016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37-40</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MSP-T19; MSP-T69</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GOV-MSP-017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6.22; 37-40</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MSP-T20</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GOV-MSP-018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6.23; 34-42.2</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MSP-T65; MSP-T72</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GOV-MSP-019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41-42.2; 76-80</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MSP-T21; MSP-T67</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GOV-MSP-020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43-47</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MSP-T22; MSP-T23</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GOV-MSP-021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43-47</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MSP-T24; MSP-T25</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GOV-MSP-022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48-53</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MSP-T26; MSP-T27</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GOV-MSP-023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48-53</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MSP-T28; MSP-T29</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GOV-MSP-024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48-53</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MSP-T73</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GOV-MSP-025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54-57</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MSP-T30; MSP-T31</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GOV-MSP-026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54-57</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MSP-T32; MSP-T33</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GOV-MSP-027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58-64</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MSP-T34; MSP-T78</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GOV-MSP-028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58-64</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MSP-T35; MSP-T36</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GOV-MSP-029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61-64</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MSP-T37; MSP-T55</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GOV-MSP-030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58-64</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MSP-T38; MSP-T56</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GOV-MSP-031</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65-69</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MSP-T39; MSP-T76</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GOV-MSP-032</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65-69</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MSP-T40; MSP-T77</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GOV-MSP-033</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70-75</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MSP-T41; MSP-T71</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GOV-MSP-034</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70-75</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MSP-T42; MSP-T43</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GOV-MSP-035</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76-80</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MSP-T44; MSP-T69; MSP-T70</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GOV-MSP-036</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76-80</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MSP-T45; MSP-T67; MSP-T68</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GOV-MSP-037</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81-84</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MSP-T46; MSP-T47</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GOV-MSP-038</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85-95</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MSP-T48; MSP-T49</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GOV-MSP-039</w:t>
            </w:r>
          </w:p>
        </w:tc>
        <w:tc>
          <w:tcPr>
            <w:tcW w:type="dxa" w:w="1492"/>
            <w:tcMar>
              <w:top w:type="dxa" w:w="60"/>
              <w:start w:type="dxa" w:w="75"/>
              <w:bottom w:type="dxa" w:w="60"/>
              <w:end w:type="dxa" w:w="75"/>
            </w:tcMar>
            <w:vAlign w:val="top"/>
            <w:shd w:fill="FFFFFF"/>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85-95</w:t>
            </w:r>
          </w:p>
        </w:tc>
        <w:tc>
          <w:tcPr>
            <w:tcW w:type="dxa" w:w="2384"/>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MSP-T50; MSP-T79</w:t>
            </w:r>
          </w:p>
        </w:tc>
        <w:tc>
          <w:tcPr>
            <w:tcW w:type="dxa" w:w="1890"/>
            <w:tcMar>
              <w:top w:type="dxa" w:w="60"/>
              <w:start w:type="dxa" w:w="75"/>
              <w:bottom w:type="dxa" w:w="60"/>
              <w:end w:type="dxa" w:w="75"/>
            </w:tcMar>
            <w:vAlign w:val="top"/>
            <w:shd w:fill="FFFFFF"/>
          </w:tcPr>
          <w:p>
            <w:pPr>
              <w:pStyle w:val="Compact"/>
              <w:jc w:val="left"/>
              <w:spacing w:before="0" w:after="0" w:line="190" w:lineRule="auto"/>
            </w:pPr>
            <w:r>
              <w:rPr>
                <w:sz w:val="14"/>
                <w:szCs w:val="14"/>
                <w:color w:val="1F2937"/>
              </w:rPr>
              <w:t xml:space="preserve">BLOCKED / PENDING IMPLEMENTATION AND RELEASE AUTHORITY</w:t>
            </w:r>
          </w:p>
        </w:tc>
      </w:tr>
      <w:tr>
        <w:trPr/>
        <w:tc>
          <w:tcPr>
            <w:tcW w:type="dxa" w:w="58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GOV-MSP-040</w:t>
            </w:r>
          </w:p>
        </w:tc>
        <w:tc>
          <w:tcPr>
            <w:tcW w:type="dxa" w:w="1492"/>
            <w:tcMar>
              <w:top w:type="dxa" w:w="60"/>
              <w:start w:type="dxa" w:w="75"/>
              <w:bottom w:type="dxa" w:w="60"/>
              <w:end w:type="dxa" w:w="75"/>
            </w:tcMar>
            <w:vAlign w:val="top"/>
            <w:shd w:fill="EEF3F7"/>
          </w:tcPr>
          <w:p>
            <w:pPr>
              <w:pStyle w:val="Compact"/>
              <w:jc w:val="left"/>
              <w:spacing w:before="0" w:after="0" w:line="190" w:lineRule="auto"/>
            </w:pPr>
            <w:r>
              <w:rPr>
                <w:rStyle w:val="VerbatimChar"/>
                <w:sz w:val="14"/>
                <w:szCs w:val="14"/>
                <w:color w:val="1F2937"/>
              </w:rPr>
              <w:t xml:space="preserve">MASTER_MINOR_GUARDIANSHIP_SAFEGUARDING_AND_PROTECTED_PARTICIPANT_MODEL_V1_1</w:t>
            </w:r>
          </w:p>
        </w:tc>
        <w:tc>
          <w:tcPr>
            <w:tcW w:type="dxa" w:w="186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118-121</w:t>
            </w:r>
          </w:p>
        </w:tc>
        <w:tc>
          <w:tcPr>
            <w:tcW w:type="dxa" w:w="2384"/>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Master Minor, Guardianship, Safeguarding, and Protected Participant Model V1.1</w:t>
            </w:r>
          </w:p>
        </w:tc>
        <w:tc>
          <w:tcPr>
            <w:tcW w:type="dxa" w:w="2156"/>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MSP-T60</w:t>
            </w:r>
          </w:p>
        </w:tc>
        <w:tc>
          <w:tcPr>
            <w:tcW w:type="dxa" w:w="1890"/>
            <w:tcMar>
              <w:top w:type="dxa" w:w="60"/>
              <w:start w:type="dxa" w:w="75"/>
              <w:bottom w:type="dxa" w:w="60"/>
              <w:end w:type="dxa" w:w="75"/>
            </w:tcMar>
            <w:vAlign w:val="top"/>
            <w:shd w:fill="EEF3F7"/>
          </w:tcPr>
          <w:p>
            <w:pPr>
              <w:pStyle w:val="Compact"/>
              <w:jc w:val="left"/>
              <w:spacing w:before="0" w:after="0" w:line="190" w:lineRule="auto"/>
            </w:pPr>
            <w:r>
              <w:rPr>
                <w:sz w:val="14"/>
                <w:szCs w:val="14"/>
                <w:color w:val="1F2937"/>
              </w:rPr>
              <w:t xml:space="preserve">BLOCKED / PENDING IMPLEMENTATION AND RELEASE AUTHORITY</w:t>
            </w:r>
          </w:p>
        </w:tc>
      </w:tr>
    </w:tbl>
    <w:bookmarkEnd w:id="24"/>
    <w:bookmarkStart w:id="25" w:name="application-rule"/>
    <w:p>
      <w:pPr>
        <w:pStyle w:val="Heading2"/>
      </w:pPr>
      <w:r>
        <w:t xml:space="preserve">6. Application Rule</w:t>
      </w:r>
    </w:p>
    <w:p>
      <w:pPr>
        <w:pStyle w:val="FirstParagraph"/>
      </w:pPr>
      <w:r>
        <w:t xml:space="preserve">Codex or another repository-authorized process must apply these rows to the exact current companion sources after verifying paths, checksums, identifiers, duplicate IDs, and lifecycle state. Existing rows must not be overwritten without lineage analysis.</w:t>
      </w:r>
    </w:p>
    <w:bookmarkEnd w:id="25"/>
    <w:bookmarkEnd w:id="26"/>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2026-07-15T21:50:21Z</dcterms:created>
  <dcterms:modified xsi:type="dcterms:W3CDTF">2026-07-15T21:50:21Z</dcterms:modified>
</cp:coreProperties>
</file>

<file path=docProps/custom.xml><?xml version="1.0" encoding="utf-8"?>
<Properties xmlns="http://schemas.openxmlformats.org/officeDocument/2006/custom-properties" xmlns:vt="http://schemas.openxmlformats.org/officeDocument/2006/docPropsVTypes"/>
</file>