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MASTER</w:t>
      </w:r>
      <w:r>
        <w:t xml:space="preserve"> </w:t>
      </w:r>
      <w:r>
        <w:t xml:space="preserve">MINOR,</w:t>
      </w:r>
      <w:r>
        <w:t xml:space="preserve"> </w:t>
      </w:r>
      <w:r>
        <w:t xml:space="preserve">GUARDIANSHIP,</w:t>
      </w:r>
      <w:r>
        <w:t xml:space="preserve"> </w:t>
      </w:r>
      <w:r>
        <w:t xml:space="preserve">SAFEGUARDING,</w:t>
      </w:r>
      <w:r>
        <w:t xml:space="preserve"> </w:t>
      </w:r>
      <w:r>
        <w:t xml:space="preserve">AND</w:t>
      </w:r>
      <w:r>
        <w:t xml:space="preserve"> </w:t>
      </w:r>
      <w:r>
        <w:t xml:space="preserve">PROTECTED</w:t>
      </w:r>
      <w:r>
        <w:t xml:space="preserve"> </w:t>
      </w:r>
      <w:r>
        <w:t xml:space="preserve">PARTICIPANT</w:t>
      </w:r>
      <w:r>
        <w:t xml:space="preserve"> </w:t>
      </w:r>
      <w:r>
        <w:t xml:space="preserve">MODEL</w:t>
      </w:r>
      <w:r>
        <w:t xml:space="preserve"> </w:t>
      </w:r>
      <w:r>
        <w:t xml:space="preserve">V1.1</w:t>
      </w:r>
    </w:p>
    <w:p>
      <w:pPr>
        <w:pStyle w:val="Subtitle"/>
      </w:pPr>
      <w:r>
        <w:t xml:space="preserve">REVIEWED</w:t>
      </w:r>
      <w:r>
        <w:t xml:space="preserve"> </w:t>
      </w:r>
      <w:r>
        <w:t xml:space="preserve">AND</w:t>
      </w:r>
      <w:r>
        <w:t xml:space="preserve"> </w:t>
      </w:r>
      <w:r>
        <w:t xml:space="preserve">EXPANDED</w:t>
      </w:r>
      <w:r>
        <w:t xml:space="preserve"> </w:t>
      </w:r>
      <w:r>
        <w:t xml:space="preserve">CONTROLLED</w:t>
      </w:r>
      <w:r>
        <w:t xml:space="preserve"> </w:t>
      </w:r>
      <w:r>
        <w:t xml:space="preserve">CONSTITUTIONAL</w:t>
      </w:r>
      <w:r>
        <w:t xml:space="preserve"> </w:t>
      </w:r>
      <w:r>
        <w:t xml:space="preserve">DRAFT</w:t>
      </w:r>
    </w:p>
    <w:p>
      <w:pPr>
        <w:pStyle w:val="Date"/>
      </w:pPr>
      <w:r>
        <w:t xml:space="preserve">July</w:t>
      </w:r>
      <w:r>
        <w:t xml:space="preserve"> </w:t>
      </w:r>
      <w:r>
        <w:t xml:space="preserve">15,</w:t>
      </w:r>
      <w:r>
        <w:t xml:space="preserve"> </w:t>
      </w:r>
      <w:r>
        <w:t xml:space="preserve">2026</w:t>
      </w:r>
    </w:p>
    <w:p>
      <w:pPr>
        <w:pStyle w:val="FirstParagraph"/>
      </w:pPr>
      <w:r>
        <w:rPr>
          <w:b/>
          <w:bCs/>
        </w:rPr>
        <w:t xml:space="preserve">FOUNDER-DIRECTED REVIEWED CONSTITUTIONAL CANDIDATE</w:t>
      </w:r>
      <w:r>
        <w:br/>
      </w:r>
      <w:r>
        <w:rPr>
          <w:b/>
          <w:bCs/>
        </w:rPr>
        <w:t xml:space="preserve">NOT ADOPTED - NOT LOCKED - NO IMPLEMENTATION AUTHORITY</w:t>
      </w:r>
    </w:p>
    <w:p>
      <w:pPr>
        <w:pStyle w:val="BodyText"/>
      </w:pPr>
      <w:r>
        <w:rPr>
          <w:i/>
          <w:iCs/>
        </w:rPr>
        <w:t xml:space="preserve">Every Horse. Every Task. In Sync.</w:t>
      </w:r>
    </w:p>
    <w:p>
      <w:pPr>
        <w:pStyle w:val="BlockText"/>
      </w:pPr>
      <w:r>
        <w:t xml:space="preserve">EquineSync shall protect minors and protected participants without erasing their dignity, autonomy, voice, privacy, or lawful participation. Safety controls must be real, attributable, reviewable, and resistant to convenience-based exceptions.</w:t>
      </w:r>
    </w:p>
    <w:p>
      <w:r>
        <w:br w:type="page"/>
      </w:r>
    </w:p>
    <w:bookmarkStart w:id="21" w:name="document-control"/>
    <w:p>
      <w:pPr>
        <w:pStyle w:val="Heading1"/>
      </w:pPr>
      <w: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Identifier</w:t>
            </w:r>
          </w:p>
        </w:tc>
        <w:tc>
          <w:tcPr/>
          <w:p>
            <w:pPr>
              <w:pStyle w:val="Compact"/>
              <w:jc w:val="left"/>
            </w:pPr>
            <w:r>
              <w:rPr>
                <w:rStyle w:val="VerbatimChar"/>
              </w:rPr>
              <w:t xml:space="preserve">MASTER_MINOR_GUARDIANSHIP_SAFEGUARDING_AND_PROTECTED_PARTICIPANT_MODEL_V1_1</w:t>
            </w:r>
          </w:p>
        </w:tc>
      </w:tr>
      <w:tr>
        <w:tc>
          <w:tcPr/>
          <w:p>
            <w:pPr>
              <w:pStyle w:val="Compact"/>
              <w:jc w:val="left"/>
            </w:pPr>
            <w:r>
              <w:t xml:space="preserve">Document Type</w:t>
            </w:r>
          </w:p>
        </w:tc>
        <w:tc>
          <w:tcPr/>
          <w:p>
            <w:pPr>
              <w:pStyle w:val="Compact"/>
              <w:jc w:val="left"/>
            </w:pPr>
            <w:r>
              <w:t xml:space="preserve">Specialized Constitutional Domain Model</w:t>
            </w:r>
          </w:p>
        </w:tc>
      </w:tr>
      <w:tr>
        <w:tc>
          <w:tcPr/>
          <w:p>
            <w:pPr>
              <w:pStyle w:val="Compact"/>
              <w:jc w:val="left"/>
            </w:pPr>
            <w:r>
              <w:t xml:space="preserve">Version</w:t>
            </w:r>
          </w:p>
        </w:tc>
        <w:tc>
          <w:tcPr/>
          <w:p>
            <w:pPr>
              <w:pStyle w:val="Compact"/>
              <w:jc w:val="left"/>
            </w:pPr>
            <w:r>
              <w:t xml:space="preserve">1.1 Reviewed Draft</w:t>
            </w:r>
          </w:p>
        </w:tc>
      </w:tr>
      <w:tr>
        <w:tc>
          <w:tcPr/>
          <w:p>
            <w:pPr>
              <w:pStyle w:val="Compact"/>
              <w:jc w:val="left"/>
            </w:pPr>
            <w:r>
              <w:t xml:space="preserve">Draft Date</w:t>
            </w:r>
          </w:p>
        </w:tc>
        <w:tc>
          <w:tcPr/>
          <w:p>
            <w:pPr>
              <w:pStyle w:val="Compact"/>
              <w:jc w:val="left"/>
            </w:pPr>
            <w:r>
              <w:t xml:space="preserve">July 15, 2026</w:t>
            </w:r>
          </w:p>
        </w:tc>
      </w:tr>
      <w:tr>
        <w:tc>
          <w:tcPr/>
          <w:p>
            <w:pPr>
              <w:pStyle w:val="Compact"/>
              <w:jc w:val="left"/>
            </w:pPr>
            <w:r>
              <w:t xml:space="preserve">Lifecycle State</w:t>
            </w:r>
          </w:p>
        </w:tc>
        <w:tc>
          <w:tcPr/>
          <w:p>
            <w:pPr>
              <w:pStyle w:val="Compact"/>
              <w:jc w:val="left"/>
            </w:pPr>
            <w:r>
              <w:rPr>
                <w:rStyle w:val="VerbatimChar"/>
              </w:rPr>
              <w:t xml:space="preserve">REVIEWED_DRAFT_FOR_FOUNDER_REVIEW</w:t>
            </w:r>
          </w:p>
        </w:tc>
      </w:tr>
      <w:tr>
        <w:tc>
          <w:tcPr/>
          <w:p>
            <w:pPr>
              <w:pStyle w:val="Compact"/>
              <w:jc w:val="left"/>
            </w:pPr>
            <w:r>
              <w:t xml:space="preserve">Founder Drafting Authority</w:t>
            </w:r>
          </w:p>
        </w:tc>
        <w:tc>
          <w:tcPr/>
          <w:p>
            <w:pPr>
              <w:pStyle w:val="Compact"/>
              <w:jc w:val="left"/>
            </w:pPr>
            <w:r>
              <w:t xml:space="preserve">Controlled Completion Authorization; FD-MSP01 through FD-MSP15</w:t>
            </w:r>
          </w:p>
        </w:tc>
      </w:tr>
      <w:tr>
        <w:tc>
          <w:tcPr/>
          <w:p>
            <w:pPr>
              <w:pStyle w:val="Compact"/>
              <w:jc w:val="left"/>
            </w:pPr>
            <w:r>
              <w:t xml:space="preserve">Founder Decision Status</w:t>
            </w:r>
          </w:p>
        </w:tc>
        <w:tc>
          <w:tcPr/>
          <w:p>
            <w:pPr>
              <w:pStyle w:val="Compact"/>
              <w:jc w:val="left"/>
            </w:pPr>
            <w:r>
              <w:t xml:space="preserve">FD-MSP01-FD-MSP05 and FD-MSP07-FD-MSP15 approved as recommended; FD-MSP06 approved with modification</w:t>
            </w:r>
          </w:p>
        </w:tc>
      </w:tr>
      <w:tr>
        <w:tc>
          <w:tcPr/>
          <w:p>
            <w:pPr>
              <w:pStyle w:val="Compact"/>
              <w:jc w:val="left"/>
            </w:pPr>
            <w:r>
              <w:t xml:space="preserve">Constitutional Authority</w:t>
            </w:r>
          </w:p>
        </w:tc>
        <w:tc>
          <w:tcPr/>
          <w:p>
            <w:pPr>
              <w:pStyle w:val="Compact"/>
              <w:jc w:val="left"/>
            </w:pPr>
            <w:r>
              <w:t xml:space="preserve">None; controlled constitutional candidate only</w:t>
            </w:r>
          </w:p>
        </w:tc>
      </w:tr>
      <w:tr>
        <w:tc>
          <w:tcPr/>
          <w:p>
            <w:pPr>
              <w:pStyle w:val="Compact"/>
              <w:jc w:val="left"/>
            </w:pPr>
            <w:r>
              <w:t xml:space="preserve">Adoption Authorized</w:t>
            </w:r>
          </w:p>
        </w:tc>
        <w:tc>
          <w:tcPr/>
          <w:p>
            <w:pPr>
              <w:pStyle w:val="Compact"/>
              <w:jc w:val="left"/>
            </w:pPr>
            <w:r>
              <w:t xml:space="preserve">No</w:t>
            </w:r>
          </w:p>
        </w:tc>
      </w:tr>
      <w:tr>
        <w:tc>
          <w:tcPr/>
          <w:p>
            <w:pPr>
              <w:pStyle w:val="Compact"/>
              <w:jc w:val="left"/>
            </w:pPr>
            <w:r>
              <w:t xml:space="preserve">Repository Lock Authorized</w:t>
            </w:r>
          </w:p>
        </w:tc>
        <w:tc>
          <w:tcPr/>
          <w:p>
            <w:pPr>
              <w:pStyle w:val="Compact"/>
              <w:jc w:val="left"/>
            </w:pPr>
            <w:r>
              <w:t xml:space="preserve">No</w:t>
            </w:r>
          </w:p>
        </w:tc>
      </w:tr>
      <w:tr>
        <w:tc>
          <w:tcPr/>
          <w:p>
            <w:pPr>
              <w:pStyle w:val="Compact"/>
              <w:jc w:val="left"/>
            </w:pPr>
            <w:r>
              <w:t xml:space="preserve">Implementation Planning Authorized</w:t>
            </w:r>
          </w:p>
        </w:tc>
        <w:tc>
          <w:tcPr/>
          <w:p>
            <w:pPr>
              <w:pStyle w:val="Compact"/>
              <w:jc w:val="left"/>
            </w:pPr>
            <w:r>
              <w:t xml:space="preserve">Only to identify governance requirements, traceability fields, tests, and evidence needs</w:t>
            </w:r>
          </w:p>
        </w:tc>
      </w:tr>
      <w:tr>
        <w:tc>
          <w:tcPr/>
          <w:p>
            <w:pPr>
              <w:pStyle w:val="Compact"/>
              <w:jc w:val="left"/>
            </w:pPr>
            <w:r>
              <w:t xml:space="preserve">Application or Infrastructure Implementation Authorized</w:t>
            </w:r>
          </w:p>
        </w:tc>
        <w:tc>
          <w:tcPr/>
          <w:p>
            <w:pPr>
              <w:pStyle w:val="Compact"/>
              <w:jc w:val="left"/>
            </w:pPr>
            <w:r>
              <w:t xml:space="preserve">No</w:t>
            </w:r>
          </w:p>
        </w:tc>
      </w:tr>
      <w:tr>
        <w:tc>
          <w:tcPr/>
          <w:p>
            <w:pPr>
              <w:pStyle w:val="Compact"/>
              <w:jc w:val="left"/>
            </w:pPr>
            <w:r>
              <w:t xml:space="preserve">Schema Creation or Mutation Authorized</w:t>
            </w:r>
          </w:p>
        </w:tc>
        <w:tc>
          <w:tcPr/>
          <w:p>
            <w:pPr>
              <w:pStyle w:val="Compact"/>
              <w:jc w:val="left"/>
            </w:pPr>
            <w:r>
              <w:t xml:space="preserve">No</w:t>
            </w:r>
          </w:p>
        </w:tc>
      </w:tr>
      <w:tr>
        <w:tc>
          <w:tcPr/>
          <w:p>
            <w:pPr>
              <w:pStyle w:val="Compact"/>
              <w:jc w:val="left"/>
            </w:pPr>
            <w:r>
              <w:t xml:space="preserve">Data Migration Authorized</w:t>
            </w:r>
          </w:p>
        </w:tc>
        <w:tc>
          <w:tcPr/>
          <w:p>
            <w:pPr>
              <w:pStyle w:val="Compact"/>
              <w:jc w:val="left"/>
            </w:pPr>
            <w:r>
              <w:t xml:space="preserve">No</w:t>
            </w:r>
          </w:p>
        </w:tc>
      </w:tr>
      <w:tr>
        <w:tc>
          <w:tcPr/>
          <w:p>
            <w:pPr>
              <w:pStyle w:val="Compact"/>
              <w:jc w:val="left"/>
            </w:pPr>
            <w:r>
              <w:t xml:space="preserve">Permission Expansion Authorized</w:t>
            </w:r>
          </w:p>
        </w:tc>
        <w:tc>
          <w:tcPr/>
          <w:p>
            <w:pPr>
              <w:pStyle w:val="Compact"/>
              <w:jc w:val="left"/>
            </w:pPr>
            <w:r>
              <w:t xml:space="preserve">No</w:t>
            </w:r>
          </w:p>
        </w:tc>
      </w:tr>
      <w:tr>
        <w:tc>
          <w:tcPr/>
          <w:p>
            <w:pPr>
              <w:pStyle w:val="Compact"/>
              <w:jc w:val="left"/>
            </w:pPr>
            <w:r>
              <w:t xml:space="preserve">Vendor, Provider, Integration, or Plugin Activation Authorized</w:t>
            </w:r>
          </w:p>
        </w:tc>
        <w:tc>
          <w:tcPr/>
          <w:p>
            <w:pPr>
              <w:pStyle w:val="Compact"/>
              <w:jc w:val="left"/>
            </w:pPr>
            <w:r>
              <w:t xml:space="preserve">No</w:t>
            </w:r>
          </w:p>
        </w:tc>
      </w:tr>
      <w:tr>
        <w:tc>
          <w:tcPr/>
          <w:p>
            <w:pPr>
              <w:pStyle w:val="Compact"/>
              <w:jc w:val="left"/>
            </w:pPr>
            <w:r>
              <w:t xml:space="preserve">Runtime Activation Authorized</w:t>
            </w:r>
          </w:p>
        </w:tc>
        <w:tc>
          <w:tcPr/>
          <w:p>
            <w:pPr>
              <w:pStyle w:val="Compact"/>
              <w:jc w:val="left"/>
            </w:pPr>
            <w:r>
              <w:t xml:space="preserve">No</w:t>
            </w:r>
          </w:p>
        </w:tc>
      </w:tr>
      <w:tr>
        <w:tc>
          <w:tcPr/>
          <w:p>
            <w:pPr>
              <w:pStyle w:val="Compact"/>
              <w:jc w:val="left"/>
            </w:pPr>
            <w:r>
              <w:t xml:space="preserve">Production Access or Mutation Authorized</w:t>
            </w:r>
          </w:p>
        </w:tc>
        <w:tc>
          <w:tcPr/>
          <w:p>
            <w:pPr>
              <w:pStyle w:val="Compact"/>
              <w:jc w:val="left"/>
            </w:pPr>
            <w:r>
              <w:t xml:space="preserve">No</w:t>
            </w:r>
          </w:p>
        </w:tc>
      </w:tr>
      <w:tr>
        <w:tc>
          <w:tcPr/>
          <w:p>
            <w:pPr>
              <w:pStyle w:val="Compact"/>
              <w:jc w:val="left"/>
            </w:pPr>
            <w:r>
              <w:t xml:space="preserve">Public Trust or Compliance Claims Authorized</w:t>
            </w:r>
          </w:p>
        </w:tc>
        <w:tc>
          <w:tcPr/>
          <w:p>
            <w:pPr>
              <w:pStyle w:val="Compact"/>
              <w:jc w:val="left"/>
            </w:pPr>
            <w:r>
              <w:t xml:space="preserve">No</w:t>
            </w:r>
          </w:p>
        </w:tc>
      </w:tr>
      <w:tr>
        <w:tc>
          <w:tcPr/>
          <w:p>
            <w:pPr>
              <w:pStyle w:val="Compact"/>
              <w:jc w:val="left"/>
            </w:pPr>
            <w:r>
              <w:t xml:space="preserve">Production Promotion Authorized</w:t>
            </w:r>
          </w:p>
        </w:tc>
        <w:tc>
          <w:tcPr/>
          <w:p>
            <w:pPr>
              <w:pStyle w:val="Compact"/>
              <w:jc w:val="left"/>
            </w:pPr>
            <w:r>
              <w:t xml:space="preserve">No</w:t>
            </w:r>
          </w:p>
        </w:tc>
      </w:tr>
      <w:tr>
        <w:tc>
          <w:tcPr/>
          <w:p>
            <w:pPr>
              <w:pStyle w:val="Compact"/>
              <w:jc w:val="left"/>
            </w:pPr>
            <w:r>
              <w:t xml:space="preserve">Public Launch Authorized</w:t>
            </w:r>
          </w:p>
        </w:tc>
        <w:tc>
          <w:tcPr/>
          <w:p>
            <w:pPr>
              <w:pStyle w:val="Compact"/>
              <w:jc w:val="left"/>
            </w:pPr>
            <w:r>
              <w:t xml:space="preserve">No</w:t>
            </w:r>
          </w:p>
        </w:tc>
      </w:tr>
      <w:tr>
        <w:tc>
          <w:tcPr/>
          <w:p>
            <w:pPr>
              <w:pStyle w:val="Compact"/>
              <w:jc w:val="left"/>
            </w:pPr>
            <w:r>
              <w:t xml:space="preserve">Primary Constitutional Steward</w:t>
            </w:r>
          </w:p>
        </w:tc>
        <w:tc>
          <w:tcPr/>
          <w:p>
            <w:pPr>
              <w:pStyle w:val="Compact"/>
              <w:jc w:val="left"/>
            </w:pPr>
            <w:r>
              <w:t xml:space="preserve">Founder until formally delegated</w:t>
            </w:r>
          </w:p>
        </w:tc>
      </w:tr>
      <w:tr>
        <w:tc>
          <w:tcPr/>
          <w:p>
            <w:pPr>
              <w:pStyle w:val="Compact"/>
              <w:jc w:val="left"/>
            </w:pPr>
            <w:r>
              <w:t xml:space="preserve">Supersession</w:t>
            </w:r>
          </w:p>
        </w:tc>
        <w:tc>
          <w:tcPr/>
          <w:p>
            <w:pPr>
              <w:pStyle w:val="Compact"/>
              <w:jc w:val="left"/>
            </w:pPr>
            <w:r>
              <w:t xml:space="preserve">Substantively succeeds the V1.0 first draft for controlled review; no adopted or locked canon is superseded</w:t>
            </w:r>
          </w:p>
        </w:tc>
      </w:tr>
    </w:tbl>
    <w:bookmarkStart w:id="20" w:name="founder-directed-drafting-notice"/>
    <w:p>
      <w:pPr>
        <w:pStyle w:val="Heading2"/>
      </w:pPr>
      <w:r>
        <w:t xml:space="preserve">Founder-Directed Drafting Notice</w:t>
      </w:r>
    </w:p>
    <w:p>
      <w:pPr>
        <w:pStyle w:val="FirstParagraph"/>
      </w:pPr>
      <w:r>
        <w:t xml:space="preserve">This reviewed draft implements the founder-approved policy decisions FD-MSP01 through FD-MSP15 and incorporates the controlled substantive review of the V1.0 first draft. It establishes a proposed primary constitutional owner for minors, guardianship, safeguarding, and protected-participant governance. It does not alter the authority of any adopted or locked canon and does not create implementation, runtime, production, or public-claim authority.</w:t>
      </w:r>
    </w:p>
    <w:p>
      <w:pPr>
        <w:pStyle w:val="BodyText"/>
      </w:pPr>
      <w:r>
        <w:t xml:space="preserve">The founder-directed electronic-communication rule is controlling for this draft: EquineSync must not permit one-to-one electronic communication between a minor and a trainer, coach, instructor, staff member, volunteer, provider, or other adult third party. At least one currently verified parent or guardian must be included throughout every ordinary electronic communication thread involving an adult third party and a minor. The rule applies regardless of whether the adult or the minor initiates the communication. A separate protected safeguarding-reporting path is governed independently and may restrict guardian involvement when inclusion would create danger, retaliation, investigative compromise, or another documented safeguarding risk.</w:t>
      </w:r>
    </w:p>
    <w:p>
      <w:pPr>
        <w:pStyle w:val="BodyText"/>
      </w:pPr>
      <w:r>
        <w:t xml:space="preserve">This Model adopts that guardian-inclusion requirement as an EquineSync constitutional floor. The existence of this Model, a product control, or a passed test does not by itself establish compliance with the U.S. Center for SafeSport, a national governing body, a state athletic association, applicable law, or another external standard. Any such claim requires separate current-law and governing-body verification, implementation evidence, and founder-authorized claim review.</w:t>
      </w:r>
    </w:p>
    <w:bookmarkEnd w:id="20"/>
    <w:bookmarkEnd w:id="21"/>
    <w:bookmarkStart w:id="23" w:name="contents"/>
    <w:p>
      <w:pPr>
        <w:pStyle w:val="Heading1"/>
      </w:pPr>
      <w:r>
        <w:t xml:space="preserve">Contents</w:t>
      </w:r>
    </w:p>
    <w:p>
      <w:pPr>
        <w:pStyle w:val="Compact"/>
        <w:numPr>
          <w:ilvl w:val="0"/>
          <w:numId w:val="1001"/>
        </w:numPr>
      </w:pPr>
      <w:r>
        <w:t xml:space="preserve">Part I - Purpose, Ownership, and Constitutional Boundaries</w:t>
      </w:r>
    </w:p>
    <w:p>
      <w:pPr>
        <w:pStyle w:val="Compact"/>
        <w:numPr>
          <w:ilvl w:val="0"/>
          <w:numId w:val="1001"/>
        </w:numPr>
      </w:pPr>
      <w:r>
        <w:t xml:space="preserve">Part II - Definitions and Foundational Principles</w:t>
      </w:r>
    </w:p>
    <w:p>
      <w:pPr>
        <w:pStyle w:val="Compact"/>
        <w:numPr>
          <w:ilvl w:val="0"/>
          <w:numId w:val="1001"/>
        </w:numPr>
      </w:pPr>
      <w:r>
        <w:t xml:space="preserve">Part III - Protected-Participant Status, Age, and Autonomy</w:t>
      </w:r>
    </w:p>
    <w:p>
      <w:pPr>
        <w:pStyle w:val="Compact"/>
        <w:numPr>
          <w:ilvl w:val="0"/>
          <w:numId w:val="1001"/>
        </w:numPr>
      </w:pPr>
      <w:r>
        <w:t xml:space="preserve">Part IV - Guardian Identity, Authority, and Conflict</w:t>
      </w:r>
    </w:p>
    <w:p>
      <w:pPr>
        <w:pStyle w:val="Compact"/>
        <w:numPr>
          <w:ilvl w:val="0"/>
          <w:numId w:val="1001"/>
        </w:numPr>
      </w:pPr>
      <w:r>
        <w:t xml:space="preserve">Part V - Accounts, Identity, and Access</w:t>
      </w:r>
    </w:p>
    <w:p>
      <w:pPr>
        <w:pStyle w:val="Compact"/>
        <w:numPr>
          <w:ilvl w:val="0"/>
          <w:numId w:val="1001"/>
        </w:numPr>
      </w:pPr>
      <w:r>
        <w:t xml:space="preserve">Part VI - Electronic Communications and Safe Communication Design</w:t>
      </w:r>
    </w:p>
    <w:p>
      <w:pPr>
        <w:pStyle w:val="Compact"/>
        <w:numPr>
          <w:ilvl w:val="0"/>
          <w:numId w:val="1001"/>
        </w:numPr>
      </w:pPr>
      <w:r>
        <w:t xml:space="preserve">Part VII - Safeguarding Intake, Triage, External Reporting, and Protective Action</w:t>
      </w:r>
    </w:p>
    <w:p>
      <w:pPr>
        <w:pStyle w:val="Compact"/>
        <w:numPr>
          <w:ilvl w:val="0"/>
          <w:numId w:val="1001"/>
        </w:numPr>
      </w:pPr>
      <w:r>
        <w:t xml:space="preserve">Part VIII - Adult Eligibility and Protected Roles</w:t>
      </w:r>
    </w:p>
    <w:p>
      <w:pPr>
        <w:pStyle w:val="Compact"/>
        <w:numPr>
          <w:ilvl w:val="0"/>
          <w:numId w:val="1001"/>
        </w:numPr>
      </w:pPr>
      <w:r>
        <w:t xml:space="preserve">Part IX - In-Person Participation, Release, and Transportation</w:t>
      </w:r>
    </w:p>
    <w:p>
      <w:pPr>
        <w:pStyle w:val="Compact"/>
        <w:numPr>
          <w:ilvl w:val="0"/>
          <w:numId w:val="1001"/>
        </w:numPr>
      </w:pPr>
      <w:r>
        <w:t xml:space="preserve">Part X - Delegated Horse Care and Operational Participation</w:t>
      </w:r>
    </w:p>
    <w:p>
      <w:pPr>
        <w:pStyle w:val="Compact"/>
        <w:numPr>
          <w:ilvl w:val="0"/>
          <w:numId w:val="1001"/>
        </w:numPr>
      </w:pPr>
      <w:r>
        <w:t xml:space="preserve">Part XI - Privacy, Media, Search, and Public Exposure</w:t>
      </w:r>
    </w:p>
    <w:p>
      <w:pPr>
        <w:pStyle w:val="Compact"/>
        <w:numPr>
          <w:ilvl w:val="0"/>
          <w:numId w:val="1001"/>
        </w:numPr>
      </w:pPr>
      <w:r>
        <w:t xml:space="preserve">Part XII - AI, Automation, Reporting, and Analytics</w:t>
      </w:r>
    </w:p>
    <w:p>
      <w:pPr>
        <w:pStyle w:val="Compact"/>
        <w:numPr>
          <w:ilvl w:val="0"/>
          <w:numId w:val="1001"/>
        </w:numPr>
      </w:pPr>
      <w:r>
        <w:t xml:space="preserve">Part XIII - Records, Evidence, Holds, and Confidentiality</w:t>
      </w:r>
    </w:p>
    <w:p>
      <w:pPr>
        <w:pStyle w:val="Compact"/>
        <w:numPr>
          <w:ilvl w:val="0"/>
          <w:numId w:val="1001"/>
        </w:numPr>
      </w:pPr>
      <w:r>
        <w:t xml:space="preserve">Part XIV - Challenge, Appeal, Fairness, and Non-Retaliation</w:t>
      </w:r>
    </w:p>
    <w:p>
      <w:pPr>
        <w:pStyle w:val="Compact"/>
        <w:numPr>
          <w:ilvl w:val="0"/>
          <w:numId w:val="1001"/>
        </w:numPr>
      </w:pPr>
      <w:r>
        <w:t xml:space="preserve">Part XV - Transition to Adulthood and Restored Autonomy</w:t>
      </w:r>
    </w:p>
    <w:p>
      <w:pPr>
        <w:pStyle w:val="Compact"/>
        <w:numPr>
          <w:ilvl w:val="0"/>
          <w:numId w:val="1001"/>
        </w:numPr>
      </w:pPr>
      <w:r>
        <w:t xml:space="preserve">Part XVI - External Systems, Offline Use, and Platform Controls</w:t>
      </w:r>
    </w:p>
    <w:p>
      <w:pPr>
        <w:pStyle w:val="Compact"/>
        <w:numPr>
          <w:ilvl w:val="0"/>
          <w:numId w:val="1001"/>
        </w:numPr>
      </w:pPr>
      <w:r>
        <w:t xml:space="preserve">Part XVII - Roles and Responsibilities</w:t>
      </w:r>
    </w:p>
    <w:p>
      <w:pPr>
        <w:pStyle w:val="Compact"/>
        <w:numPr>
          <w:ilvl w:val="0"/>
          <w:numId w:val="1001"/>
        </w:numPr>
      </w:pPr>
      <w:r>
        <w:t xml:space="preserve">Part XVIII - Required Registers, Standards, and Implementation Artifacts</w:t>
      </w:r>
    </w:p>
    <w:p>
      <w:pPr>
        <w:pStyle w:val="Compact"/>
        <w:numPr>
          <w:ilvl w:val="0"/>
          <w:numId w:val="1001"/>
        </w:numPr>
      </w:pPr>
      <w:r>
        <w:t xml:space="preserve">Part XIX - Implementation Gates</w:t>
      </w:r>
    </w:p>
    <w:p>
      <w:pPr>
        <w:pStyle w:val="Compact"/>
        <w:numPr>
          <w:ilvl w:val="0"/>
          <w:numId w:val="1001"/>
        </w:numPr>
      </w:pPr>
      <w:r>
        <w:t xml:space="preserve">Part XX - Mandatory Constitutional Test Scenarios</w:t>
      </w:r>
    </w:p>
    <w:p>
      <w:pPr>
        <w:pStyle w:val="Compact"/>
        <w:numPr>
          <w:ilvl w:val="0"/>
          <w:numId w:val="1001"/>
        </w:numPr>
      </w:pPr>
      <w:r>
        <w:t xml:space="preserve">Part XXI - Metrics, Monitoring, and Assurance</w:t>
      </w:r>
    </w:p>
    <w:p>
      <w:pPr>
        <w:pStyle w:val="Compact"/>
        <w:numPr>
          <w:ilvl w:val="0"/>
          <w:numId w:val="1001"/>
        </w:numPr>
      </w:pPr>
      <w:r>
        <w:t xml:space="preserve">Part XXII - Prohibited Conduct and Non-Waivable Rules</w:t>
      </w:r>
    </w:p>
    <w:p>
      <w:pPr>
        <w:pStyle w:val="Compact"/>
        <w:numPr>
          <w:ilvl w:val="0"/>
          <w:numId w:val="1001"/>
        </w:numPr>
      </w:pPr>
      <w:r>
        <w:t xml:space="preserve">Part XXIII - Exceptions and Founder-Reserved Authority</w:t>
      </w:r>
    </w:p>
    <w:p>
      <w:pPr>
        <w:pStyle w:val="Compact"/>
        <w:numPr>
          <w:ilvl w:val="0"/>
          <w:numId w:val="1001"/>
        </w:numPr>
      </w:pPr>
      <w:r>
        <w:t xml:space="preserve">Part XXIV - Lifecycle and Authorization Boundary</w:t>
      </w:r>
    </w:p>
    <w:p>
      <w:pPr>
        <w:pStyle w:val="Compact"/>
        <w:numPr>
          <w:ilvl w:val="0"/>
          <w:numId w:val="1001"/>
        </w:numPr>
      </w:pPr>
      <w:r>
        <w:t xml:space="preserve">Appendix A - Founder Decision Traceability</w:t>
      </w:r>
    </w:p>
    <w:p>
      <w:pPr>
        <w:pStyle w:val="Compact"/>
        <w:numPr>
          <w:ilvl w:val="0"/>
          <w:numId w:val="1001"/>
        </w:numPr>
      </w:pPr>
      <w:r>
        <w:t xml:space="preserve">Appendix B - Required Cross-Canon Reading Set</w:t>
      </w:r>
    </w:p>
    <w:p>
      <w:pPr>
        <w:pStyle w:val="Compact"/>
        <w:numPr>
          <w:ilvl w:val="0"/>
          <w:numId w:val="1001"/>
        </w:numPr>
      </w:pPr>
      <w:r>
        <w:t xml:space="preserve">Appendix C - Known Pre-Implementation Handoffs</w:t>
      </w:r>
    </w:p>
    <w:p>
      <w:pPr>
        <w:pStyle w:val="Compact"/>
        <w:numPr>
          <w:ilvl w:val="0"/>
          <w:numId w:val="1001"/>
        </w:numPr>
      </w:pPr>
      <w:r>
        <w:t xml:space="preserve">Appendix D - Draft Review Questions</w:t>
      </w:r>
    </w:p>
    <w:bookmarkStart w:id="22" w:name="executive-constitutional-rule"/>
    <w:p>
      <w:pPr>
        <w:pStyle w:val="Heading2"/>
      </w:pPr>
      <w:r>
        <w:t xml:space="preserve">Executive Constitutional Rule</w:t>
      </w:r>
    </w:p>
    <w:p>
      <w:pPr>
        <w:pStyle w:val="FirstParagraph"/>
      </w:pPr>
      <w:r>
        <w:t xml:space="preserve">EquineSync shall maintain a distinct, evidence-based, and scope-limited governance model for minor status, guardian authority, protected-participant status, assent, safeguarding intake, communication safety, adult eligibility, protective restrictions, confidential reporting, emergency escalation, participation, transport, media, search, AI, records, review, and transition to adulthood or restored autonomy.</w:t>
      </w:r>
    </w:p>
    <w:p>
      <w:pPr>
        <w:pStyle w:val="BodyText"/>
      </w:pPr>
      <w:r>
        <w:t xml:space="preserve">No account role, payment relationship, household relationship, facility association, coaching relationship, administrative privilege, technical capability, or data possession may substitute for verified guardian authority or create unrestricted access to a minor or protected participant.</w:t>
      </w:r>
    </w:p>
    <w:p>
      <w:pPr>
        <w:pStyle w:val="BodyText"/>
      </w:pPr>
      <w:r>
        <w:t xml:space="preserve">No safeguarding status, allegation, report, protective restriction, or eligibility decision shall be treated as proof of guilt, legal liability, medical incapacity, or factual truth merely because the platform records it.</w:t>
      </w:r>
    </w:p>
    <w:bookmarkEnd w:id="22"/>
    <w:bookmarkEnd w:id="23"/>
    <w:bookmarkStart w:id="29" w:name="Xe80b113b3345cda07a2ea12724b4111e1d0c6e2"/>
    <w:p>
      <w:pPr>
        <w:pStyle w:val="Heading1"/>
      </w:pPr>
      <w:r>
        <w:t xml:space="preserve">Part I - Purpose, Ownership, and Constitutional Boundaries</w:t>
      </w:r>
    </w:p>
    <w:bookmarkStart w:id="24" w:name="purpose"/>
    <w:p>
      <w:pPr>
        <w:pStyle w:val="Heading2"/>
      </w:pPr>
      <w:r>
        <w:t xml:space="preserve">1. Purpose</w:t>
      </w:r>
    </w:p>
    <w:p>
      <w:pPr>
        <w:pStyle w:val="FirstParagraph"/>
      </w:pPr>
      <w:r>
        <w:t xml:space="preserve">This Model establishes the constitutional rules governing:</w:t>
      </w:r>
    </w:p>
    <w:p>
      <w:pPr>
        <w:pStyle w:val="Compact"/>
        <w:numPr>
          <w:ilvl w:val="0"/>
          <w:numId w:val="1002"/>
        </w:numPr>
      </w:pPr>
      <w:r>
        <w:t xml:space="preserve">minor and protected-participant identity and participation;</w:t>
      </w:r>
    </w:p>
    <w:p>
      <w:pPr>
        <w:pStyle w:val="Compact"/>
        <w:numPr>
          <w:ilvl w:val="0"/>
          <w:numId w:val="1002"/>
        </w:numPr>
      </w:pPr>
      <w:r>
        <w:t xml:space="preserve">guardian identity, authority, scope, evidence, conflict, and lifecycle;</w:t>
      </w:r>
    </w:p>
    <w:p>
      <w:pPr>
        <w:pStyle w:val="Compact"/>
        <w:numPr>
          <w:ilvl w:val="0"/>
          <w:numId w:val="1002"/>
        </w:numPr>
      </w:pPr>
      <w:r>
        <w:t xml:space="preserve">assent, refusal, optional participation, and age-appropriate autonomy;</w:t>
      </w:r>
    </w:p>
    <w:p>
      <w:pPr>
        <w:pStyle w:val="Compact"/>
        <w:numPr>
          <w:ilvl w:val="0"/>
          <w:numId w:val="1002"/>
        </w:numPr>
      </w:pPr>
      <w:r>
        <w:t xml:space="preserve">adult eligibility to interact with protected participants;</w:t>
      </w:r>
    </w:p>
    <w:p>
      <w:pPr>
        <w:pStyle w:val="Compact"/>
        <w:numPr>
          <w:ilvl w:val="0"/>
          <w:numId w:val="1002"/>
        </w:numPr>
      </w:pPr>
      <w:r>
        <w:t xml:space="preserve">electronic and in-person communication safety;</w:t>
      </w:r>
    </w:p>
    <w:p>
      <w:pPr>
        <w:pStyle w:val="Compact"/>
        <w:numPr>
          <w:ilvl w:val="0"/>
          <w:numId w:val="1002"/>
        </w:numPr>
      </w:pPr>
      <w:r>
        <w:t xml:space="preserve">safeguarding concern intake, triage, preservation, escalation, and review;</w:t>
      </w:r>
    </w:p>
    <w:p>
      <w:pPr>
        <w:pStyle w:val="Compact"/>
        <w:numPr>
          <w:ilvl w:val="0"/>
          <w:numId w:val="1002"/>
        </w:numPr>
      </w:pPr>
      <w:r>
        <w:t xml:space="preserve">emergency protective restrictions;</w:t>
      </w:r>
    </w:p>
    <w:p>
      <w:pPr>
        <w:pStyle w:val="Compact"/>
        <w:numPr>
          <w:ilvl w:val="0"/>
          <w:numId w:val="1002"/>
        </w:numPr>
      </w:pPr>
      <w:r>
        <w:t xml:space="preserve">transportation, pickup, release, and off-site participation;</w:t>
      </w:r>
    </w:p>
    <w:p>
      <w:pPr>
        <w:pStyle w:val="Compact"/>
        <w:numPr>
          <w:ilvl w:val="0"/>
          <w:numId w:val="1002"/>
        </w:numPr>
      </w:pPr>
      <w:r>
        <w:t xml:space="preserve">minor participation in delegated horse-care tasks;</w:t>
      </w:r>
    </w:p>
    <w:p>
      <w:pPr>
        <w:pStyle w:val="Compact"/>
        <w:numPr>
          <w:ilvl w:val="0"/>
          <w:numId w:val="1002"/>
        </w:numPr>
      </w:pPr>
      <w:r>
        <w:t xml:space="preserve">privacy, confidentiality, media, search, discovery, AI, reporting, and analytics boundaries;</w:t>
      </w:r>
    </w:p>
    <w:p>
      <w:pPr>
        <w:pStyle w:val="Compact"/>
        <w:numPr>
          <w:ilvl w:val="0"/>
          <w:numId w:val="1002"/>
        </w:numPr>
      </w:pPr>
      <w:r>
        <w:t xml:space="preserve">non-retaliation, challenge, appeal, and correction;</w:t>
      </w:r>
    </w:p>
    <w:p>
      <w:pPr>
        <w:pStyle w:val="Compact"/>
        <w:numPr>
          <w:ilvl w:val="0"/>
          <w:numId w:val="1002"/>
        </w:numPr>
      </w:pPr>
      <w:r>
        <w:t xml:space="preserve">transition to adulthood or restored decision-making autonomy;</w:t>
      </w:r>
    </w:p>
    <w:p>
      <w:pPr>
        <w:pStyle w:val="Compact"/>
        <w:numPr>
          <w:ilvl w:val="0"/>
          <w:numId w:val="1002"/>
        </w:numPr>
      </w:pPr>
      <w:r>
        <w:t xml:space="preserve">cross-canon ownership and implementation requirements.</w:t>
      </w:r>
    </w:p>
    <w:p>
      <w:pPr>
        <w:pStyle w:val="FirstParagraph"/>
      </w:pPr>
      <w:r>
        <w:t xml:space="preserve">The Model is designed to prevent safety protections from being defeated through informal messaging, shared credentials, administrative convenience, public discoverability, guardian ambiguity, provider features, plugins, AI outputs, or undocumented operational practice.</w:t>
      </w:r>
    </w:p>
    <w:bookmarkEnd w:id="24"/>
    <w:bookmarkStart w:id="25" w:name="primary-constitutional-ownership"/>
    <w:p>
      <w:pPr>
        <w:pStyle w:val="Heading2"/>
      </w:pPr>
      <w:r>
        <w:t xml:space="preserve">2. Primary Constitutional Ownership</w:t>
      </w:r>
    </w:p>
    <w:p>
      <w:pPr>
        <w:pStyle w:val="FirstParagraph"/>
      </w:pPr>
      <w:r>
        <w:t xml:space="preserve">This Model is the proposed primary constitutional owner for:</w:t>
      </w:r>
    </w:p>
    <w:p>
      <w:pPr>
        <w:pStyle w:val="Compact"/>
        <w:numPr>
          <w:ilvl w:val="0"/>
          <w:numId w:val="1003"/>
        </w:numPr>
      </w:pPr>
      <w:r>
        <w:t xml:space="preserve">minor status and age-transition safeguards;</w:t>
      </w:r>
    </w:p>
    <w:p>
      <w:pPr>
        <w:pStyle w:val="Compact"/>
        <w:numPr>
          <w:ilvl w:val="0"/>
          <w:numId w:val="1003"/>
        </w:numPr>
      </w:pPr>
      <w:r>
        <w:t xml:space="preserve">protected-participant designation and protective treatment;</w:t>
      </w:r>
    </w:p>
    <w:p>
      <w:pPr>
        <w:pStyle w:val="Compact"/>
        <w:numPr>
          <w:ilvl w:val="0"/>
          <w:numId w:val="1003"/>
        </w:numPr>
      </w:pPr>
      <w:r>
        <w:t xml:space="preserve">guardian authority requirements and conflicts as they affect protected participation;</w:t>
      </w:r>
    </w:p>
    <w:p>
      <w:pPr>
        <w:pStyle w:val="Compact"/>
        <w:numPr>
          <w:ilvl w:val="0"/>
          <w:numId w:val="1003"/>
        </w:numPr>
      </w:pPr>
      <w:r>
        <w:t xml:space="preserve">assent, age-appropriate refusal, and protected-participant voice;</w:t>
      </w:r>
    </w:p>
    <w:p>
      <w:pPr>
        <w:pStyle w:val="Compact"/>
        <w:numPr>
          <w:ilvl w:val="0"/>
          <w:numId w:val="1003"/>
        </w:numPr>
      </w:pPr>
      <w:r>
        <w:t xml:space="preserve">safeguarding concern intake, confidentiality, triage, escalation, and non-retaliation;</w:t>
      </w:r>
    </w:p>
    <w:p>
      <w:pPr>
        <w:pStyle w:val="Compact"/>
        <w:numPr>
          <w:ilvl w:val="0"/>
          <w:numId w:val="1003"/>
        </w:numPr>
      </w:pPr>
      <w:r>
        <w:t xml:space="preserve">protected-participant communication rules;</w:t>
      </w:r>
    </w:p>
    <w:p>
      <w:pPr>
        <w:pStyle w:val="Compact"/>
        <w:numPr>
          <w:ilvl w:val="0"/>
          <w:numId w:val="1003"/>
        </w:numPr>
      </w:pPr>
      <w:r>
        <w:t xml:space="preserve">emergency safeguarding restrictions;</w:t>
      </w:r>
    </w:p>
    <w:p>
      <w:pPr>
        <w:pStyle w:val="Compact"/>
        <w:numPr>
          <w:ilvl w:val="0"/>
          <w:numId w:val="1003"/>
        </w:numPr>
      </w:pPr>
      <w:r>
        <w:t xml:space="preserve">adult eligibility floors for protected-participant interaction;</w:t>
      </w:r>
    </w:p>
    <w:p>
      <w:pPr>
        <w:pStyle w:val="Compact"/>
        <w:numPr>
          <w:ilvl w:val="0"/>
          <w:numId w:val="1003"/>
        </w:numPr>
      </w:pPr>
      <w:r>
        <w:t xml:space="preserve">protected pickup, release, transportation, and participation controls;</w:t>
      </w:r>
    </w:p>
    <w:p>
      <w:pPr>
        <w:pStyle w:val="Compact"/>
        <w:numPr>
          <w:ilvl w:val="0"/>
          <w:numId w:val="1003"/>
        </w:numPr>
      </w:pPr>
      <w:r>
        <w:t xml:space="preserve">safeguarding-specific access, search, media, AI, reporting, evidence, and retention constraints.</w:t>
      </w:r>
    </w:p>
    <w:p>
      <w:pPr>
        <w:pStyle w:val="FirstParagraph"/>
      </w:pPr>
      <w:r>
        <w:t xml:space="preserve">This ownership does not transfer the underlying authority of adjacent domains.</w:t>
      </w:r>
    </w:p>
    <w:bookmarkEnd w:id="25"/>
    <w:bookmarkStart w:id="26" w:name="constitutional-boundary-table"/>
    <w:p>
      <w:pPr>
        <w:pStyle w:val="Heading2"/>
      </w:pPr>
      <w:r>
        <w:t xml:space="preserve">3. Constitutional Boundary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Subject</w:t>
            </w:r>
          </w:p>
        </w:tc>
        <w:tc>
          <w:tcPr/>
          <w:p>
            <w:pPr>
              <w:pStyle w:val="Compact"/>
              <w:jc w:val="left"/>
            </w:pPr>
            <w:r>
              <w:t xml:space="preserve">Primary Constitutional Owner</w:t>
            </w:r>
          </w:p>
        </w:tc>
        <w:tc>
          <w:tcPr/>
          <w:p>
            <w:pPr>
              <w:pStyle w:val="Compact"/>
              <w:jc w:val="left"/>
            </w:pPr>
            <w:r>
              <w:t xml:space="preserve">This Model’s Boundary</w:t>
            </w:r>
          </w:p>
        </w:tc>
      </w:tr>
      <w:tr>
        <w:tc>
          <w:tcPr/>
          <w:p>
            <w:pPr>
              <w:pStyle w:val="Compact"/>
              <w:jc w:val="left"/>
            </w:pPr>
            <w:r>
              <w:t xml:space="preserve">Person, account, credential, session, actor attribution</w:t>
            </w:r>
          </w:p>
        </w:tc>
        <w:tc>
          <w:tcPr/>
          <w:p>
            <w:pPr>
              <w:pStyle w:val="Compact"/>
              <w:jc w:val="left"/>
            </w:pPr>
            <w:r>
              <w:t xml:space="preserve">Master Identity, Account, and Actor Model</w:t>
            </w:r>
          </w:p>
        </w:tc>
        <w:tc>
          <w:tcPr/>
          <w:p>
            <w:pPr>
              <w:pStyle w:val="Compact"/>
              <w:jc w:val="left"/>
            </w:pPr>
            <w:r>
              <w:t xml:space="preserve">Adds protected-participant identity assurance and anti-impersonation safeguards</w:t>
            </w:r>
          </w:p>
        </w:tc>
      </w:tr>
      <w:tr>
        <w:tc>
          <w:tcPr/>
          <w:p>
            <w:pPr>
              <w:pStyle w:val="Compact"/>
              <w:jc w:val="left"/>
            </w:pPr>
            <w:r>
              <w:t xml:space="preserve">Relationship among minor, guardian, horse, facility, coach, provider, and organization</w:t>
            </w:r>
          </w:p>
        </w:tc>
        <w:tc>
          <w:tcPr/>
          <w:p>
            <w:pPr>
              <w:pStyle w:val="Compact"/>
              <w:jc w:val="left"/>
            </w:pPr>
            <w:r>
              <w:t xml:space="preserve">Master Relationship Model</w:t>
            </w:r>
          </w:p>
        </w:tc>
        <w:tc>
          <w:tcPr/>
          <w:p>
            <w:pPr>
              <w:pStyle w:val="Compact"/>
              <w:jc w:val="left"/>
            </w:pPr>
            <w:r>
              <w:t xml:space="preserve">Defines safeguarding limits and protected-participant consequences of the relationship</w:t>
            </w:r>
          </w:p>
        </w:tc>
      </w:tr>
      <w:tr>
        <w:tc>
          <w:tcPr/>
          <w:p>
            <w:pPr>
              <w:pStyle w:val="Compact"/>
              <w:jc w:val="left"/>
            </w:pPr>
            <w:r>
              <w:t xml:space="preserve">Agreement, consent, assent events, acknowledgments, and signatures</w:t>
            </w:r>
          </w:p>
        </w:tc>
        <w:tc>
          <w:tcPr/>
          <w:p>
            <w:pPr>
              <w:pStyle w:val="Compact"/>
              <w:jc w:val="left"/>
            </w:pPr>
            <w:r>
              <w:t xml:space="preserve">Master Agreement, Consent, and Authorization Model</w:t>
            </w:r>
          </w:p>
        </w:tc>
        <w:tc>
          <w:tcPr/>
          <w:p>
            <w:pPr>
              <w:pStyle w:val="Compact"/>
              <w:jc w:val="left"/>
            </w:pPr>
            <w:r>
              <w:t xml:space="preserve">Defines when minor assent, guardian authorization, or protected refusal is required</w:t>
            </w:r>
          </w:p>
        </w:tc>
      </w:tr>
      <w:tr>
        <w:tc>
          <w:tcPr/>
          <w:p>
            <w:pPr>
              <w:pStyle w:val="Compact"/>
              <w:jc w:val="left"/>
            </w:pPr>
            <w:r>
              <w:t xml:space="preserve">Permission enforcement, field projection, delegation, scope, and revocation</w:t>
            </w:r>
          </w:p>
        </w:tc>
        <w:tc>
          <w:tcPr/>
          <w:p>
            <w:pPr>
              <w:pStyle w:val="Compact"/>
              <w:jc w:val="left"/>
            </w:pPr>
            <w:r>
              <w:t xml:space="preserve">Master Permission and Access-Control Model</w:t>
            </w:r>
          </w:p>
        </w:tc>
        <w:tc>
          <w:tcPr/>
          <w:p>
            <w:pPr>
              <w:pStyle w:val="Compact"/>
              <w:jc w:val="left"/>
            </w:pPr>
            <w:r>
              <w:t xml:space="preserve">Defines heightened protective constraints and non-delegable safety limits</w:t>
            </w:r>
          </w:p>
        </w:tc>
      </w:tr>
      <w:tr>
        <w:tc>
          <w:tcPr/>
          <w:p>
            <w:pPr>
              <w:pStyle w:val="Compact"/>
              <w:jc w:val="left"/>
            </w:pPr>
            <w:r>
              <w:t xml:space="preserve">Delegated assistance relationship</w:t>
            </w:r>
          </w:p>
        </w:tc>
        <w:tc>
          <w:tcPr/>
          <w:p>
            <w:pPr>
              <w:pStyle w:val="Compact"/>
              <w:jc w:val="left"/>
            </w:pPr>
            <w:r>
              <w:t xml:space="preserve">Master Relationship Model</w:t>
            </w:r>
          </w:p>
        </w:tc>
        <w:tc>
          <w:tcPr/>
          <w:p>
            <w:pPr>
              <w:pStyle w:val="Compact"/>
              <w:jc w:val="left"/>
            </w:pPr>
            <w:r>
              <w:t xml:space="preserve">Governs age, competence, supervision, task-risk, and safeguarding restrictions</w:t>
            </w:r>
          </w:p>
        </w:tc>
      </w:tr>
      <w:tr>
        <w:tc>
          <w:tcPr/>
          <w:p>
            <w:pPr>
              <w:pStyle w:val="Compact"/>
              <w:jc w:val="left"/>
            </w:pPr>
            <w:r>
              <w:t xml:space="preserve">Delegated-assistance grant and enforcement</w:t>
            </w:r>
          </w:p>
        </w:tc>
        <w:tc>
          <w:tcPr/>
          <w:p>
            <w:pPr>
              <w:pStyle w:val="Compact"/>
              <w:jc w:val="left"/>
            </w:pPr>
            <w:r>
              <w:t xml:space="preserve">Agreement and Permission Models</w:t>
            </w:r>
          </w:p>
        </w:tc>
        <w:tc>
          <w:tcPr/>
          <w:p>
            <w:pPr>
              <w:pStyle w:val="Compact"/>
              <w:jc w:val="left"/>
            </w:pPr>
            <w:r>
              <w:t xml:space="preserve">Requires minor-specific eligibility, guardian authority where applicable, and supervision</w:t>
            </w:r>
          </w:p>
        </w:tc>
      </w:tr>
      <w:tr>
        <w:tc>
          <w:tcPr/>
          <w:p>
            <w:pPr>
              <w:pStyle w:val="Compact"/>
              <w:jc w:val="left"/>
            </w:pPr>
            <w:r>
              <w:t xml:space="preserve">Discoverability and minimum information exposure</w:t>
            </w:r>
          </w:p>
        </w:tc>
        <w:tc>
          <w:tcPr/>
          <w:p>
            <w:pPr>
              <w:pStyle w:val="Compact"/>
              <w:jc w:val="left"/>
            </w:pPr>
            <w:r>
              <w:t xml:space="preserve">Master Search, Discovery, Ranking, and Retrieval Model</w:t>
            </w:r>
          </w:p>
        </w:tc>
        <w:tc>
          <w:tcPr/>
          <w:p>
            <w:pPr>
              <w:pStyle w:val="Compact"/>
              <w:jc w:val="left"/>
            </w:pPr>
            <w:r>
              <w:t xml:space="preserve">Requires protected-participant exclusions, minimal exposure, and no general minor discovery</w:t>
            </w:r>
          </w:p>
        </w:tc>
      </w:tr>
      <w:tr>
        <w:tc>
          <w:tcPr/>
          <w:p>
            <w:pPr>
              <w:pStyle w:val="Compact"/>
              <w:jc w:val="left"/>
            </w:pPr>
            <w:r>
              <w:t xml:space="preserve">Barn tasks and completion</w:t>
            </w:r>
          </w:p>
        </w:tc>
        <w:tc>
          <w:tcPr/>
          <w:p>
            <w:pPr>
              <w:pStyle w:val="Compact"/>
              <w:jc w:val="left"/>
            </w:pPr>
            <w:r>
              <w:t xml:space="preserve">Master Barn Lifecycle and Operations Canon</w:t>
            </w:r>
          </w:p>
        </w:tc>
        <w:tc>
          <w:tcPr/>
          <w:p>
            <w:pPr>
              <w:pStyle w:val="Compact"/>
              <w:jc w:val="left"/>
            </w:pPr>
            <w:r>
              <w:t xml:space="preserve">Limits tasks by age, competence, risk, supervision, and protected status</w:t>
            </w:r>
          </w:p>
        </w:tc>
      </w:tr>
      <w:tr>
        <w:tc>
          <w:tcPr/>
          <w:p>
            <w:pPr>
              <w:pStyle w:val="Compact"/>
              <w:jc w:val="left"/>
            </w:pPr>
            <w:r>
              <w:t xml:space="preserve">Messages, notices, and delivery evidence</w:t>
            </w:r>
          </w:p>
        </w:tc>
        <w:tc>
          <w:tcPr/>
          <w:p>
            <w:pPr>
              <w:pStyle w:val="Compact"/>
              <w:jc w:val="left"/>
            </w:pPr>
            <w:r>
              <w:t xml:space="preserve">Master Communication, Notification, and Notice Model</w:t>
            </w:r>
          </w:p>
        </w:tc>
        <w:tc>
          <w:tcPr/>
          <w:p>
            <w:pPr>
              <w:pStyle w:val="Compact"/>
              <w:jc w:val="left"/>
            </w:pPr>
            <w:r>
              <w:t xml:space="preserve">Establishes guardian-inclusion and protected-reporting communication rules</w:t>
            </w:r>
          </w:p>
        </w:tc>
      </w:tr>
      <w:tr>
        <w:tc>
          <w:tcPr/>
          <w:p>
            <w:pPr>
              <w:pStyle w:val="Compact"/>
              <w:jc w:val="left"/>
            </w:pPr>
            <w:r>
              <w:t xml:space="preserve">Personal-information processing</w:t>
            </w:r>
          </w:p>
        </w:tc>
        <w:tc>
          <w:tcPr/>
          <w:p>
            <w:pPr>
              <w:pStyle w:val="Compact"/>
              <w:jc w:val="left"/>
            </w:pPr>
            <w:r>
              <w:t xml:space="preserve">Master Privacy and Data Protection Model</w:t>
            </w:r>
          </w:p>
        </w:tc>
        <w:tc>
          <w:tcPr/>
          <w:p>
            <w:pPr>
              <w:pStyle w:val="Compact"/>
              <w:jc w:val="left"/>
            </w:pPr>
            <w:r>
              <w:t xml:space="preserve">Adds heightened protected-participant privacy, confidentiality, and guardian-access exceptions</w:t>
            </w:r>
          </w:p>
        </w:tc>
      </w:tr>
      <w:tr>
        <w:tc>
          <w:tcPr/>
          <w:p>
            <w:pPr>
              <w:pStyle w:val="Compact"/>
              <w:jc w:val="left"/>
            </w:pPr>
            <w:r>
              <w:t xml:space="preserve">Files, photos, video, audio, and evidence assets</w:t>
            </w:r>
          </w:p>
        </w:tc>
        <w:tc>
          <w:tcPr/>
          <w:p>
            <w:pPr>
              <w:pStyle w:val="Compact"/>
              <w:jc w:val="left"/>
            </w:pPr>
            <w:r>
              <w:t xml:space="preserve">Master Media, Files, and Digital Asset Governance Model</w:t>
            </w:r>
          </w:p>
        </w:tc>
        <w:tc>
          <w:tcPr/>
          <w:p>
            <w:pPr>
              <w:pStyle w:val="Compact"/>
              <w:jc w:val="left"/>
            </w:pPr>
            <w:r>
              <w:t xml:space="preserve">Adds minor consent, assent, discoverability, geolocation, and safeguarding handling rules</w:t>
            </w:r>
          </w:p>
        </w:tc>
      </w:tr>
      <w:tr>
        <w:tc>
          <w:tcPr/>
          <w:p>
            <w:pPr>
              <w:pStyle w:val="Compact"/>
              <w:jc w:val="left"/>
            </w:pPr>
            <w:r>
              <w:t xml:space="preserve">Records, retention, holds, and disposition</w:t>
            </w:r>
          </w:p>
        </w:tc>
        <w:tc>
          <w:tcPr/>
          <w:p>
            <w:pPr>
              <w:pStyle w:val="Compact"/>
              <w:jc w:val="left"/>
            </w:pPr>
            <w:r>
              <w:t xml:space="preserve">Master Record Stewardship and Retention Model</w:t>
            </w:r>
          </w:p>
        </w:tc>
        <w:tc>
          <w:tcPr/>
          <w:p>
            <w:pPr>
              <w:pStyle w:val="Compact"/>
              <w:jc w:val="left"/>
            </w:pPr>
            <w:r>
              <w:t xml:space="preserve">Defines safeguarding preservation triggers and protected access</w:t>
            </w:r>
          </w:p>
        </w:tc>
      </w:tr>
      <w:tr>
        <w:tc>
          <w:tcPr/>
          <w:p>
            <w:pPr>
              <w:pStyle w:val="Compact"/>
              <w:jc w:val="left"/>
            </w:pPr>
            <w:r>
              <w:t xml:space="preserve">Claims, disputes, challenge, and review</w:t>
            </w:r>
          </w:p>
        </w:tc>
        <w:tc>
          <w:tcPr/>
          <w:p>
            <w:pPr>
              <w:pStyle w:val="Compact"/>
              <w:jc w:val="left"/>
            </w:pPr>
            <w:r>
              <w:t xml:space="preserve">Master Claims, Disputes, and Authority Model</w:t>
            </w:r>
          </w:p>
        </w:tc>
        <w:tc>
          <w:tcPr/>
          <w:p>
            <w:pPr>
              <w:pStyle w:val="Compact"/>
              <w:jc w:val="left"/>
            </w:pPr>
            <w:r>
              <w:t xml:space="preserve">Defines non-retaliation, interim protections, and protected identity limits</w:t>
            </w:r>
          </w:p>
        </w:tc>
      </w:tr>
      <w:tr>
        <w:tc>
          <w:tcPr/>
          <w:p>
            <w:pPr>
              <w:pStyle w:val="Compact"/>
              <w:jc w:val="left"/>
            </w:pPr>
            <w:r>
              <w:t xml:space="preserve">Audit events and evidence</w:t>
            </w:r>
          </w:p>
        </w:tc>
        <w:tc>
          <w:tcPr/>
          <w:p>
            <w:pPr>
              <w:pStyle w:val="Compact"/>
              <w:jc w:val="left"/>
            </w:pPr>
            <w:r>
              <w:t xml:space="preserve">Master Audit Event and Evidence Model</w:t>
            </w:r>
          </w:p>
        </w:tc>
        <w:tc>
          <w:tcPr/>
          <w:p>
            <w:pPr>
              <w:pStyle w:val="Compact"/>
              <w:jc w:val="left"/>
            </w:pPr>
            <w:r>
              <w:t xml:space="preserve">Requires attributable safeguards, restricted evidence, and reviewable emergency action</w:t>
            </w:r>
          </w:p>
        </w:tc>
      </w:tr>
      <w:tr>
        <w:tc>
          <w:tcPr/>
          <w:p>
            <w:pPr>
              <w:pStyle w:val="Compact"/>
              <w:jc w:val="left"/>
            </w:pPr>
            <w:r>
              <w:t xml:space="preserve">AI use, automated actions, and human review</w:t>
            </w:r>
          </w:p>
        </w:tc>
        <w:tc>
          <w:tcPr/>
          <w:p>
            <w:pPr>
              <w:pStyle w:val="Compact"/>
              <w:jc w:val="left"/>
            </w:pPr>
            <w:r>
              <w:t xml:space="preserve">Master AI Governance and Decision Boundary Model</w:t>
            </w:r>
          </w:p>
        </w:tc>
        <w:tc>
          <w:tcPr/>
          <w:p>
            <w:pPr>
              <w:pStyle w:val="Compact"/>
              <w:jc w:val="left"/>
            </w:pPr>
            <w:r>
              <w:t xml:space="preserve">Prohibits autonomous safeguarding conclusions, discipline, profiling, and guardian-rights decisions</w:t>
            </w:r>
          </w:p>
        </w:tc>
      </w:tr>
      <w:tr>
        <w:tc>
          <w:tcPr/>
          <w:p>
            <w:pPr>
              <w:pStyle w:val="Compact"/>
              <w:jc w:val="left"/>
            </w:pPr>
            <w:r>
              <w:t xml:space="preserve">Security, encryption, incident, and recovery</w:t>
            </w:r>
          </w:p>
        </w:tc>
        <w:tc>
          <w:tcPr/>
          <w:p>
            <w:pPr>
              <w:pStyle w:val="Compact"/>
              <w:jc w:val="left"/>
            </w:pPr>
            <w:r>
              <w:t xml:space="preserve">Controlling Security Foundational Models V1.0 and Security and Trust canon</w:t>
            </w:r>
          </w:p>
        </w:tc>
        <w:tc>
          <w:tcPr/>
          <w:p>
            <w:pPr>
              <w:pStyle w:val="Compact"/>
              <w:jc w:val="left"/>
            </w:pPr>
            <w:r>
              <w:t xml:space="preserve">Requires heightened access, confidentiality, recovery, and incident controls</w:t>
            </w:r>
          </w:p>
        </w:tc>
      </w:tr>
      <w:tr>
        <w:tc>
          <w:tcPr/>
          <w:p>
            <w:pPr>
              <w:pStyle w:val="Compact"/>
              <w:jc w:val="left"/>
            </w:pPr>
            <w:r>
              <w:t xml:space="preserve">Plugins, integrations, and external processors</w:t>
            </w:r>
          </w:p>
        </w:tc>
        <w:tc>
          <w:tcPr/>
          <w:p>
            <w:pPr>
              <w:pStyle w:val="Compact"/>
              <w:jc w:val="left"/>
            </w:pPr>
            <w:r>
              <w:t xml:space="preserve">Developer, Plugin, External Architecture, and Vendor canons</w:t>
            </w:r>
          </w:p>
        </w:tc>
        <w:tc>
          <w:tcPr/>
          <w:p>
            <w:pPr>
              <w:pStyle w:val="Compact"/>
              <w:jc w:val="left"/>
            </w:pPr>
            <w:r>
              <w:t xml:space="preserve">Prevents third parties from bypassing protected-participant controls</w:t>
            </w:r>
          </w:p>
        </w:tc>
      </w:tr>
    </w:tbl>
    <w:bookmarkEnd w:id="26"/>
    <w:bookmarkStart w:id="27" w:name="X641987db5c0f7ea56726bcc30fba2eff6d62073"/>
    <w:p>
      <w:pPr>
        <w:pStyle w:val="Heading2"/>
      </w:pPr>
      <w:r>
        <w:t xml:space="preserve">4. No Authority by Capability or Convenience</w:t>
      </w:r>
    </w:p>
    <w:p>
      <w:pPr>
        <w:pStyle w:val="FirstParagraph"/>
      </w:pPr>
      <w:r>
        <w:t xml:space="preserve">The following do not establish guardian authority, safeguarding authority, protected-participant access, or consent:</w:t>
      </w:r>
    </w:p>
    <w:p>
      <w:pPr>
        <w:pStyle w:val="Compact"/>
        <w:numPr>
          <w:ilvl w:val="0"/>
          <w:numId w:val="1004"/>
        </w:numPr>
      </w:pPr>
      <w:r>
        <w:t xml:space="preserve">paying an invoice;</w:t>
      </w:r>
    </w:p>
    <w:p>
      <w:pPr>
        <w:pStyle w:val="Compact"/>
        <w:numPr>
          <w:ilvl w:val="0"/>
          <w:numId w:val="1004"/>
        </w:numPr>
      </w:pPr>
      <w:r>
        <w:t xml:space="preserve">being listed as an emergency contact;</w:t>
      </w:r>
    </w:p>
    <w:p>
      <w:pPr>
        <w:pStyle w:val="Compact"/>
        <w:numPr>
          <w:ilvl w:val="0"/>
          <w:numId w:val="1004"/>
        </w:numPr>
      </w:pPr>
      <w:r>
        <w:t xml:space="preserve">controlling an account or email address;</w:t>
      </w:r>
    </w:p>
    <w:p>
      <w:pPr>
        <w:pStyle w:val="Compact"/>
        <w:numPr>
          <w:ilvl w:val="0"/>
          <w:numId w:val="1004"/>
        </w:numPr>
      </w:pPr>
      <w:r>
        <w:t xml:space="preserve">sharing a household;</w:t>
      </w:r>
    </w:p>
    <w:p>
      <w:pPr>
        <w:pStyle w:val="Compact"/>
        <w:numPr>
          <w:ilvl w:val="0"/>
          <w:numId w:val="1004"/>
        </w:numPr>
      </w:pPr>
      <w:r>
        <w:t xml:space="preserve">being a horse owner, barn owner, trainer, coach, instructor, volunteer, provider, or employee;</w:t>
      </w:r>
    </w:p>
    <w:p>
      <w:pPr>
        <w:pStyle w:val="Compact"/>
        <w:numPr>
          <w:ilvl w:val="0"/>
          <w:numId w:val="1004"/>
        </w:numPr>
      </w:pPr>
      <w:r>
        <w:t xml:space="preserve">transporting the participant on a prior occasion;</w:t>
      </w:r>
    </w:p>
    <w:p>
      <w:pPr>
        <w:pStyle w:val="Compact"/>
        <w:numPr>
          <w:ilvl w:val="0"/>
          <w:numId w:val="1004"/>
        </w:numPr>
      </w:pPr>
      <w:r>
        <w:t xml:space="preserve">uploading a form or media asset;</w:t>
      </w:r>
    </w:p>
    <w:p>
      <w:pPr>
        <w:pStyle w:val="Compact"/>
        <w:numPr>
          <w:ilvl w:val="0"/>
          <w:numId w:val="1004"/>
        </w:numPr>
      </w:pPr>
      <w:r>
        <w:t xml:space="preserve">being able to view a database record or administrative screen;</w:t>
      </w:r>
    </w:p>
    <w:p>
      <w:pPr>
        <w:pStyle w:val="Compact"/>
        <w:numPr>
          <w:ilvl w:val="0"/>
          <w:numId w:val="1004"/>
        </w:numPr>
      </w:pPr>
      <w:r>
        <w:t xml:space="preserve">receiving a notification;</w:t>
      </w:r>
    </w:p>
    <w:p>
      <w:pPr>
        <w:pStyle w:val="Compact"/>
        <w:numPr>
          <w:ilvl w:val="0"/>
          <w:numId w:val="1004"/>
        </w:numPr>
      </w:pPr>
      <w:r>
        <w:t xml:space="preserve">possessing a phone number or external messaging account;</w:t>
      </w:r>
    </w:p>
    <w:p>
      <w:pPr>
        <w:pStyle w:val="Compact"/>
        <w:numPr>
          <w:ilvl w:val="0"/>
          <w:numId w:val="1004"/>
        </w:numPr>
      </w:pPr>
      <w:r>
        <w:t xml:space="preserve">being included in a historical thread;</w:t>
      </w:r>
    </w:p>
    <w:p>
      <w:pPr>
        <w:pStyle w:val="Compact"/>
        <w:numPr>
          <w:ilvl w:val="0"/>
          <w:numId w:val="1004"/>
        </w:numPr>
      </w:pPr>
      <w:r>
        <w:t xml:space="preserve">holding a general tenant administrator role.</w:t>
      </w:r>
    </w:p>
    <w:bookmarkEnd w:id="27"/>
    <w:bookmarkStart w:id="28" w:name="reading-and-conflict-rule"/>
    <w:p>
      <w:pPr>
        <w:pStyle w:val="Heading2"/>
      </w:pPr>
      <w:r>
        <w:t xml:space="preserve">5. Reading and Conflict Rule</w:t>
      </w:r>
    </w:p>
    <w:p>
      <w:pPr>
        <w:pStyle w:val="FirstParagraph"/>
      </w:pPr>
      <w:r>
        <w:t xml:space="preserve">This Model must be interpreted with all applicable specialized canon. Compatible safeguards apply together. Where two requirements cannot coexist, the issue must be routed through the Constitutional Domain Ownership and Boundary Register and controlled governance review.</w:t>
      </w:r>
    </w:p>
    <w:p>
      <w:pPr>
        <w:pStyle w:val="BodyText"/>
      </w:pPr>
      <w:r>
        <w:t xml:space="preserve">Implementation must pause when ambiguity materially affects:</w:t>
      </w:r>
    </w:p>
    <w:p>
      <w:pPr>
        <w:pStyle w:val="Compact"/>
        <w:numPr>
          <w:ilvl w:val="0"/>
          <w:numId w:val="1005"/>
        </w:numPr>
      </w:pPr>
      <w:r>
        <w:t xml:space="preserve">immediate safety;</w:t>
      </w:r>
    </w:p>
    <w:p>
      <w:pPr>
        <w:pStyle w:val="Compact"/>
        <w:numPr>
          <w:ilvl w:val="0"/>
          <w:numId w:val="1005"/>
        </w:numPr>
      </w:pPr>
      <w:r>
        <w:t xml:space="preserve">guardian authority;</w:t>
      </w:r>
    </w:p>
    <w:p>
      <w:pPr>
        <w:pStyle w:val="Compact"/>
        <w:numPr>
          <w:ilvl w:val="0"/>
          <w:numId w:val="1005"/>
        </w:numPr>
      </w:pPr>
      <w:r>
        <w:t xml:space="preserve">minor privacy;</w:t>
      </w:r>
    </w:p>
    <w:p>
      <w:pPr>
        <w:pStyle w:val="Compact"/>
        <w:numPr>
          <w:ilvl w:val="0"/>
          <w:numId w:val="1005"/>
        </w:numPr>
      </w:pPr>
      <w:r>
        <w:t xml:space="preserve">safeguarding reports;</w:t>
      </w:r>
    </w:p>
    <w:p>
      <w:pPr>
        <w:pStyle w:val="Compact"/>
        <w:numPr>
          <w:ilvl w:val="0"/>
          <w:numId w:val="1005"/>
        </w:numPr>
      </w:pPr>
      <w:r>
        <w:t xml:space="preserve">protected communications;</w:t>
      </w:r>
    </w:p>
    <w:p>
      <w:pPr>
        <w:pStyle w:val="Compact"/>
        <w:numPr>
          <w:ilvl w:val="0"/>
          <w:numId w:val="1005"/>
        </w:numPr>
      </w:pPr>
      <w:r>
        <w:t xml:space="preserve">pickup or release;</w:t>
      </w:r>
    </w:p>
    <w:p>
      <w:pPr>
        <w:pStyle w:val="Compact"/>
        <w:numPr>
          <w:ilvl w:val="0"/>
          <w:numId w:val="1005"/>
        </w:numPr>
      </w:pPr>
      <w:r>
        <w:t xml:space="preserve">transportation;</w:t>
      </w:r>
    </w:p>
    <w:p>
      <w:pPr>
        <w:pStyle w:val="Compact"/>
        <w:numPr>
          <w:ilvl w:val="0"/>
          <w:numId w:val="1005"/>
        </w:numPr>
      </w:pPr>
      <w:r>
        <w:t xml:space="preserve">participation restrictions;</w:t>
      </w:r>
    </w:p>
    <w:p>
      <w:pPr>
        <w:pStyle w:val="Compact"/>
        <w:numPr>
          <w:ilvl w:val="0"/>
          <w:numId w:val="1005"/>
        </w:numPr>
      </w:pPr>
      <w:r>
        <w:t xml:space="preserve">evidence preservation;</w:t>
      </w:r>
    </w:p>
    <w:p>
      <w:pPr>
        <w:pStyle w:val="Compact"/>
        <w:numPr>
          <w:ilvl w:val="0"/>
          <w:numId w:val="1005"/>
        </w:numPr>
      </w:pPr>
      <w:r>
        <w:t xml:space="preserve">access to confidential allegations;</w:t>
      </w:r>
    </w:p>
    <w:p>
      <w:pPr>
        <w:pStyle w:val="Compact"/>
        <w:numPr>
          <w:ilvl w:val="0"/>
          <w:numId w:val="1005"/>
        </w:numPr>
      </w:pPr>
      <w:r>
        <w:t xml:space="preserve">mandatory reporting or emergency escalation.</w:t>
      </w:r>
    </w:p>
    <w:bookmarkEnd w:id="28"/>
    <w:bookmarkEnd w:id="29"/>
    <w:bookmarkStart w:id="55" w:name="Xe3539431e2488016f8b7776939bc138b9366730"/>
    <w:p>
      <w:pPr>
        <w:pStyle w:val="Heading1"/>
      </w:pPr>
      <w:r>
        <w:t xml:space="preserve">Part II - Definitions and Foundational Principles</w:t>
      </w:r>
    </w:p>
    <w:bookmarkStart w:id="53" w:name="definitions"/>
    <w:p>
      <w:pPr>
        <w:pStyle w:val="Heading2"/>
      </w:pPr>
      <w:r>
        <w:t xml:space="preserve">6. Definitions</w:t>
      </w:r>
    </w:p>
    <w:bookmarkStart w:id="30" w:name="minor"/>
    <w:p>
      <w:pPr>
        <w:pStyle w:val="Heading3"/>
      </w:pPr>
      <w:r>
        <w:t xml:space="preserve">6.1 Minor</w:t>
      </w:r>
    </w:p>
    <w:p>
      <w:pPr>
        <w:pStyle w:val="FirstParagraph"/>
      </w:pPr>
      <w:r>
        <w:t xml:space="preserve">A person treated as under the age of legal majority or otherwise subject to minor-specific protection under applicable law or the governing participation context. EquineSync shall use a default under-18 presumption unless reliable jurisdictional evidence establishes a different rule.</w:t>
      </w:r>
    </w:p>
    <w:bookmarkEnd w:id="30"/>
    <w:bookmarkStart w:id="31" w:name="protected-participant"/>
    <w:p>
      <w:pPr>
        <w:pStyle w:val="Heading3"/>
      </w:pPr>
      <w:r>
        <w:t xml:space="preserve">6.2 Protected Participant</w:t>
      </w:r>
    </w:p>
    <w:p>
      <w:pPr>
        <w:pStyle w:val="FirstParagraph"/>
      </w:pPr>
      <w:r>
        <w:t xml:space="preserve">A person entitled to heightened participation, privacy, communication, access, or safeguarding protections because the person is:</w:t>
      </w:r>
    </w:p>
    <w:p>
      <w:pPr>
        <w:pStyle w:val="Compact"/>
        <w:numPr>
          <w:ilvl w:val="0"/>
          <w:numId w:val="1006"/>
        </w:numPr>
      </w:pPr>
      <w:r>
        <w:t xml:space="preserve">a minor;</w:t>
      </w:r>
    </w:p>
    <w:p>
      <w:pPr>
        <w:pStyle w:val="Compact"/>
        <w:numPr>
          <w:ilvl w:val="0"/>
          <w:numId w:val="1006"/>
        </w:numPr>
      </w:pPr>
      <w:r>
        <w:t xml:space="preserve">subject to guardianship, conservatorship, supported decision-making, or comparable authority arrangement;</w:t>
      </w:r>
    </w:p>
    <w:p>
      <w:pPr>
        <w:pStyle w:val="Compact"/>
        <w:numPr>
          <w:ilvl w:val="0"/>
          <w:numId w:val="1006"/>
        </w:numPr>
      </w:pPr>
      <w:r>
        <w:t xml:space="preserve">materially limited in the ability to provide informed authorization for the relevant matter;</w:t>
      </w:r>
    </w:p>
    <w:p>
      <w:pPr>
        <w:pStyle w:val="Compact"/>
        <w:numPr>
          <w:ilvl w:val="0"/>
          <w:numId w:val="1006"/>
        </w:numPr>
      </w:pPr>
      <w:r>
        <w:t xml:space="preserve">subject to an active safeguarding or protective restriction;</w:t>
      </w:r>
    </w:p>
    <w:p>
      <w:pPr>
        <w:pStyle w:val="Compact"/>
        <w:numPr>
          <w:ilvl w:val="0"/>
          <w:numId w:val="1006"/>
        </w:numPr>
      </w:pPr>
      <w:r>
        <w:t xml:space="preserve">an alleged victim, reporter, or witness whose identity or safety requires additional protection;</w:t>
      </w:r>
    </w:p>
    <w:p>
      <w:pPr>
        <w:pStyle w:val="Compact"/>
        <w:numPr>
          <w:ilvl w:val="0"/>
          <w:numId w:val="1006"/>
        </w:numPr>
      </w:pPr>
      <w:r>
        <w:t xml:space="preserve">temporarily designated through a documented protective process.</w:t>
      </w:r>
    </w:p>
    <w:p>
      <w:pPr>
        <w:pStyle w:val="FirstParagraph"/>
      </w:pPr>
      <w:r>
        <w:t xml:space="preserve">Protected-participant status must not be inferred solely from diagnosis, disability, age, communication style, reputation, or administrative convenience.</w:t>
      </w:r>
    </w:p>
    <w:bookmarkEnd w:id="31"/>
    <w:bookmarkStart w:id="32" w:name="guardian"/>
    <w:p>
      <w:pPr>
        <w:pStyle w:val="Heading3"/>
      </w:pPr>
      <w:r>
        <w:t xml:space="preserve">6.3 Guardian</w:t>
      </w:r>
    </w:p>
    <w:p>
      <w:pPr>
        <w:pStyle w:val="FirstParagraph"/>
      </w:pPr>
      <w:r>
        <w:t xml:space="preserve">A person or legally recognized entity holding verified and scoped authority or responsibility for a minor or protected participant. Guardian status is distinct from parentage, household relationship, payer status, emergency-contact status, account ownership, and general caregiving.</w:t>
      </w:r>
    </w:p>
    <w:bookmarkEnd w:id="32"/>
    <w:bookmarkStart w:id="33" w:name="guardian-authority-record"/>
    <w:p>
      <w:pPr>
        <w:pStyle w:val="Heading3"/>
      </w:pPr>
      <w:r>
        <w:t xml:space="preserve">6.4 Guardian Authority Record</w:t>
      </w:r>
    </w:p>
    <w:p>
      <w:pPr>
        <w:pStyle w:val="FirstParagraph"/>
      </w:pPr>
      <w:r>
        <w:t xml:space="preserve">The governed record identifying the guardian, protected participant, authority source, scope, restrictions, effective dates, evidence, notice rights, communication rights, pickup rights, and dispute status.</w:t>
      </w:r>
    </w:p>
    <w:bookmarkEnd w:id="33"/>
    <w:bookmarkStart w:id="34" w:name="assent"/>
    <w:p>
      <w:pPr>
        <w:pStyle w:val="Heading3"/>
      </w:pPr>
      <w:r>
        <w:t xml:space="preserve">6.5 Assent</w:t>
      </w:r>
    </w:p>
    <w:p>
      <w:pPr>
        <w:pStyle w:val="FirstParagraph"/>
      </w:pPr>
      <w:r>
        <w:t xml:space="preserve">An age-appropriate and capacity-appropriate expression of agreement, willingness, or participation by a minor or protected participant. Assent is distinct from legal consent, guardian authorization, contractual assent, and permission.</w:t>
      </w:r>
    </w:p>
    <w:bookmarkEnd w:id="34"/>
    <w:bookmarkStart w:id="35" w:name="protected-refusal"/>
    <w:p>
      <w:pPr>
        <w:pStyle w:val="Heading3"/>
      </w:pPr>
      <w:r>
        <w:t xml:space="preserve">6.6 Protected Refusal</w:t>
      </w:r>
    </w:p>
    <w:p>
      <w:pPr>
        <w:pStyle w:val="FirstParagraph"/>
      </w:pPr>
      <w:r>
        <w:t xml:space="preserve">A clear expression by a minor or protected participant declining optional publicity, optional communication, optional research, nonessential social exposure, or another non-mandatory activity. A protected refusal must be respected unless a documented safety, legal, emergency, or essential-care basis requires a different action.</w:t>
      </w:r>
    </w:p>
    <w:bookmarkEnd w:id="35"/>
    <w:bookmarkStart w:id="36" w:name="adult-third-party"/>
    <w:p>
      <w:pPr>
        <w:pStyle w:val="Heading3"/>
      </w:pPr>
      <w:r>
        <w:t xml:space="preserve">6.7 Adult Third Party</w:t>
      </w:r>
    </w:p>
    <w:p>
      <w:pPr>
        <w:pStyle w:val="FirstParagraph"/>
      </w:pPr>
      <w:r>
        <w:t xml:space="preserve">An adult other than the protected participant’s verified parent or guardian who interacts with the protected participant through a coaching, training, instructional, employment, volunteer, provider, facility, transportation, service, community, or operational role.</w:t>
      </w:r>
    </w:p>
    <w:bookmarkEnd w:id="36"/>
    <w:bookmarkStart w:id="37" w:name="trainer-or-coach"/>
    <w:p>
      <w:pPr>
        <w:pStyle w:val="Heading3"/>
      </w:pPr>
      <w:r>
        <w:t xml:space="preserve">6.8 Trainer or Coach</w:t>
      </w:r>
    </w:p>
    <w:p>
      <w:pPr>
        <w:pStyle w:val="FirstParagraph"/>
      </w:pPr>
      <w:r>
        <w:t xml:space="preserve">An adult or organization providing riding, horse-care, athletic, instructional, training, performance, or related guidance, regardless of title, compensation, employment status, or platform role.</w:t>
      </w:r>
    </w:p>
    <w:bookmarkEnd w:id="37"/>
    <w:bookmarkStart w:id="38" w:name="safeguarding-concern"/>
    <w:p>
      <w:pPr>
        <w:pStyle w:val="Heading3"/>
      </w:pPr>
      <w:r>
        <w:t xml:space="preserve">6.9 Safeguarding Concern</w:t>
      </w:r>
    </w:p>
    <w:p>
      <w:pPr>
        <w:pStyle w:val="FirstParagraph"/>
      </w:pPr>
      <w:r>
        <w:t xml:space="preserve">Information indicating possible abuse, neglect, exploitation, grooming, harassment, boundary violation, retaliation, prohibited communication, unsafe release, unsafe transportation, coercion, privacy violation, or another threat to a protected participant.</w:t>
      </w:r>
    </w:p>
    <w:bookmarkEnd w:id="38"/>
    <w:bookmarkStart w:id="39" w:name="safeguarding-authority"/>
    <w:p>
      <w:pPr>
        <w:pStyle w:val="Heading3"/>
      </w:pPr>
      <w:r>
        <w:t xml:space="preserve">6.10 Safeguarding Authority</w:t>
      </w:r>
    </w:p>
    <w:p>
      <w:pPr>
        <w:pStyle w:val="FirstParagraph"/>
      </w:pPr>
      <w:r>
        <w:t xml:space="preserve">A qualified and expressly authorized person or body permitted to receive, triage, preserve, restrict, review, escalate, or resolve safeguarding matters within a defined scope.</w:t>
      </w:r>
    </w:p>
    <w:bookmarkEnd w:id="39"/>
    <w:bookmarkStart w:id="40" w:name="protective-restriction"/>
    <w:p>
      <w:pPr>
        <w:pStyle w:val="Heading3"/>
      </w:pPr>
      <w:r>
        <w:t xml:space="preserve">6.11 Protective Restriction</w:t>
      </w:r>
    </w:p>
    <w:p>
      <w:pPr>
        <w:pStyle w:val="FirstParagraph"/>
      </w:pPr>
      <w:r>
        <w:t xml:space="preserve">A temporary or continuing limitation on contact, messaging, access, assignment, pickup, transportation, media, visibility, participation, or another capability imposed to reduce safeguarding risk. A protective restriction is not itself a finding of guilt or liability.</w:t>
      </w:r>
    </w:p>
    <w:bookmarkEnd w:id="40"/>
    <w:bookmarkStart w:id="41" w:name="ordinary-electronic-communication"/>
    <w:p>
      <w:pPr>
        <w:pStyle w:val="Heading3"/>
      </w:pPr>
      <w:r>
        <w:t xml:space="preserve">6.12 Ordinary Electronic Communication</w:t>
      </w:r>
    </w:p>
    <w:p>
      <w:pPr>
        <w:pStyle w:val="FirstParagraph"/>
      </w:pPr>
      <w:r>
        <w:t xml:space="preserve">Any non-safeguarding message, reply, file transmission, media transmission, email, SMS, integrated notice response, chat, or comparable electronic exchange between an adult third party and a minor.</w:t>
      </w:r>
    </w:p>
    <w:bookmarkEnd w:id="41"/>
    <w:bookmarkStart w:id="42" w:name="protected-safeguarding-intake"/>
    <w:p>
      <w:pPr>
        <w:pStyle w:val="Heading3"/>
      </w:pPr>
      <w:r>
        <w:t xml:space="preserve">6.13 Protected Safeguarding Intake</w:t>
      </w:r>
    </w:p>
    <w:p>
      <w:pPr>
        <w:pStyle w:val="FirstParagraph"/>
      </w:pPr>
      <w:r>
        <w:t xml:space="preserve">A dedicated channel for reporting safeguarding concerns that is segregated from ordinary communication, subject to restricted visibility, and capable of protecting a reporter from unsafe guardian or accused-person disclosure.</w:t>
      </w:r>
    </w:p>
    <w:bookmarkEnd w:id="42"/>
    <w:bookmarkStart w:id="43" w:name="adult-eligibility-state"/>
    <w:p>
      <w:pPr>
        <w:pStyle w:val="Heading3"/>
      </w:pPr>
      <w:r>
        <w:t xml:space="preserve">6.14 Adult Eligibility State</w:t>
      </w:r>
    </w:p>
    <w:p>
      <w:pPr>
        <w:pStyle w:val="FirstParagraph"/>
      </w:pPr>
      <w:r>
        <w:t xml:space="preserve">The governed status determining whether an adult may receive protected-participant access, assignments, communication capability, pickup authority, transportation authority, or another protected role.</w:t>
      </w:r>
    </w:p>
    <w:bookmarkEnd w:id="43"/>
    <w:bookmarkStart w:id="44" w:name="observable-and-interruptible-interaction"/>
    <w:p>
      <w:pPr>
        <w:pStyle w:val="Heading3"/>
      </w:pPr>
      <w:r>
        <w:t xml:space="preserve">6.15 Observable and Interruptible Interaction</w:t>
      </w:r>
    </w:p>
    <w:p>
      <w:pPr>
        <w:pStyle w:val="FirstParagraph"/>
      </w:pPr>
      <w:r>
        <w:t xml:space="preserve">An interaction structured so that an authorized person can observe, enter, interrupt, or review the interaction without hidden or isolated conditions inconsistent with the approved activity.</w:t>
      </w:r>
    </w:p>
    <w:bookmarkEnd w:id="44"/>
    <w:bookmarkStart w:id="45" w:name="safeguarding-case"/>
    <w:p>
      <w:pPr>
        <w:pStyle w:val="Heading3"/>
      </w:pPr>
      <w:r>
        <w:t xml:space="preserve">6.16 Safeguarding Case</w:t>
      </w:r>
    </w:p>
    <w:p>
      <w:pPr>
        <w:pStyle w:val="FirstParagraph"/>
      </w:pPr>
      <w:r>
        <w:t xml:space="preserve">The governed case object that connects an intake, affected participants, reporter and witness information, alleged conduct, responding persons, interim protections, evidence, external referrals, review actions, decisions, appeals, and closure history. A Safeguarding Case is distinct from an ordinary incident, message thread, personnel note, customer-support ticket, or generic task.</w:t>
      </w:r>
    </w:p>
    <w:bookmarkEnd w:id="45"/>
    <w:bookmarkStart w:id="46" w:name="responding-person"/>
    <w:p>
      <w:pPr>
        <w:pStyle w:val="Heading3"/>
      </w:pPr>
      <w:r>
        <w:t xml:space="preserve">6.17 Responding Person</w:t>
      </w:r>
    </w:p>
    <w:p>
      <w:pPr>
        <w:pStyle w:val="FirstParagraph"/>
      </w:pPr>
      <w:r>
        <w:t xml:space="preserve">A person whose conduct, access, eligibility, communication, or relationship is being reviewed in connection with a safeguarding concern. A Responding Person must not be labeled as an offender, abuser, dangerous person, or responsible party merely because a report or interim restriction exists.</w:t>
      </w:r>
    </w:p>
    <w:bookmarkEnd w:id="46"/>
    <w:bookmarkStart w:id="47" w:name="good-faith-report"/>
    <w:p>
      <w:pPr>
        <w:pStyle w:val="Heading3"/>
      </w:pPr>
      <w:r>
        <w:t xml:space="preserve">6.18 Good-Faith Report</w:t>
      </w:r>
    </w:p>
    <w:p>
      <w:pPr>
        <w:pStyle w:val="FirstParagraph"/>
      </w:pPr>
      <w:r>
        <w:t xml:space="preserve">A report made with an honest belief that the information may indicate a safeguarding concern, even if the concern is later unsubstantiated, mistaken, incomplete, or unable to be determined.</w:t>
      </w:r>
    </w:p>
    <w:bookmarkEnd w:id="47"/>
    <w:bookmarkStart w:id="48" w:name="knowingly-false-or-malicious-report"/>
    <w:p>
      <w:pPr>
        <w:pStyle w:val="Heading3"/>
      </w:pPr>
      <w:r>
        <w:t xml:space="preserve">6.19 Knowingly False or Malicious Report</w:t>
      </w:r>
    </w:p>
    <w:p>
      <w:pPr>
        <w:pStyle w:val="FirstParagraph"/>
      </w:pPr>
      <w:r>
        <w:t xml:space="preserve">A report shown through an authorized process to have been intentionally fabricated or knowingly submitted for an improper retaliatory or harmful purpose. A mistaken, unsupported, withdrawn, or unsubstantiated report is not, without additional evidence, a knowingly false or malicious report.</w:t>
      </w:r>
    </w:p>
    <w:bookmarkEnd w:id="48"/>
    <w:bookmarkStart w:id="49" w:name="external-reporting-duty"/>
    <w:p>
      <w:pPr>
        <w:pStyle w:val="Heading3"/>
      </w:pPr>
      <w:r>
        <w:t xml:space="preserve">6.20 External Reporting Duty</w:t>
      </w:r>
    </w:p>
    <w:p>
      <w:pPr>
        <w:pStyle w:val="FirstParagraph"/>
      </w:pPr>
      <w:r>
        <w:t xml:space="preserve">A legal, regulatory, governing-body, insurance, contractual, emergency, or professional duty requiring information or a concern to be reported outside EquineSync or outside the customer organization. An internal workflow must not delay, replace, narrow, or falsely represent satisfaction of an External Reporting Duty.</w:t>
      </w:r>
    </w:p>
    <w:bookmarkEnd w:id="49"/>
    <w:bookmarkStart w:id="50" w:name="mandated-reporter"/>
    <w:p>
      <w:pPr>
        <w:pStyle w:val="Heading3"/>
      </w:pPr>
      <w:r>
        <w:t xml:space="preserve">6.21 Mandated Reporter</w:t>
      </w:r>
    </w:p>
    <w:p>
      <w:pPr>
        <w:pStyle w:val="FirstParagraph"/>
      </w:pPr>
      <w:r>
        <w:t xml:space="preserve">A person or role that may have a legally or professionally imposed duty to report specified concerns to an external authority. EquineSync may record and support the workflow but does not independently determine whether a person is a Mandated Reporter or provide legal advice.</w:t>
      </w:r>
    </w:p>
    <w:bookmarkEnd w:id="50"/>
    <w:bookmarkStart w:id="51" w:name="safety-plan"/>
    <w:p>
      <w:pPr>
        <w:pStyle w:val="Heading3"/>
      </w:pPr>
      <w:r>
        <w:t xml:space="preserve">6.22 Safety Plan</w:t>
      </w:r>
    </w:p>
    <w:p>
      <w:pPr>
        <w:pStyle w:val="FirstParagraph"/>
      </w:pPr>
      <w:r>
        <w:t xml:space="preserve">A documented, minimum-necessary set of temporary or continuing measures designed to reduce identified risk while preserving participation, privacy, fairness, and review rights to the extent reasonably possible.</w:t>
      </w:r>
    </w:p>
    <w:bookmarkEnd w:id="51"/>
    <w:bookmarkStart w:id="52" w:name="conflict-of-interest"/>
    <w:p>
      <w:pPr>
        <w:pStyle w:val="Heading3"/>
      </w:pPr>
      <w:r>
        <w:t xml:space="preserve">6.23 Conflict of Interest</w:t>
      </w:r>
    </w:p>
    <w:p>
      <w:pPr>
        <w:pStyle w:val="FirstParagraph"/>
      </w:pPr>
      <w:r>
        <w:t xml:space="preserve">A personal, supervisory, financial, familial, organizational, legal, or other interest that could materially impair, or reasonably appear to impair, a person’s impartial handling of a safeguarding matter.</w:t>
      </w:r>
    </w:p>
    <w:bookmarkEnd w:id="52"/>
    <w:bookmarkEnd w:id="53"/>
    <w:bookmarkStart w:id="54" w:name="foundational-principles"/>
    <w:p>
      <w:pPr>
        <w:pStyle w:val="Heading2"/>
      </w:pPr>
      <w:r>
        <w:t xml:space="preserve">7. Foundational Principles</w:t>
      </w:r>
    </w:p>
    <w:p>
      <w:pPr>
        <w:pStyle w:val="Compact"/>
        <w:numPr>
          <w:ilvl w:val="0"/>
          <w:numId w:val="1007"/>
        </w:numPr>
      </w:pPr>
      <w:r>
        <w:rPr>
          <w:b/>
          <w:bCs/>
        </w:rPr>
        <w:t xml:space="preserve">Safety with dignity.</w:t>
      </w:r>
      <w:r>
        <w:t xml:space="preserve"> </w:t>
      </w:r>
      <w:r>
        <w:t xml:space="preserve">Protection must not unnecessarily erase autonomy, privacy, participation, or voice.</w:t>
      </w:r>
    </w:p>
    <w:p>
      <w:pPr>
        <w:pStyle w:val="Compact"/>
        <w:numPr>
          <w:ilvl w:val="0"/>
          <w:numId w:val="1007"/>
        </w:numPr>
      </w:pPr>
      <w:r>
        <w:rPr>
          <w:b/>
          <w:bCs/>
        </w:rPr>
        <w:t xml:space="preserve">Evidence before authority.</w:t>
      </w:r>
      <w:r>
        <w:t xml:space="preserve"> </w:t>
      </w:r>
      <w:r>
        <w:t xml:space="preserve">Guardian, adult eligibility, pickup, transportation, and safeguarding authority must be evidenced.</w:t>
      </w:r>
    </w:p>
    <w:p>
      <w:pPr>
        <w:pStyle w:val="Compact"/>
        <w:numPr>
          <w:ilvl w:val="0"/>
          <w:numId w:val="1007"/>
        </w:numPr>
      </w:pPr>
      <w:r>
        <w:rPr>
          <w:b/>
          <w:bCs/>
        </w:rPr>
        <w:t xml:space="preserve">Minor and guardian remain separate actors.</w:t>
      </w:r>
      <w:r>
        <w:t xml:space="preserve"> </w:t>
      </w:r>
      <w:r>
        <w:t xml:space="preserve">Shared credentials and impersonation are prohibited.</w:t>
      </w:r>
    </w:p>
    <w:p>
      <w:pPr>
        <w:pStyle w:val="Compact"/>
        <w:numPr>
          <w:ilvl w:val="0"/>
          <w:numId w:val="1007"/>
        </w:numPr>
      </w:pPr>
      <w:r>
        <w:rPr>
          <w:b/>
          <w:bCs/>
        </w:rPr>
        <w:t xml:space="preserve">Private by default.</w:t>
      </w:r>
      <w:r>
        <w:t xml:space="preserve"> </w:t>
      </w:r>
      <w:r>
        <w:t xml:space="preserve">Minor identity, location, schedules, communications, media, and participation data are not public by default.</w:t>
      </w:r>
    </w:p>
    <w:p>
      <w:pPr>
        <w:pStyle w:val="Compact"/>
        <w:numPr>
          <w:ilvl w:val="0"/>
          <w:numId w:val="1007"/>
        </w:numPr>
      </w:pPr>
      <w:r>
        <w:rPr>
          <w:b/>
          <w:bCs/>
        </w:rPr>
        <w:t xml:space="preserve">No one-to-one adult-minor electronic messaging.</w:t>
      </w:r>
      <w:r>
        <w:t xml:space="preserve"> </w:t>
      </w:r>
      <w:r>
        <w:t xml:space="preserve">Ordinary electronic communication requires a verified parent or guardian throughout the thread.</w:t>
      </w:r>
    </w:p>
    <w:p>
      <w:pPr>
        <w:pStyle w:val="Compact"/>
        <w:numPr>
          <w:ilvl w:val="0"/>
          <w:numId w:val="1007"/>
        </w:numPr>
      </w:pPr>
      <w:r>
        <w:rPr>
          <w:b/>
          <w:bCs/>
        </w:rPr>
        <w:t xml:space="preserve">Protected reporting remains available.</w:t>
      </w:r>
      <w:r>
        <w:t xml:space="preserve"> </w:t>
      </w:r>
      <w:r>
        <w:t xml:space="preserve">Safeguarding intake must not be defeated when a guardian or ordinary adult is implicated.</w:t>
      </w:r>
    </w:p>
    <w:p>
      <w:pPr>
        <w:pStyle w:val="Compact"/>
        <w:numPr>
          <w:ilvl w:val="0"/>
          <w:numId w:val="1007"/>
        </w:numPr>
      </w:pPr>
      <w:r>
        <w:rPr>
          <w:b/>
          <w:bCs/>
        </w:rPr>
        <w:t xml:space="preserve">Minimum necessary access.</w:t>
      </w:r>
      <w:r>
        <w:t xml:space="preserve"> </w:t>
      </w:r>
      <w:r>
        <w:t xml:space="preserve">Protected-participant data and safeguarding records must be exposed only to qualified actors for a valid purpose.</w:t>
      </w:r>
    </w:p>
    <w:p>
      <w:pPr>
        <w:pStyle w:val="Compact"/>
        <w:numPr>
          <w:ilvl w:val="0"/>
          <w:numId w:val="1007"/>
        </w:numPr>
      </w:pPr>
      <w:r>
        <w:rPr>
          <w:b/>
          <w:bCs/>
        </w:rPr>
        <w:t xml:space="preserve">Temporary protection is not final adjudication.</w:t>
      </w:r>
      <w:r>
        <w:t xml:space="preserve"> </w:t>
      </w:r>
      <w:r>
        <w:t xml:space="preserve">Interim restrictions reduce risk while preserving review rights.</w:t>
      </w:r>
    </w:p>
    <w:p>
      <w:pPr>
        <w:pStyle w:val="Compact"/>
        <w:numPr>
          <w:ilvl w:val="0"/>
          <w:numId w:val="1007"/>
        </w:numPr>
      </w:pPr>
      <w:r>
        <w:rPr>
          <w:b/>
          <w:bCs/>
        </w:rPr>
        <w:t xml:space="preserve">No retaliation.</w:t>
      </w:r>
      <w:r>
        <w:t xml:space="preserve"> </w:t>
      </w:r>
      <w:r>
        <w:t xml:space="preserve">Reporting, assisting, refusing optional exposure, or requesting review must not trigger retaliation.</w:t>
      </w:r>
    </w:p>
    <w:p>
      <w:pPr>
        <w:pStyle w:val="Compact"/>
        <w:numPr>
          <w:ilvl w:val="0"/>
          <w:numId w:val="1007"/>
        </w:numPr>
      </w:pPr>
      <w:r>
        <w:rPr>
          <w:b/>
          <w:bCs/>
        </w:rPr>
        <w:t xml:space="preserve">No silent override.</w:t>
      </w:r>
      <w:r>
        <w:t xml:space="preserve"> </w:t>
      </w:r>
      <w:r>
        <w:t xml:space="preserve">Administrators, integrations, plugins, AI, and support tools may not bypass constitutional safeguards.</w:t>
      </w:r>
    </w:p>
    <w:p>
      <w:pPr>
        <w:pStyle w:val="Compact"/>
        <w:numPr>
          <w:ilvl w:val="0"/>
          <w:numId w:val="1007"/>
        </w:numPr>
      </w:pPr>
      <w:r>
        <w:rPr>
          <w:b/>
          <w:bCs/>
        </w:rPr>
        <w:t xml:space="preserve">Jurisdiction aware, not jurisdiction invented.</w:t>
      </w:r>
      <w:r>
        <w:t xml:space="preserve"> </w:t>
      </w:r>
      <w:r>
        <w:t xml:space="preserve">Product configuration must support applicable rules without presenting EquineSync as legal counsel.</w:t>
      </w:r>
    </w:p>
    <w:p>
      <w:pPr>
        <w:pStyle w:val="Compact"/>
        <w:numPr>
          <w:ilvl w:val="0"/>
          <w:numId w:val="1007"/>
        </w:numPr>
      </w:pPr>
      <w:r>
        <w:rPr>
          <w:b/>
          <w:bCs/>
        </w:rPr>
        <w:t xml:space="preserve">Historical truth preserved.</w:t>
      </w:r>
      <w:r>
        <w:t xml:space="preserve"> </w:t>
      </w:r>
      <w:r>
        <w:t xml:space="preserve">Guardian changes, restrictions, corrections, and decisions must remain attributable and time-bound.</w:t>
      </w:r>
    </w:p>
    <w:p>
      <w:pPr>
        <w:pStyle w:val="Compact"/>
        <w:numPr>
          <w:ilvl w:val="0"/>
          <w:numId w:val="1007"/>
        </w:numPr>
      </w:pPr>
      <w:r>
        <w:rPr>
          <w:b/>
          <w:bCs/>
        </w:rPr>
        <w:t xml:space="preserve">External duties are not optional workflow steps.</w:t>
      </w:r>
      <w:r>
        <w:t xml:space="preserve"> </w:t>
      </w:r>
      <w:r>
        <w:t xml:space="preserve">Internal intake, review, or customer preference must not delay or replace an applicable emergency or external reporting duty.</w:t>
      </w:r>
    </w:p>
    <w:p>
      <w:pPr>
        <w:pStyle w:val="Compact"/>
        <w:numPr>
          <w:ilvl w:val="0"/>
          <w:numId w:val="1007"/>
        </w:numPr>
      </w:pPr>
      <w:r>
        <w:rPr>
          <w:b/>
          <w:bCs/>
        </w:rPr>
        <w:t xml:space="preserve">Good-faith reporting is protected.</w:t>
      </w:r>
      <w:r>
        <w:t xml:space="preserve"> </w:t>
      </w:r>
      <w:r>
        <w:t xml:space="preserve">A report does not become malicious merely because it is unsubstantiated, withdrawn, incomplete, or resolved without a finding.</w:t>
      </w:r>
    </w:p>
    <w:p>
      <w:pPr>
        <w:pStyle w:val="Compact"/>
        <w:numPr>
          <w:ilvl w:val="0"/>
          <w:numId w:val="1007"/>
        </w:numPr>
      </w:pPr>
      <w:r>
        <w:rPr>
          <w:b/>
          <w:bCs/>
        </w:rPr>
        <w:t xml:space="preserve">Conflicts require recusal and reassignment.</w:t>
      </w:r>
      <w:r>
        <w:t xml:space="preserve"> </w:t>
      </w:r>
      <w:r>
        <w:t xml:space="preserve">A person materially implicated in a matter may not control its intake, evidence, notice, restriction, review, or closure.</w:t>
      </w:r>
    </w:p>
    <w:p>
      <w:pPr>
        <w:pStyle w:val="Compact"/>
        <w:numPr>
          <w:ilvl w:val="0"/>
          <w:numId w:val="1007"/>
        </w:numPr>
      </w:pPr>
      <w:r>
        <w:rPr>
          <w:b/>
          <w:bCs/>
        </w:rPr>
        <w:t xml:space="preserve">Allegation, protection, finding, and eligibility remain distinct.</w:t>
      </w:r>
      <w:r>
        <w:t xml:space="preserve"> </w:t>
      </w:r>
      <w:r>
        <w:t xml:space="preserve">The platform must not collapse these states into a single accusation or reputation label.</w:t>
      </w:r>
    </w:p>
    <w:p>
      <w:pPr>
        <w:pStyle w:val="Compact"/>
        <w:numPr>
          <w:ilvl w:val="0"/>
          <w:numId w:val="1007"/>
        </w:numPr>
      </w:pPr>
      <w:r>
        <w:rPr>
          <w:b/>
          <w:bCs/>
        </w:rPr>
        <w:t xml:space="preserve">Protection must be effective across channels and derivatives.</w:t>
      </w:r>
      <w:r>
        <w:t xml:space="preserve"> </w:t>
      </w:r>
      <w:r>
        <w:t xml:space="preserve">A restriction is incomplete if messaging, search, files, schedules, exports, plugins, offline copies, or alternate accounts continue the prohibited exposure.</w:t>
      </w:r>
    </w:p>
    <w:bookmarkEnd w:id="54"/>
    <w:bookmarkEnd w:id="55"/>
    <w:bookmarkStart w:id="61" w:name="X9559bcc7005c3c0106f4d7525be4e756c149980"/>
    <w:p>
      <w:pPr>
        <w:pStyle w:val="Heading1"/>
      </w:pPr>
      <w:r>
        <w:t xml:space="preserve">Part III - Protected-Participant Status, Age, and Autonomy</w:t>
      </w:r>
    </w:p>
    <w:bookmarkStart w:id="56" w:name="jurisdiction-aware-age-model"/>
    <w:p>
      <w:pPr>
        <w:pStyle w:val="Heading2"/>
      </w:pPr>
      <w:r>
        <w:t xml:space="preserve">8. Jurisdiction-Aware Age Model</w:t>
      </w:r>
    </w:p>
    <w:p>
      <w:pPr>
        <w:pStyle w:val="FirstParagraph"/>
      </w:pPr>
      <w:r>
        <w:t xml:space="preserve">EquineSync shall support jurisdiction-aware age and capacity rules. In the absence of verified contrary authority, a person under 18 shall be treated as a minor.</w:t>
      </w:r>
    </w:p>
    <w:p>
      <w:pPr>
        <w:pStyle w:val="BodyText"/>
      </w:pPr>
      <w:r>
        <w:t xml:space="preserve">Age bands may support user experience and participation design, but age bands do not independently determine:</w:t>
      </w:r>
    </w:p>
    <w:p>
      <w:pPr>
        <w:pStyle w:val="Compact"/>
        <w:numPr>
          <w:ilvl w:val="0"/>
          <w:numId w:val="1008"/>
        </w:numPr>
      </w:pPr>
      <w:r>
        <w:t xml:space="preserve">legal capacity;</w:t>
      </w:r>
    </w:p>
    <w:p>
      <w:pPr>
        <w:pStyle w:val="Compact"/>
        <w:numPr>
          <w:ilvl w:val="0"/>
          <w:numId w:val="1008"/>
        </w:numPr>
      </w:pPr>
      <w:r>
        <w:t xml:space="preserve">guardian authority;</w:t>
      </w:r>
    </w:p>
    <w:p>
      <w:pPr>
        <w:pStyle w:val="Compact"/>
        <w:numPr>
          <w:ilvl w:val="0"/>
          <w:numId w:val="1008"/>
        </w:numPr>
      </w:pPr>
      <w:r>
        <w:t xml:space="preserve">consent validity;</w:t>
      </w:r>
    </w:p>
    <w:p>
      <w:pPr>
        <w:pStyle w:val="Compact"/>
        <w:numPr>
          <w:ilvl w:val="0"/>
          <w:numId w:val="1008"/>
        </w:numPr>
      </w:pPr>
      <w:r>
        <w:t xml:space="preserve">eligibility for high-risk tasks;</w:t>
      </w:r>
    </w:p>
    <w:p>
      <w:pPr>
        <w:pStyle w:val="Compact"/>
        <w:numPr>
          <w:ilvl w:val="0"/>
          <w:numId w:val="1008"/>
        </w:numPr>
      </w:pPr>
      <w:r>
        <w:t xml:space="preserve">transportation authority;</w:t>
      </w:r>
    </w:p>
    <w:p>
      <w:pPr>
        <w:pStyle w:val="Compact"/>
        <w:numPr>
          <w:ilvl w:val="0"/>
          <w:numId w:val="1008"/>
        </w:numPr>
      </w:pPr>
      <w:r>
        <w:t xml:space="preserve">access to confidential records;</w:t>
      </w:r>
    </w:p>
    <w:p>
      <w:pPr>
        <w:pStyle w:val="Compact"/>
        <w:numPr>
          <w:ilvl w:val="0"/>
          <w:numId w:val="1008"/>
        </w:numPr>
      </w:pPr>
      <w:r>
        <w:t xml:space="preserve">the right to refuse optional publicity;</w:t>
      </w:r>
    </w:p>
    <w:p>
      <w:pPr>
        <w:pStyle w:val="Compact"/>
        <w:numPr>
          <w:ilvl w:val="0"/>
          <w:numId w:val="1008"/>
        </w:numPr>
      </w:pPr>
      <w:r>
        <w:t xml:space="preserve">transition to adult control.</w:t>
      </w:r>
    </w:p>
    <w:p>
      <w:pPr>
        <w:pStyle w:val="FirstParagraph"/>
      </w:pPr>
      <w:r>
        <w:t xml:space="preserve">Age or legal status must be evaluated using current, reliable evidence. The platform must support correction of inaccurate dates of birth, jurisdiction changes, emancipation or comparable legal status where applicable, and age transitions without erasing the prior evidence or effective period.</w:t>
      </w:r>
    </w:p>
    <w:bookmarkEnd w:id="56"/>
    <w:bookmarkStart w:id="57" w:name="protected-participant-designation"/>
    <w:p>
      <w:pPr>
        <w:pStyle w:val="Heading2"/>
      </w:pPr>
      <w:r>
        <w:t xml:space="preserve">9. Protected-Participant Designation</w:t>
      </w:r>
    </w:p>
    <w:p>
      <w:pPr>
        <w:pStyle w:val="FirstParagraph"/>
      </w:pPr>
      <w:r>
        <w:t xml:space="preserve">A protected-participant designation must record:</w:t>
      </w:r>
    </w:p>
    <w:p>
      <w:pPr>
        <w:pStyle w:val="Compact"/>
        <w:numPr>
          <w:ilvl w:val="0"/>
          <w:numId w:val="1009"/>
        </w:numPr>
      </w:pPr>
      <w:r>
        <w:t xml:space="preserve">the protected person;</w:t>
      </w:r>
    </w:p>
    <w:p>
      <w:pPr>
        <w:pStyle w:val="Compact"/>
        <w:numPr>
          <w:ilvl w:val="0"/>
          <w:numId w:val="1009"/>
        </w:numPr>
      </w:pPr>
      <w:r>
        <w:t xml:space="preserve">the basis for heightened protection;</w:t>
      </w:r>
    </w:p>
    <w:p>
      <w:pPr>
        <w:pStyle w:val="Compact"/>
        <w:numPr>
          <w:ilvl w:val="0"/>
          <w:numId w:val="1009"/>
        </w:numPr>
      </w:pPr>
      <w:r>
        <w:t xml:space="preserve">the assigning authority;</w:t>
      </w:r>
    </w:p>
    <w:p>
      <w:pPr>
        <w:pStyle w:val="Compact"/>
        <w:numPr>
          <w:ilvl w:val="0"/>
          <w:numId w:val="1009"/>
        </w:numPr>
      </w:pPr>
      <w:r>
        <w:t xml:space="preserve">the scope of protection;</w:t>
      </w:r>
    </w:p>
    <w:p>
      <w:pPr>
        <w:pStyle w:val="Compact"/>
        <w:numPr>
          <w:ilvl w:val="0"/>
          <w:numId w:val="1009"/>
        </w:numPr>
      </w:pPr>
      <w:r>
        <w:t xml:space="preserve">effective and review dates;</w:t>
      </w:r>
    </w:p>
    <w:p>
      <w:pPr>
        <w:pStyle w:val="Compact"/>
        <w:numPr>
          <w:ilvl w:val="0"/>
          <w:numId w:val="1009"/>
        </w:numPr>
      </w:pPr>
      <w:r>
        <w:t xml:space="preserve">affected permissions and communication rules;</w:t>
      </w:r>
    </w:p>
    <w:p>
      <w:pPr>
        <w:pStyle w:val="Compact"/>
        <w:numPr>
          <w:ilvl w:val="0"/>
          <w:numId w:val="1009"/>
        </w:numPr>
      </w:pPr>
      <w:r>
        <w:t xml:space="preserve">disclosure restrictions;</w:t>
      </w:r>
    </w:p>
    <w:p>
      <w:pPr>
        <w:pStyle w:val="Compact"/>
        <w:numPr>
          <w:ilvl w:val="0"/>
          <w:numId w:val="1009"/>
        </w:numPr>
      </w:pPr>
      <w:r>
        <w:t xml:space="preserve">challenge and correction pathways.</w:t>
      </w:r>
    </w:p>
    <w:p>
      <w:pPr>
        <w:pStyle w:val="FirstParagraph"/>
      </w:pPr>
      <w:r>
        <w:t xml:space="preserve">A temporary designation may be imposed when credible risk exists, but it must be reviewed promptly and may not be used as an indefinite substitute for a final determination.</w:t>
      </w:r>
    </w:p>
    <w:bookmarkEnd w:id="57"/>
    <w:bookmarkStart w:id="58" w:name="autonomy-and-supported-participation"/>
    <w:p>
      <w:pPr>
        <w:pStyle w:val="Heading2"/>
      </w:pPr>
      <w:r>
        <w:t xml:space="preserve">10. Autonomy and Supported Participation</w:t>
      </w:r>
    </w:p>
    <w:p>
      <w:pPr>
        <w:pStyle w:val="FirstParagraph"/>
      </w:pPr>
      <w:r>
        <w:t xml:space="preserve">Protection must be tailored to the actual decision and risk. An adult protected participant must not lose independent authority solely because a guardian, conservator, supporter, diagnosis, disability, or protective designation exists.</w:t>
      </w:r>
    </w:p>
    <w:p>
      <w:pPr>
        <w:pStyle w:val="BodyText"/>
      </w:pPr>
      <w:r>
        <w:t xml:space="preserve">The system must support:</w:t>
      </w:r>
    </w:p>
    <w:p>
      <w:pPr>
        <w:pStyle w:val="Compact"/>
        <w:numPr>
          <w:ilvl w:val="0"/>
          <w:numId w:val="1010"/>
        </w:numPr>
      </w:pPr>
      <w:r>
        <w:t xml:space="preserve">independent decisions within retained capacity;</w:t>
      </w:r>
    </w:p>
    <w:p>
      <w:pPr>
        <w:pStyle w:val="Compact"/>
        <w:numPr>
          <w:ilvl w:val="0"/>
          <w:numId w:val="1010"/>
        </w:numPr>
      </w:pPr>
      <w:r>
        <w:t xml:space="preserve">supported decision-making;</w:t>
      </w:r>
    </w:p>
    <w:p>
      <w:pPr>
        <w:pStyle w:val="Compact"/>
        <w:numPr>
          <w:ilvl w:val="0"/>
          <w:numId w:val="1010"/>
        </w:numPr>
      </w:pPr>
      <w:r>
        <w:t xml:space="preserve">different authority scopes for different matters;</w:t>
      </w:r>
    </w:p>
    <w:p>
      <w:pPr>
        <w:pStyle w:val="Compact"/>
        <w:numPr>
          <w:ilvl w:val="0"/>
          <w:numId w:val="1010"/>
        </w:numPr>
      </w:pPr>
      <w:r>
        <w:t xml:space="preserve">participant access to their own non-restricted information;</w:t>
      </w:r>
    </w:p>
    <w:p>
      <w:pPr>
        <w:pStyle w:val="Compact"/>
        <w:numPr>
          <w:ilvl w:val="0"/>
          <w:numId w:val="1010"/>
        </w:numPr>
      </w:pPr>
      <w:r>
        <w:t xml:space="preserve">documented limitations;</w:t>
      </w:r>
    </w:p>
    <w:p>
      <w:pPr>
        <w:pStyle w:val="Compact"/>
        <w:numPr>
          <w:ilvl w:val="0"/>
          <w:numId w:val="1010"/>
        </w:numPr>
      </w:pPr>
      <w:r>
        <w:t xml:space="preserve">restoration or expansion of autonomy;</w:t>
      </w:r>
    </w:p>
    <w:p>
      <w:pPr>
        <w:pStyle w:val="Compact"/>
        <w:numPr>
          <w:ilvl w:val="0"/>
          <w:numId w:val="1010"/>
        </w:numPr>
      </w:pPr>
      <w:r>
        <w:t xml:space="preserve">review of outdated restrictions;</w:t>
      </w:r>
    </w:p>
    <w:p>
      <w:pPr>
        <w:pStyle w:val="Compact"/>
        <w:numPr>
          <w:ilvl w:val="0"/>
          <w:numId w:val="1010"/>
        </w:numPr>
      </w:pPr>
      <w:r>
        <w:t xml:space="preserve">communication, language, disability, and accessibility accommodations that support meaningful participation without silently transferring decision authority;</w:t>
      </w:r>
    </w:p>
    <w:p>
      <w:pPr>
        <w:pStyle w:val="Compact"/>
        <w:numPr>
          <w:ilvl w:val="0"/>
          <w:numId w:val="1010"/>
        </w:numPr>
      </w:pPr>
      <w:r>
        <w:t xml:space="preserve">separate treatment of an adult protected participant, for whom guardian or supporter inclusion must be based on verified authority rather than minor status.</w:t>
      </w:r>
    </w:p>
    <w:bookmarkEnd w:id="58"/>
    <w:bookmarkStart w:id="59" w:name="assent-1"/>
    <w:p>
      <w:pPr>
        <w:pStyle w:val="Heading2"/>
      </w:pPr>
      <w:r>
        <w:t xml:space="preserve">11. Assent</w:t>
      </w:r>
    </w:p>
    <w:p>
      <w:pPr>
        <w:pStyle w:val="FirstParagraph"/>
      </w:pPr>
      <w:r>
        <w:t xml:space="preserve">Age-appropriate assent should be collected for material participation decisions when practicable, including:</w:t>
      </w:r>
    </w:p>
    <w:p>
      <w:pPr>
        <w:pStyle w:val="Compact"/>
        <w:numPr>
          <w:ilvl w:val="0"/>
          <w:numId w:val="1011"/>
        </w:numPr>
      </w:pPr>
      <w:r>
        <w:t xml:space="preserve">optional public profiles;</w:t>
      </w:r>
    </w:p>
    <w:p>
      <w:pPr>
        <w:pStyle w:val="Compact"/>
        <w:numPr>
          <w:ilvl w:val="0"/>
          <w:numId w:val="1011"/>
        </w:numPr>
      </w:pPr>
      <w:r>
        <w:t xml:space="preserve">promotional photographs, video, audio, or testimonials;</w:t>
      </w:r>
    </w:p>
    <w:p>
      <w:pPr>
        <w:pStyle w:val="Compact"/>
        <w:numPr>
          <w:ilvl w:val="0"/>
          <w:numId w:val="1011"/>
        </w:numPr>
      </w:pPr>
      <w:r>
        <w:t xml:space="preserve">optional research;</w:t>
      </w:r>
    </w:p>
    <w:p>
      <w:pPr>
        <w:pStyle w:val="Compact"/>
        <w:numPr>
          <w:ilvl w:val="0"/>
          <w:numId w:val="1011"/>
        </w:numPr>
      </w:pPr>
      <w:r>
        <w:t xml:space="preserve">optional AI personalization;</w:t>
      </w:r>
    </w:p>
    <w:p>
      <w:pPr>
        <w:pStyle w:val="Compact"/>
        <w:numPr>
          <w:ilvl w:val="0"/>
          <w:numId w:val="1011"/>
        </w:numPr>
      </w:pPr>
      <w:r>
        <w:t xml:space="preserve">optional community or social participation;</w:t>
      </w:r>
    </w:p>
    <w:p>
      <w:pPr>
        <w:pStyle w:val="Compact"/>
        <w:numPr>
          <w:ilvl w:val="0"/>
          <w:numId w:val="1011"/>
        </w:numPr>
      </w:pPr>
      <w:r>
        <w:t xml:space="preserve">nonessential direct notifications;</w:t>
      </w:r>
    </w:p>
    <w:p>
      <w:pPr>
        <w:pStyle w:val="Compact"/>
        <w:numPr>
          <w:ilvl w:val="0"/>
          <w:numId w:val="1011"/>
        </w:numPr>
      </w:pPr>
      <w:r>
        <w:t xml:space="preserve">optional off-site events;</w:t>
      </w:r>
    </w:p>
    <w:p>
      <w:pPr>
        <w:pStyle w:val="Compact"/>
        <w:numPr>
          <w:ilvl w:val="0"/>
          <w:numId w:val="1011"/>
        </w:numPr>
      </w:pPr>
      <w:r>
        <w:t xml:space="preserve">optional sharing beyond the immediate care or instructional purpose.</w:t>
      </w:r>
    </w:p>
    <w:p>
      <w:pPr>
        <w:pStyle w:val="FirstParagraph"/>
      </w:pPr>
      <w:r>
        <w:t xml:space="preserve">Assent records must identify the information presented, method, date, participant response, guardian authorization where applicable, and withdrawal status.</w:t>
      </w:r>
    </w:p>
    <w:bookmarkEnd w:id="59"/>
    <w:bookmarkStart w:id="60" w:name="protected-refusal-1"/>
    <w:p>
      <w:pPr>
        <w:pStyle w:val="Heading2"/>
      </w:pPr>
      <w:r>
        <w:t xml:space="preserve">12. Protected Refusal</w:t>
      </w:r>
    </w:p>
    <w:p>
      <w:pPr>
        <w:pStyle w:val="FirstParagraph"/>
      </w:pPr>
      <w:r>
        <w:t xml:space="preserve">A capable minor’s or protected participant’s refusal shall control for optional exposure or participation where no documented safety, legal, emergency, contractual necessity, or essential-care basis requires otherwise.</w:t>
      </w:r>
    </w:p>
    <w:p>
      <w:pPr>
        <w:pStyle w:val="BodyText"/>
      </w:pPr>
      <w:r>
        <w:t xml:space="preserve">No guardian, trainer, organization, administrator, or system shall compel optional publicity or nonessential exposure merely because guardian authorization exists.</w:t>
      </w:r>
    </w:p>
    <w:p>
      <w:pPr>
        <w:pStyle w:val="BodyText"/>
      </w:pPr>
      <w:r>
        <w:t xml:space="preserve">Protected refusal must not affect access to ordinary services, fair treatment, horse care, lessons, billing, safety reporting, or challenge rights.</w:t>
      </w:r>
    </w:p>
    <w:bookmarkEnd w:id="60"/>
    <w:bookmarkEnd w:id="61"/>
    <w:bookmarkStart w:id="71" w:name="Xc4b80ea611f5e5df7c3b7040baf59b4557bbe90"/>
    <w:p>
      <w:pPr>
        <w:pStyle w:val="Heading1"/>
      </w:pPr>
      <w:r>
        <w:t xml:space="preserve">Part IV - Guardian Identity, Authority, and Conflict</w:t>
      </w:r>
    </w:p>
    <w:bookmarkStart w:id="62" w:name="guardian-authority-must-be-verified"/>
    <w:p>
      <w:pPr>
        <w:pStyle w:val="Heading2"/>
      </w:pPr>
      <w:r>
        <w:t xml:space="preserve">13. Guardian Authority Must Be Verified</w:t>
      </w:r>
    </w:p>
    <w:p>
      <w:pPr>
        <w:pStyle w:val="FirstParagraph"/>
      </w:pPr>
      <w:r>
        <w:t xml:space="preserve">Guardian authority must be based on appropriate evidence and may not be inferred from:</w:t>
      </w:r>
    </w:p>
    <w:p>
      <w:pPr>
        <w:pStyle w:val="Compact"/>
        <w:numPr>
          <w:ilvl w:val="0"/>
          <w:numId w:val="1012"/>
        </w:numPr>
      </w:pPr>
      <w:r>
        <w:t xml:space="preserve">surname;</w:t>
      </w:r>
    </w:p>
    <w:p>
      <w:pPr>
        <w:pStyle w:val="Compact"/>
        <w:numPr>
          <w:ilvl w:val="0"/>
          <w:numId w:val="1012"/>
        </w:numPr>
      </w:pPr>
      <w:r>
        <w:t xml:space="preserve">household address;</w:t>
      </w:r>
    </w:p>
    <w:p>
      <w:pPr>
        <w:pStyle w:val="Compact"/>
        <w:numPr>
          <w:ilvl w:val="0"/>
          <w:numId w:val="1012"/>
        </w:numPr>
      </w:pPr>
      <w:r>
        <w:t xml:space="preserve">payment history;</w:t>
      </w:r>
    </w:p>
    <w:p>
      <w:pPr>
        <w:pStyle w:val="Compact"/>
        <w:numPr>
          <w:ilvl w:val="0"/>
          <w:numId w:val="1012"/>
        </w:numPr>
      </w:pPr>
      <w:r>
        <w:t xml:space="preserve">emergency contact status;</w:t>
      </w:r>
    </w:p>
    <w:p>
      <w:pPr>
        <w:pStyle w:val="Compact"/>
        <w:numPr>
          <w:ilvl w:val="0"/>
          <w:numId w:val="1012"/>
        </w:numPr>
      </w:pPr>
      <w:r>
        <w:t xml:space="preserve">account creation;</w:t>
      </w:r>
    </w:p>
    <w:p>
      <w:pPr>
        <w:pStyle w:val="Compact"/>
        <w:numPr>
          <w:ilvl w:val="0"/>
          <w:numId w:val="1012"/>
        </w:numPr>
      </w:pPr>
      <w:r>
        <w:t xml:space="preserve">verbal representation alone where higher evidence is required;</w:t>
      </w:r>
    </w:p>
    <w:p>
      <w:pPr>
        <w:pStyle w:val="Compact"/>
        <w:numPr>
          <w:ilvl w:val="0"/>
          <w:numId w:val="1012"/>
        </w:numPr>
      </w:pPr>
      <w:r>
        <w:t xml:space="preserve">possession of a device or email account;</w:t>
      </w:r>
    </w:p>
    <w:p>
      <w:pPr>
        <w:pStyle w:val="Compact"/>
        <w:numPr>
          <w:ilvl w:val="0"/>
          <w:numId w:val="1012"/>
        </w:numPr>
      </w:pPr>
      <w:r>
        <w:t xml:space="preserve">prior message participation;</w:t>
      </w:r>
    </w:p>
    <w:p>
      <w:pPr>
        <w:pStyle w:val="Compact"/>
        <w:numPr>
          <w:ilvl w:val="0"/>
          <w:numId w:val="1012"/>
        </w:numPr>
      </w:pPr>
      <w:r>
        <w:t xml:space="preserve">facility or trainer preference.</w:t>
      </w:r>
    </w:p>
    <w:bookmarkEnd w:id="62"/>
    <w:bookmarkStart w:id="63" w:name="guardian-authority-dimensions"/>
    <w:p>
      <w:pPr>
        <w:pStyle w:val="Heading2"/>
      </w:pPr>
      <w:r>
        <w:t xml:space="preserve">14. Guardian Authority Dimensions</w:t>
      </w:r>
    </w:p>
    <w:p>
      <w:pPr>
        <w:pStyle w:val="FirstParagraph"/>
      </w:pPr>
      <w:r>
        <w:t xml:space="preserve">The Guardian Authority Record must support separate authority dimensions, including:</w:t>
      </w:r>
    </w:p>
    <w:p>
      <w:pPr>
        <w:pStyle w:val="Compact"/>
        <w:numPr>
          <w:ilvl w:val="0"/>
          <w:numId w:val="1013"/>
        </w:numPr>
      </w:pPr>
      <w:r>
        <w:t xml:space="preserve">account and identity support;</w:t>
      </w:r>
    </w:p>
    <w:p>
      <w:pPr>
        <w:pStyle w:val="Compact"/>
        <w:numPr>
          <w:ilvl w:val="0"/>
          <w:numId w:val="1013"/>
        </w:numPr>
      </w:pPr>
      <w:r>
        <w:t xml:space="preserve">participation authorization;</w:t>
      </w:r>
    </w:p>
    <w:p>
      <w:pPr>
        <w:pStyle w:val="Compact"/>
        <w:numPr>
          <w:ilvl w:val="0"/>
          <w:numId w:val="1013"/>
        </w:numPr>
      </w:pPr>
      <w:r>
        <w:t xml:space="preserve">agreement execution;</w:t>
      </w:r>
    </w:p>
    <w:p>
      <w:pPr>
        <w:pStyle w:val="Compact"/>
        <w:numPr>
          <w:ilvl w:val="0"/>
          <w:numId w:val="1013"/>
        </w:numPr>
      </w:pPr>
      <w:r>
        <w:t xml:space="preserve">medical or emergency authorization where applicable;</w:t>
      </w:r>
    </w:p>
    <w:p>
      <w:pPr>
        <w:pStyle w:val="Compact"/>
        <w:numPr>
          <w:ilvl w:val="0"/>
          <w:numId w:val="1013"/>
        </w:numPr>
      </w:pPr>
      <w:r>
        <w:t xml:space="preserve">communication participation;</w:t>
      </w:r>
    </w:p>
    <w:p>
      <w:pPr>
        <w:pStyle w:val="Compact"/>
        <w:numPr>
          <w:ilvl w:val="0"/>
          <w:numId w:val="1013"/>
        </w:numPr>
      </w:pPr>
      <w:r>
        <w:t xml:space="preserve">pickup and release;</w:t>
      </w:r>
    </w:p>
    <w:p>
      <w:pPr>
        <w:pStyle w:val="Compact"/>
        <w:numPr>
          <w:ilvl w:val="0"/>
          <w:numId w:val="1013"/>
        </w:numPr>
      </w:pPr>
      <w:r>
        <w:t xml:space="preserve">transportation authorization;</w:t>
      </w:r>
    </w:p>
    <w:p>
      <w:pPr>
        <w:pStyle w:val="Compact"/>
        <w:numPr>
          <w:ilvl w:val="0"/>
          <w:numId w:val="1013"/>
        </w:numPr>
      </w:pPr>
      <w:r>
        <w:t xml:space="preserve">media and publicity authorization;</w:t>
      </w:r>
    </w:p>
    <w:p>
      <w:pPr>
        <w:pStyle w:val="Compact"/>
        <w:numPr>
          <w:ilvl w:val="0"/>
          <w:numId w:val="1013"/>
        </w:numPr>
      </w:pPr>
      <w:r>
        <w:t xml:space="preserve">privacy rights representation;</w:t>
      </w:r>
    </w:p>
    <w:p>
      <w:pPr>
        <w:pStyle w:val="Compact"/>
        <w:numPr>
          <w:ilvl w:val="0"/>
          <w:numId w:val="1013"/>
        </w:numPr>
      </w:pPr>
      <w:r>
        <w:t xml:space="preserve">access to records;</w:t>
      </w:r>
    </w:p>
    <w:p>
      <w:pPr>
        <w:pStyle w:val="Compact"/>
        <w:numPr>
          <w:ilvl w:val="0"/>
          <w:numId w:val="1013"/>
        </w:numPr>
      </w:pPr>
      <w:r>
        <w:t xml:space="preserve">billing responsibility;</w:t>
      </w:r>
    </w:p>
    <w:p>
      <w:pPr>
        <w:pStyle w:val="Compact"/>
        <w:numPr>
          <w:ilvl w:val="0"/>
          <w:numId w:val="1013"/>
        </w:numPr>
      </w:pPr>
      <w:r>
        <w:t xml:space="preserve">dispute or challenge authority.</w:t>
      </w:r>
    </w:p>
    <w:p>
      <w:pPr>
        <w:pStyle w:val="FirstParagraph"/>
      </w:pPr>
      <w:r>
        <w:t xml:space="preserve">No single guardian flag may imply all dimensions.</w:t>
      </w:r>
    </w:p>
    <w:bookmarkEnd w:id="63"/>
    <w:bookmarkStart w:id="64" w:name="multiple-guardians"/>
    <w:p>
      <w:pPr>
        <w:pStyle w:val="Heading2"/>
      </w:pPr>
      <w:r>
        <w:t xml:space="preserve">15. Multiple Guardians</w:t>
      </w:r>
    </w:p>
    <w:p>
      <w:pPr>
        <w:pStyle w:val="FirstParagraph"/>
      </w:pPr>
      <w:r>
        <w:t xml:space="preserve">EquineSync shall support multiple guardians with different or overlapping scopes.</w:t>
      </w:r>
    </w:p>
    <w:p>
      <w:pPr>
        <w:pStyle w:val="BodyText"/>
      </w:pPr>
      <w:r>
        <w:t xml:space="preserve">The system must preserve:</w:t>
      </w:r>
    </w:p>
    <w:p>
      <w:pPr>
        <w:pStyle w:val="Compact"/>
        <w:numPr>
          <w:ilvl w:val="0"/>
          <w:numId w:val="1014"/>
        </w:numPr>
      </w:pPr>
      <w:r>
        <w:t xml:space="preserve">each guardian’s independent identity;</w:t>
      </w:r>
    </w:p>
    <w:p>
      <w:pPr>
        <w:pStyle w:val="Compact"/>
        <w:numPr>
          <w:ilvl w:val="0"/>
          <w:numId w:val="1014"/>
        </w:numPr>
      </w:pPr>
      <w:r>
        <w:t xml:space="preserve">authority basis;</w:t>
      </w:r>
    </w:p>
    <w:p>
      <w:pPr>
        <w:pStyle w:val="Compact"/>
        <w:numPr>
          <w:ilvl w:val="0"/>
          <w:numId w:val="1014"/>
        </w:numPr>
      </w:pPr>
      <w:r>
        <w:t xml:space="preserve">notice rights;</w:t>
      </w:r>
    </w:p>
    <w:p>
      <w:pPr>
        <w:pStyle w:val="Compact"/>
        <w:numPr>
          <w:ilvl w:val="0"/>
          <w:numId w:val="1014"/>
        </w:numPr>
      </w:pPr>
      <w:r>
        <w:t xml:space="preserve">communication inclusion rights;</w:t>
      </w:r>
    </w:p>
    <w:p>
      <w:pPr>
        <w:pStyle w:val="Compact"/>
        <w:numPr>
          <w:ilvl w:val="0"/>
          <w:numId w:val="1014"/>
        </w:numPr>
      </w:pPr>
      <w:r>
        <w:t xml:space="preserve">restrictions;</w:t>
      </w:r>
    </w:p>
    <w:p>
      <w:pPr>
        <w:pStyle w:val="Compact"/>
        <w:numPr>
          <w:ilvl w:val="0"/>
          <w:numId w:val="1014"/>
        </w:numPr>
      </w:pPr>
      <w:r>
        <w:t xml:space="preserve">effective dates;</w:t>
      </w:r>
    </w:p>
    <w:p>
      <w:pPr>
        <w:pStyle w:val="Compact"/>
        <w:numPr>
          <w:ilvl w:val="0"/>
          <w:numId w:val="1014"/>
        </w:numPr>
      </w:pPr>
      <w:r>
        <w:t xml:space="preserve">court or legal limitations;</w:t>
      </w:r>
    </w:p>
    <w:p>
      <w:pPr>
        <w:pStyle w:val="Compact"/>
        <w:numPr>
          <w:ilvl w:val="0"/>
          <w:numId w:val="1014"/>
        </w:numPr>
      </w:pPr>
      <w:r>
        <w:t xml:space="preserve">conflicts and resolutions.</w:t>
      </w:r>
    </w:p>
    <w:bookmarkEnd w:id="64"/>
    <w:bookmarkStart w:id="65" w:name="conflicting-guardians"/>
    <w:p>
      <w:pPr>
        <w:pStyle w:val="Heading2"/>
      </w:pPr>
      <w:r>
        <w:t xml:space="preserve">16. Conflicting Guardians</w:t>
      </w:r>
    </w:p>
    <w:p>
      <w:pPr>
        <w:pStyle w:val="FirstParagraph"/>
      </w:pPr>
      <w:r>
        <w:t xml:space="preserve">When valid guardians provide conflicting instructions:</w:t>
      </w:r>
    </w:p>
    <w:p>
      <w:pPr>
        <w:pStyle w:val="Compact"/>
        <w:numPr>
          <w:ilvl w:val="0"/>
          <w:numId w:val="1015"/>
        </w:numPr>
      </w:pPr>
      <w:r>
        <w:t xml:space="preserve">the platform shall preserve both instructions and supporting evidence;</w:t>
      </w:r>
    </w:p>
    <w:p>
      <w:pPr>
        <w:pStyle w:val="Compact"/>
        <w:numPr>
          <w:ilvl w:val="0"/>
          <w:numId w:val="1015"/>
        </w:numPr>
      </w:pPr>
      <w:r>
        <w:t xml:space="preserve">disputed consequential action shall pause unless immediate safety requires action;</w:t>
      </w:r>
    </w:p>
    <w:p>
      <w:pPr>
        <w:pStyle w:val="Compact"/>
        <w:numPr>
          <w:ilvl w:val="0"/>
          <w:numId w:val="1015"/>
        </w:numPr>
      </w:pPr>
      <w:r>
        <w:t xml:space="preserve">ordinary safety and essential services shall continue;</w:t>
      </w:r>
    </w:p>
    <w:p>
      <w:pPr>
        <w:pStyle w:val="Compact"/>
        <w:numPr>
          <w:ilvl w:val="0"/>
          <w:numId w:val="1015"/>
        </w:numPr>
      </w:pPr>
      <w:r>
        <w:t xml:space="preserve">the platform shall not choose the first responder, payer, account controller, or most senior tenant role;</w:t>
      </w:r>
    </w:p>
    <w:p>
      <w:pPr>
        <w:pStyle w:val="Compact"/>
        <w:numPr>
          <w:ilvl w:val="0"/>
          <w:numId w:val="1015"/>
        </w:numPr>
      </w:pPr>
      <w:r>
        <w:t xml:space="preserve">qualified review shall determine the valid scope and interim posture;</w:t>
      </w:r>
    </w:p>
    <w:p>
      <w:pPr>
        <w:pStyle w:val="Compact"/>
        <w:numPr>
          <w:ilvl w:val="0"/>
          <w:numId w:val="1015"/>
        </w:numPr>
      </w:pPr>
      <w:r>
        <w:t xml:space="preserve">affected communications, pickup, media, transportation, and consent must be restricted as needed;</w:t>
      </w:r>
    </w:p>
    <w:p>
      <w:pPr>
        <w:pStyle w:val="Compact"/>
        <w:numPr>
          <w:ilvl w:val="0"/>
          <w:numId w:val="1015"/>
        </w:numPr>
      </w:pPr>
      <w:r>
        <w:t xml:space="preserve">the conflict and outcome must be auditable.</w:t>
      </w:r>
    </w:p>
    <w:bookmarkEnd w:id="65"/>
    <w:bookmarkStart w:id="66" w:name="guardian-restrictions-and-exclusions"/>
    <w:p>
      <w:pPr>
        <w:pStyle w:val="Heading2"/>
      </w:pPr>
      <w:r>
        <w:t xml:space="preserve">17. Guardian Restrictions and Exclusions</w:t>
      </w:r>
    </w:p>
    <w:p>
      <w:pPr>
        <w:pStyle w:val="FirstParagraph"/>
      </w:pPr>
      <w:r>
        <w:t xml:space="preserve">A guardian may be restricted from receiving specific information or participating in a specific workflow where:</w:t>
      </w:r>
    </w:p>
    <w:p>
      <w:pPr>
        <w:pStyle w:val="Compact"/>
        <w:numPr>
          <w:ilvl w:val="0"/>
          <w:numId w:val="1016"/>
        </w:numPr>
      </w:pPr>
      <w:r>
        <w:t xml:space="preserve">the guardian is the subject of a safeguarding concern;</w:t>
      </w:r>
    </w:p>
    <w:p>
      <w:pPr>
        <w:pStyle w:val="Compact"/>
        <w:numPr>
          <w:ilvl w:val="0"/>
          <w:numId w:val="1016"/>
        </w:numPr>
      </w:pPr>
      <w:r>
        <w:t xml:space="preserve">disclosure could increase danger or retaliation;</w:t>
      </w:r>
    </w:p>
    <w:p>
      <w:pPr>
        <w:pStyle w:val="Compact"/>
        <w:numPr>
          <w:ilvl w:val="0"/>
          <w:numId w:val="1016"/>
        </w:numPr>
      </w:pPr>
      <w:r>
        <w:t xml:space="preserve">a court order or legal restriction applies;</w:t>
      </w:r>
    </w:p>
    <w:p>
      <w:pPr>
        <w:pStyle w:val="Compact"/>
        <w:numPr>
          <w:ilvl w:val="0"/>
          <w:numId w:val="1016"/>
        </w:numPr>
      </w:pPr>
      <w:r>
        <w:t xml:space="preserve">disclosure would expose another person’s protected information;</w:t>
      </w:r>
    </w:p>
    <w:p>
      <w:pPr>
        <w:pStyle w:val="Compact"/>
        <w:numPr>
          <w:ilvl w:val="0"/>
          <w:numId w:val="1016"/>
        </w:numPr>
      </w:pPr>
      <w:r>
        <w:t xml:space="preserve">disclosure would compromise an investigation;</w:t>
      </w:r>
    </w:p>
    <w:p>
      <w:pPr>
        <w:pStyle w:val="Compact"/>
        <w:numPr>
          <w:ilvl w:val="0"/>
          <w:numId w:val="1016"/>
        </w:numPr>
      </w:pPr>
      <w:r>
        <w:t xml:space="preserve">a qualified safeguarding authority documents that immediate inclusion is unsafe.</w:t>
      </w:r>
    </w:p>
    <w:p>
      <w:pPr>
        <w:pStyle w:val="FirstParagraph"/>
      </w:pPr>
      <w:r>
        <w:t xml:space="preserve">Restrictions must be matter-specific, time-bound where practicable, and reviewable. They do not erase guardian status outside the restricted scope.</w:t>
      </w:r>
    </w:p>
    <w:bookmarkEnd w:id="66"/>
    <w:bookmarkStart w:id="70" w:name="guardian-authority-expiration-and-change"/>
    <w:p>
      <w:pPr>
        <w:pStyle w:val="Heading2"/>
      </w:pPr>
      <w:r>
        <w:t xml:space="preserve">18. Guardian Authority Expiration and Change</w:t>
      </w:r>
    </w:p>
    <w:p>
      <w:pPr>
        <w:pStyle w:val="FirstParagraph"/>
      </w:pPr>
      <w:r>
        <w:t xml:space="preserve">Guardian authority must be reassessed when:</w:t>
      </w:r>
    </w:p>
    <w:p>
      <w:pPr>
        <w:pStyle w:val="Compact"/>
        <w:numPr>
          <w:ilvl w:val="0"/>
          <w:numId w:val="1017"/>
        </w:numPr>
      </w:pPr>
      <w:r>
        <w:t xml:space="preserve">the participant reaches legal adulthood;</w:t>
      </w:r>
    </w:p>
    <w:p>
      <w:pPr>
        <w:pStyle w:val="Compact"/>
        <w:numPr>
          <w:ilvl w:val="0"/>
          <w:numId w:val="1017"/>
        </w:numPr>
      </w:pPr>
      <w:r>
        <w:t xml:space="preserve">a court order changes;</w:t>
      </w:r>
    </w:p>
    <w:p>
      <w:pPr>
        <w:pStyle w:val="Compact"/>
        <w:numPr>
          <w:ilvl w:val="0"/>
          <w:numId w:val="1017"/>
        </w:numPr>
      </w:pPr>
      <w:r>
        <w:t xml:space="preserve">guardianship or conservatorship begins or ends;</w:t>
      </w:r>
    </w:p>
    <w:p>
      <w:pPr>
        <w:pStyle w:val="Compact"/>
        <w:numPr>
          <w:ilvl w:val="0"/>
          <w:numId w:val="1017"/>
        </w:numPr>
      </w:pPr>
      <w:r>
        <w:t xml:space="preserve">temporary authority expires;</w:t>
      </w:r>
    </w:p>
    <w:p>
      <w:pPr>
        <w:pStyle w:val="Compact"/>
        <w:numPr>
          <w:ilvl w:val="0"/>
          <w:numId w:val="1017"/>
        </w:numPr>
      </w:pPr>
      <w:r>
        <w:t xml:space="preserve">a guardian dies or becomes unavailable;</w:t>
      </w:r>
    </w:p>
    <w:p>
      <w:pPr>
        <w:pStyle w:val="Compact"/>
        <w:numPr>
          <w:ilvl w:val="0"/>
          <w:numId w:val="1017"/>
        </w:numPr>
      </w:pPr>
      <w:r>
        <w:t xml:space="preserve">custody or decision authority changes;</w:t>
      </w:r>
    </w:p>
    <w:p>
      <w:pPr>
        <w:pStyle w:val="Compact"/>
        <w:numPr>
          <w:ilvl w:val="0"/>
          <w:numId w:val="1017"/>
        </w:numPr>
      </w:pPr>
      <w:r>
        <w:t xml:space="preserve">the participant’s retained capacity changes;</w:t>
      </w:r>
    </w:p>
    <w:p>
      <w:pPr>
        <w:pStyle w:val="Compact"/>
        <w:numPr>
          <w:ilvl w:val="0"/>
          <w:numId w:val="1017"/>
        </w:numPr>
      </w:pPr>
      <w:r>
        <w:t xml:space="preserve">a protective restriction is imposed or lifted.</w:t>
      </w:r>
    </w:p>
    <w:p>
      <w:pPr>
        <w:pStyle w:val="FirstParagraph"/>
      </w:pPr>
      <w:r>
        <w:t xml:space="preserve">Historical authority must remain preserved with effective dates and scope.</w:t>
      </w:r>
    </w:p>
    <w:bookmarkStart w:id="67" w:name="X29f7c9498e0d7a40eb661eb2f5866d2627f727e"/>
    <w:p>
      <w:pPr>
        <w:pStyle w:val="Heading3"/>
      </w:pPr>
      <w:r>
        <w:t xml:space="preserve">18.1 No Verified Guardian or Guardian Unavailable</w:t>
      </w:r>
    </w:p>
    <w:p>
      <w:pPr>
        <w:pStyle w:val="FirstParagraph"/>
      </w:pPr>
      <w:r>
        <w:t xml:space="preserve">Where a minor lacks a currently verified guardian record, or every verified guardian is unavailable, restricted, or unable to receive ordinary electronic communication, EquineSync must not create a workaround that permits one-to-one adult-minor messaging. Ordinary adult-minor conversational features remain unavailable until a valid guardian, lawful substitute authority, or other founder-approved constitutional pathway exists.</w:t>
      </w:r>
    </w:p>
    <w:p>
      <w:pPr>
        <w:pStyle w:val="BodyText"/>
      </w:pPr>
      <w:r>
        <w:t xml:space="preserve">A non-conversational emergency or safety instruction may be displayed directly to the minor when necessary, but it must not become a private adult-minor thread and must be routed to an authorized adult or emergency pathway as soon as safely possible.</w:t>
      </w:r>
    </w:p>
    <w:bookmarkEnd w:id="67"/>
    <w:bookmarkStart w:id="68" w:name="X9312664ff377fee90b2def6efe64e0caa324048"/>
    <w:p>
      <w:pPr>
        <w:pStyle w:val="Heading3"/>
      </w:pPr>
      <w:r>
        <w:t xml:space="preserve">18.2 Guardian Authority Cannot Waive Constitutional Floors</w:t>
      </w:r>
    </w:p>
    <w:p>
      <w:pPr>
        <w:pStyle w:val="FirstParagraph"/>
      </w:pPr>
      <w:r>
        <w:t xml:space="preserve">A guardian may not authorize conduct that this Model prohibits, including hidden adult-minor communication, retaliation, destruction of evidence, public-by-default treatment, prohibited biometric use, or an implementation bypass. Guardian preference cannot eliminate an external reporting duty or a valid protective restriction.</w:t>
      </w:r>
    </w:p>
    <w:bookmarkEnd w:id="68"/>
    <w:bookmarkStart w:id="69" w:name="X485fbe0ec271e9ac60cbbf62b11d32b008ac8a0"/>
    <w:p>
      <w:pPr>
        <w:pStyle w:val="Heading3"/>
      </w:pPr>
      <w:r>
        <w:t xml:space="preserve">18.3 Data Minimization in Guardian Verification</w:t>
      </w:r>
    </w:p>
    <w:p>
      <w:pPr>
        <w:pStyle w:val="FirstParagraph"/>
      </w:pPr>
      <w:r>
        <w:t xml:space="preserve">Guardian verification must collect and retain only the evidence reasonably necessary for the asserted authority. Evidence must be classified, access-restricted, reviewable, and disposed of under applicable record and privacy rules. A customer may not demand excessive identity or family information merely for operational convenience.</w:t>
      </w:r>
    </w:p>
    <w:bookmarkEnd w:id="69"/>
    <w:bookmarkEnd w:id="70"/>
    <w:bookmarkEnd w:id="71"/>
    <w:bookmarkStart w:id="76" w:name="part-v---accounts-identity-and-access"/>
    <w:p>
      <w:pPr>
        <w:pStyle w:val="Heading1"/>
      </w:pPr>
      <w:r>
        <w:t xml:space="preserve">Part V - Accounts, Identity, and Access</w:t>
      </w:r>
    </w:p>
    <w:bookmarkStart w:id="72" w:name="separate-accounts-and-credentials"/>
    <w:p>
      <w:pPr>
        <w:pStyle w:val="Heading2"/>
      </w:pPr>
      <w:r>
        <w:t xml:space="preserve">19. Separate Accounts and Credentials</w:t>
      </w:r>
    </w:p>
    <w:p>
      <w:pPr>
        <w:pStyle w:val="FirstParagraph"/>
      </w:pPr>
      <w:r>
        <w:t xml:space="preserve">A minor or protected participant may have an age-appropriate account where permitted. A guardian may have a separate guardian account. Shared credentials, guardian impersonation, and invisible account takeover are prohibited.</w:t>
      </w:r>
    </w:p>
    <w:p>
      <w:pPr>
        <w:pStyle w:val="BodyText"/>
      </w:pPr>
      <w:r>
        <w:t xml:space="preserve">The platform must distinguish:</w:t>
      </w:r>
    </w:p>
    <w:p>
      <w:pPr>
        <w:pStyle w:val="Compact"/>
        <w:numPr>
          <w:ilvl w:val="0"/>
          <w:numId w:val="1018"/>
        </w:numPr>
      </w:pPr>
      <w:r>
        <w:t xml:space="preserve">authenticated principal;</w:t>
      </w:r>
    </w:p>
    <w:p>
      <w:pPr>
        <w:pStyle w:val="Compact"/>
        <w:numPr>
          <w:ilvl w:val="0"/>
          <w:numId w:val="1018"/>
        </w:numPr>
      </w:pPr>
      <w:r>
        <w:t xml:space="preserve">acting principal;</w:t>
      </w:r>
    </w:p>
    <w:p>
      <w:pPr>
        <w:pStyle w:val="Compact"/>
        <w:numPr>
          <w:ilvl w:val="0"/>
          <w:numId w:val="1018"/>
        </w:numPr>
      </w:pPr>
      <w:r>
        <w:t xml:space="preserve">represented principal;</w:t>
      </w:r>
    </w:p>
    <w:p>
      <w:pPr>
        <w:pStyle w:val="Compact"/>
        <w:numPr>
          <w:ilvl w:val="0"/>
          <w:numId w:val="1018"/>
        </w:numPr>
      </w:pPr>
      <w:r>
        <w:t xml:space="preserve">guardian authority;</w:t>
      </w:r>
    </w:p>
    <w:p>
      <w:pPr>
        <w:pStyle w:val="Compact"/>
        <w:numPr>
          <w:ilvl w:val="0"/>
          <w:numId w:val="1018"/>
        </w:numPr>
      </w:pPr>
      <w:r>
        <w:t xml:space="preserve">payer responsibility;</w:t>
      </w:r>
    </w:p>
    <w:p>
      <w:pPr>
        <w:pStyle w:val="Compact"/>
        <w:numPr>
          <w:ilvl w:val="0"/>
          <w:numId w:val="1018"/>
        </w:numPr>
      </w:pPr>
      <w:r>
        <w:t xml:space="preserve">communication participant;</w:t>
      </w:r>
    </w:p>
    <w:p>
      <w:pPr>
        <w:pStyle w:val="Compact"/>
        <w:numPr>
          <w:ilvl w:val="0"/>
          <w:numId w:val="1018"/>
        </w:numPr>
      </w:pPr>
      <w:r>
        <w:t xml:space="preserve">protected participant;</w:t>
      </w:r>
    </w:p>
    <w:p>
      <w:pPr>
        <w:pStyle w:val="Compact"/>
        <w:numPr>
          <w:ilvl w:val="0"/>
          <w:numId w:val="1018"/>
        </w:numPr>
      </w:pPr>
      <w:r>
        <w:t xml:space="preserve">adult third-party role at the moment of communication or action;</w:t>
      </w:r>
    </w:p>
    <w:p>
      <w:pPr>
        <w:pStyle w:val="Compact"/>
        <w:numPr>
          <w:ilvl w:val="0"/>
          <w:numId w:val="1018"/>
        </w:numPr>
      </w:pPr>
      <w:r>
        <w:t xml:space="preserve">guardian role for the specific minor and scope.</w:t>
      </w:r>
    </w:p>
    <w:bookmarkEnd w:id="72"/>
    <w:bookmarkStart w:id="73" w:name="age-appropriate-access"/>
    <w:p>
      <w:pPr>
        <w:pStyle w:val="Heading2"/>
      </w:pPr>
      <w:r>
        <w:t xml:space="preserve">20. Age-Appropriate Access</w:t>
      </w:r>
    </w:p>
    <w:p>
      <w:pPr>
        <w:pStyle w:val="FirstParagraph"/>
      </w:pPr>
      <w:r>
        <w:t xml:space="preserve">Minor access must be purpose-limited and age-appropriate. A minor account shall not automatically expose:</w:t>
      </w:r>
    </w:p>
    <w:p>
      <w:pPr>
        <w:pStyle w:val="Compact"/>
        <w:numPr>
          <w:ilvl w:val="0"/>
          <w:numId w:val="1019"/>
        </w:numPr>
      </w:pPr>
      <w:r>
        <w:t xml:space="preserve">full billing records;</w:t>
      </w:r>
    </w:p>
    <w:p>
      <w:pPr>
        <w:pStyle w:val="Compact"/>
        <w:numPr>
          <w:ilvl w:val="0"/>
          <w:numId w:val="1019"/>
        </w:numPr>
      </w:pPr>
      <w:r>
        <w:t xml:space="preserve">private guardian communications;</w:t>
      </w:r>
    </w:p>
    <w:p>
      <w:pPr>
        <w:pStyle w:val="Compact"/>
        <w:numPr>
          <w:ilvl w:val="0"/>
          <w:numId w:val="1019"/>
        </w:numPr>
      </w:pPr>
      <w:r>
        <w:t xml:space="preserve">safeguarding investigations;</w:t>
      </w:r>
    </w:p>
    <w:p>
      <w:pPr>
        <w:pStyle w:val="Compact"/>
        <w:numPr>
          <w:ilvl w:val="0"/>
          <w:numId w:val="1019"/>
        </w:numPr>
      </w:pPr>
      <w:r>
        <w:t xml:space="preserve">unrelated horse medical records;</w:t>
      </w:r>
    </w:p>
    <w:p>
      <w:pPr>
        <w:pStyle w:val="Compact"/>
        <w:numPr>
          <w:ilvl w:val="0"/>
          <w:numId w:val="1019"/>
        </w:numPr>
      </w:pPr>
      <w:r>
        <w:t xml:space="preserve">staff or provider private notes;</w:t>
      </w:r>
    </w:p>
    <w:p>
      <w:pPr>
        <w:pStyle w:val="Compact"/>
        <w:numPr>
          <w:ilvl w:val="0"/>
          <w:numId w:val="1019"/>
        </w:numPr>
      </w:pPr>
      <w:r>
        <w:t xml:space="preserve">ownership disputes;</w:t>
      </w:r>
    </w:p>
    <w:p>
      <w:pPr>
        <w:pStyle w:val="Compact"/>
        <w:numPr>
          <w:ilvl w:val="0"/>
          <w:numId w:val="1019"/>
        </w:numPr>
      </w:pPr>
      <w:r>
        <w:t xml:space="preserve">legal holds;</w:t>
      </w:r>
    </w:p>
    <w:p>
      <w:pPr>
        <w:pStyle w:val="Compact"/>
        <w:numPr>
          <w:ilvl w:val="0"/>
          <w:numId w:val="1019"/>
        </w:numPr>
      </w:pPr>
      <w:r>
        <w:t xml:space="preserve">other minors’ data;</w:t>
      </w:r>
    </w:p>
    <w:p>
      <w:pPr>
        <w:pStyle w:val="Compact"/>
        <w:numPr>
          <w:ilvl w:val="0"/>
          <w:numId w:val="1019"/>
        </w:numPr>
      </w:pPr>
      <w:r>
        <w:t xml:space="preserve">administrative controls.</w:t>
      </w:r>
    </w:p>
    <w:bookmarkEnd w:id="73"/>
    <w:bookmarkStart w:id="74" w:name="guardian-access-is-not-universal"/>
    <w:p>
      <w:pPr>
        <w:pStyle w:val="Heading2"/>
      </w:pPr>
      <w:r>
        <w:t xml:space="preserve">21. Guardian Access Is Not Universal</w:t>
      </w:r>
    </w:p>
    <w:p>
      <w:pPr>
        <w:pStyle w:val="FirstParagraph"/>
      </w:pPr>
      <w:r>
        <w:t xml:space="preserve">A guardian may receive access only to information and capabilities supported by valid authority, purpose, relationship, privacy, and safeguarding rules.</w:t>
      </w:r>
    </w:p>
    <w:p>
      <w:pPr>
        <w:pStyle w:val="BodyText"/>
      </w:pPr>
      <w:r>
        <w:t xml:space="preserve">Guardian access may be narrower than the protected participant’s access for confidential support, safeguarding, or legally protected matters. It may also be broader for agreement execution, billing, or emergency authorization where valid.</w:t>
      </w:r>
    </w:p>
    <w:bookmarkEnd w:id="74"/>
    <w:bookmarkStart w:id="75" w:name="administrative-access"/>
    <w:p>
      <w:pPr>
        <w:pStyle w:val="Heading2"/>
      </w:pPr>
      <w:r>
        <w:t xml:space="preserve">22. Administrative Access</w:t>
      </w:r>
    </w:p>
    <w:p>
      <w:pPr>
        <w:pStyle w:val="FirstParagraph"/>
      </w:pPr>
      <w:r>
        <w:t xml:space="preserve">Tenant administrators, barn owners, coaches, trainers, and EquineSync support personnel do not receive universal access to protected-participant data.</w:t>
      </w:r>
    </w:p>
    <w:p>
      <w:pPr>
        <w:pStyle w:val="BodyText"/>
      </w:pPr>
      <w:r>
        <w:t xml:space="preserve">Access to safeguarding records requires:</w:t>
      </w:r>
    </w:p>
    <w:p>
      <w:pPr>
        <w:pStyle w:val="Compact"/>
        <w:numPr>
          <w:ilvl w:val="0"/>
          <w:numId w:val="1020"/>
        </w:numPr>
      </w:pPr>
      <w:r>
        <w:t xml:space="preserve">designated role;</w:t>
      </w:r>
    </w:p>
    <w:p>
      <w:pPr>
        <w:pStyle w:val="Compact"/>
        <w:numPr>
          <w:ilvl w:val="0"/>
          <w:numId w:val="1020"/>
        </w:numPr>
      </w:pPr>
      <w:r>
        <w:t xml:space="preserve">valid purpose;</w:t>
      </w:r>
    </w:p>
    <w:p>
      <w:pPr>
        <w:pStyle w:val="Compact"/>
        <w:numPr>
          <w:ilvl w:val="0"/>
          <w:numId w:val="1020"/>
        </w:numPr>
      </w:pPr>
      <w:r>
        <w:t xml:space="preserve">minimum necessary fields;</w:t>
      </w:r>
    </w:p>
    <w:p>
      <w:pPr>
        <w:pStyle w:val="Compact"/>
        <w:numPr>
          <w:ilvl w:val="0"/>
          <w:numId w:val="1020"/>
        </w:numPr>
      </w:pPr>
      <w:r>
        <w:t xml:space="preserve">heightened authentication;</w:t>
      </w:r>
    </w:p>
    <w:p>
      <w:pPr>
        <w:pStyle w:val="Compact"/>
        <w:numPr>
          <w:ilvl w:val="0"/>
          <w:numId w:val="1020"/>
        </w:numPr>
      </w:pPr>
      <w:r>
        <w:t xml:space="preserve">reason capture where required;</w:t>
      </w:r>
    </w:p>
    <w:p>
      <w:pPr>
        <w:pStyle w:val="Compact"/>
        <w:numPr>
          <w:ilvl w:val="0"/>
          <w:numId w:val="1020"/>
        </w:numPr>
      </w:pPr>
      <w:r>
        <w:t xml:space="preserve">audit evidence;</w:t>
      </w:r>
    </w:p>
    <w:p>
      <w:pPr>
        <w:pStyle w:val="Compact"/>
        <w:numPr>
          <w:ilvl w:val="0"/>
          <w:numId w:val="1020"/>
        </w:numPr>
      </w:pPr>
      <w:r>
        <w:t xml:space="preserve">periodic review;</w:t>
      </w:r>
    </w:p>
    <w:p>
      <w:pPr>
        <w:pStyle w:val="Compact"/>
        <w:numPr>
          <w:ilvl w:val="0"/>
          <w:numId w:val="1020"/>
        </w:numPr>
      </w:pPr>
      <w:r>
        <w:t xml:space="preserve">immediate revocation capability;</w:t>
      </w:r>
    </w:p>
    <w:p>
      <w:pPr>
        <w:pStyle w:val="Compact"/>
        <w:numPr>
          <w:ilvl w:val="0"/>
          <w:numId w:val="1020"/>
        </w:numPr>
      </w:pPr>
      <w:r>
        <w:t xml:space="preserve">conflict-of-interest and case-assignment checks;</w:t>
      </w:r>
    </w:p>
    <w:p>
      <w:pPr>
        <w:pStyle w:val="Compact"/>
        <w:numPr>
          <w:ilvl w:val="0"/>
          <w:numId w:val="1020"/>
        </w:numPr>
      </w:pPr>
      <w:r>
        <w:t xml:space="preserve">controls preventing the subject of a report or their supervisory chain from using ordinary administrative access to obtain the case.</w:t>
      </w:r>
    </w:p>
    <w:bookmarkEnd w:id="75"/>
    <w:bookmarkEnd w:id="76"/>
    <w:bookmarkStart w:id="87" w:name="X85e59e35f02cedb3b7b8281548161aabea288cc"/>
    <w:p>
      <w:pPr>
        <w:pStyle w:val="Heading1"/>
      </w:pPr>
      <w:r>
        <w:t xml:space="preserve">Part VI - Electronic Communications and Safe Communication Design</w:t>
      </w:r>
    </w:p>
    <w:bookmarkStart w:id="77" w:name="absolute-ordinary-messaging-rule"/>
    <w:p>
      <w:pPr>
        <w:pStyle w:val="Heading2"/>
      </w:pPr>
      <w:r>
        <w:t xml:space="preserve">23. Absolute Ordinary Messaging Rule</w:t>
      </w:r>
    </w:p>
    <w:p>
      <w:pPr>
        <w:pStyle w:val="FirstParagraph"/>
      </w:pPr>
      <w:r>
        <w:t xml:space="preserve">EquineSync shall prohibit one-to-one ordinary electronic communication between a minor and an adult third party.</w:t>
      </w:r>
    </w:p>
    <w:p>
      <w:pPr>
        <w:pStyle w:val="BodyText"/>
      </w:pPr>
      <w:r>
        <w:t xml:space="preserve">Every ordinary electronic communication between an adult third party and a minor must include at least one currently verified parent or guardian of that minor as an active participant from the time the communication is initiated and throughout the thread. The requirement applies regardless of whether the adult or the minor initiates the message, sends the first reply, shares a file, comments on a task, or uses an integrated communication surface.</w:t>
      </w:r>
    </w:p>
    <w:p>
      <w:pPr>
        <w:pStyle w:val="BodyText"/>
      </w:pPr>
      <w:r>
        <w:t xml:space="preserve">This is an enforcement rule, not a warning-only rule. A guardian who is merely listed, expired, restricted from communication, undeliverable, or technically unable to receive the thread does not satisfy the requirement. The implementation must detect and safely handle delivery failure, guardian removal, expired authority, and recipient-address errors.</w:t>
      </w:r>
    </w:p>
    <w:bookmarkEnd w:id="77"/>
    <w:bookmarkStart w:id="78" w:name="covered-channels"/>
    <w:p>
      <w:pPr>
        <w:pStyle w:val="Heading2"/>
      </w:pPr>
      <w:r>
        <w:t xml:space="preserve">24. Covered Channels</w:t>
      </w:r>
    </w:p>
    <w:p>
      <w:pPr>
        <w:pStyle w:val="FirstParagraph"/>
      </w:pPr>
      <w:r>
        <w:t xml:space="preserve">The guardian-inclusion rule applies to:</w:t>
      </w:r>
    </w:p>
    <w:p>
      <w:pPr>
        <w:pStyle w:val="Compact"/>
        <w:numPr>
          <w:ilvl w:val="0"/>
          <w:numId w:val="1021"/>
        </w:numPr>
      </w:pPr>
      <w:r>
        <w:t xml:space="preserve">in-app direct and group messaging;</w:t>
      </w:r>
    </w:p>
    <w:p>
      <w:pPr>
        <w:pStyle w:val="Compact"/>
        <w:numPr>
          <w:ilvl w:val="0"/>
          <w:numId w:val="1021"/>
        </w:numPr>
      </w:pPr>
      <w:r>
        <w:t xml:space="preserve">email initiated, relayed, or integrated through EquineSync;</w:t>
      </w:r>
    </w:p>
    <w:p>
      <w:pPr>
        <w:pStyle w:val="Compact"/>
        <w:numPr>
          <w:ilvl w:val="0"/>
          <w:numId w:val="1021"/>
        </w:numPr>
      </w:pPr>
      <w:r>
        <w:t xml:space="preserve">SMS or text messaging;</w:t>
      </w:r>
    </w:p>
    <w:p>
      <w:pPr>
        <w:pStyle w:val="Compact"/>
        <w:numPr>
          <w:ilvl w:val="0"/>
          <w:numId w:val="1021"/>
        </w:numPr>
      </w:pPr>
      <w:r>
        <w:t xml:space="preserve">replies to notifications;</w:t>
      </w:r>
    </w:p>
    <w:p>
      <w:pPr>
        <w:pStyle w:val="Compact"/>
        <w:numPr>
          <w:ilvl w:val="0"/>
          <w:numId w:val="1021"/>
        </w:numPr>
      </w:pPr>
      <w:r>
        <w:t xml:space="preserve">media or file messages;</w:t>
      </w:r>
    </w:p>
    <w:p>
      <w:pPr>
        <w:pStyle w:val="Compact"/>
        <w:numPr>
          <w:ilvl w:val="0"/>
          <w:numId w:val="1021"/>
        </w:numPr>
      </w:pPr>
      <w:r>
        <w:t xml:space="preserve">comments or annotations capable of interpersonal exchange;</w:t>
      </w:r>
    </w:p>
    <w:p>
      <w:pPr>
        <w:pStyle w:val="Compact"/>
        <w:numPr>
          <w:ilvl w:val="0"/>
          <w:numId w:val="1021"/>
        </w:numPr>
      </w:pPr>
      <w:r>
        <w:t xml:space="preserve">integrated calendar or lesson messages;</w:t>
      </w:r>
    </w:p>
    <w:p>
      <w:pPr>
        <w:pStyle w:val="Compact"/>
        <w:numPr>
          <w:ilvl w:val="0"/>
          <w:numId w:val="1021"/>
        </w:numPr>
      </w:pPr>
      <w:r>
        <w:t xml:space="preserve">provider or plugin messaging surfaces;</w:t>
      </w:r>
    </w:p>
    <w:p>
      <w:pPr>
        <w:pStyle w:val="Compact"/>
        <w:numPr>
          <w:ilvl w:val="0"/>
          <w:numId w:val="1021"/>
        </w:numPr>
      </w:pPr>
      <w:r>
        <w:t xml:space="preserve">any comparable electronic channel made available through EquineSync;</w:t>
      </w:r>
    </w:p>
    <w:p>
      <w:pPr>
        <w:pStyle w:val="Compact"/>
        <w:numPr>
          <w:ilvl w:val="0"/>
          <w:numId w:val="1021"/>
        </w:numPr>
      </w:pPr>
      <w:r>
        <w:t xml:space="preserve">shared task comments, annotations, reactions, or collaborative fields that permit interpersonal exchange;</w:t>
      </w:r>
    </w:p>
    <w:p>
      <w:pPr>
        <w:pStyle w:val="Compact"/>
        <w:numPr>
          <w:ilvl w:val="0"/>
          <w:numId w:val="1021"/>
        </w:numPr>
      </w:pPr>
      <w:r>
        <w:t xml:space="preserve">automated or AI-assisted message drafting when an adult can send the result to a minor.</w:t>
      </w:r>
    </w:p>
    <w:bookmarkEnd w:id="78"/>
    <w:bookmarkStart w:id="79" w:name="thread-integrity"/>
    <w:p>
      <w:pPr>
        <w:pStyle w:val="Heading2"/>
      </w:pPr>
      <w:r>
        <w:t xml:space="preserve">25. Thread Integrity</w:t>
      </w:r>
    </w:p>
    <w:p>
      <w:pPr>
        <w:pStyle w:val="FirstParagraph"/>
      </w:pPr>
      <w:r>
        <w:t xml:space="preserve">A compliant thread must:</w:t>
      </w:r>
    </w:p>
    <w:p>
      <w:pPr>
        <w:pStyle w:val="Compact"/>
        <w:numPr>
          <w:ilvl w:val="0"/>
          <w:numId w:val="1022"/>
        </w:numPr>
      </w:pPr>
      <w:r>
        <w:t xml:space="preserve">include at least one verified guardian for each minor participant;</w:t>
      </w:r>
    </w:p>
    <w:p>
      <w:pPr>
        <w:pStyle w:val="Compact"/>
        <w:numPr>
          <w:ilvl w:val="0"/>
          <w:numId w:val="1022"/>
        </w:numPr>
      </w:pPr>
      <w:r>
        <w:t xml:space="preserve">preserve guardian participation through replies and new recipients;</w:t>
      </w:r>
    </w:p>
    <w:p>
      <w:pPr>
        <w:pStyle w:val="Compact"/>
        <w:numPr>
          <w:ilvl w:val="0"/>
          <w:numId w:val="1022"/>
        </w:numPr>
      </w:pPr>
      <w:r>
        <w:t xml:space="preserve">prevent removal of the required guardian by an adult or minor participant;</w:t>
      </w:r>
    </w:p>
    <w:p>
      <w:pPr>
        <w:pStyle w:val="Compact"/>
        <w:numPr>
          <w:ilvl w:val="0"/>
          <w:numId w:val="1022"/>
        </w:numPr>
      </w:pPr>
      <w:r>
        <w:t xml:space="preserve">prevent branching into a private adult-minor subthread;</w:t>
      </w:r>
    </w:p>
    <w:p>
      <w:pPr>
        <w:pStyle w:val="Compact"/>
        <w:numPr>
          <w:ilvl w:val="0"/>
          <w:numId w:val="1022"/>
        </w:numPr>
      </w:pPr>
      <w:r>
        <w:t xml:space="preserve">prevent addition of the guardian only after a prohibited message is sent;</w:t>
      </w:r>
    </w:p>
    <w:p>
      <w:pPr>
        <w:pStyle w:val="Compact"/>
        <w:numPr>
          <w:ilvl w:val="0"/>
          <w:numId w:val="1022"/>
        </w:numPr>
      </w:pPr>
      <w:r>
        <w:t xml:space="preserve">preserve attribution and delivery evidence;</w:t>
      </w:r>
    </w:p>
    <w:p>
      <w:pPr>
        <w:pStyle w:val="Compact"/>
        <w:numPr>
          <w:ilvl w:val="0"/>
          <w:numId w:val="1022"/>
        </w:numPr>
      </w:pPr>
      <w:r>
        <w:t xml:space="preserve">prevent disappearing or unrecorded message modes;</w:t>
      </w:r>
    </w:p>
    <w:p>
      <w:pPr>
        <w:pStyle w:val="Compact"/>
        <w:numPr>
          <w:ilvl w:val="0"/>
          <w:numId w:val="1022"/>
        </w:numPr>
      </w:pPr>
      <w:r>
        <w:t xml:space="preserve">preserve the same substantive content for the required guardian, including attachments, edits, deletions, translations, and material reactions;</w:t>
      </w:r>
    </w:p>
    <w:p>
      <w:pPr>
        <w:pStyle w:val="Compact"/>
        <w:numPr>
          <w:ilvl w:val="0"/>
          <w:numId w:val="1022"/>
        </w:numPr>
      </w:pPr>
      <w:r>
        <w:t xml:space="preserve">detect guardian delivery failure and prevent the thread from continuing as if the guardian remained present;</w:t>
      </w:r>
    </w:p>
    <w:p>
      <w:pPr>
        <w:pStyle w:val="Compact"/>
        <w:numPr>
          <w:ilvl w:val="0"/>
          <w:numId w:val="1022"/>
        </w:numPr>
      </w:pPr>
      <w:r>
        <w:t xml:space="preserve">detect or block an adult request to continue through a hidden external channel where technically feasible.</w:t>
      </w:r>
    </w:p>
    <w:bookmarkEnd w:id="79"/>
    <w:bookmarkStart w:id="80" w:name="multi-minor-group-communications"/>
    <w:p>
      <w:pPr>
        <w:pStyle w:val="Heading2"/>
      </w:pPr>
      <w:r>
        <w:t xml:space="preserve">26. Multi-Minor Group Communications</w:t>
      </w:r>
    </w:p>
    <w:p>
      <w:pPr>
        <w:pStyle w:val="FirstParagraph"/>
      </w:pPr>
      <w:r>
        <w:t xml:space="preserve">A group communication involving one or more adult third parties and multiple minors must include at least one verified guardian for each minor participant, unless the communication is a one-way system notice with no reply or conversational capability and the same substantive notice is delivered to the guardian.</w:t>
      </w:r>
    </w:p>
    <w:p>
      <w:pPr>
        <w:pStyle w:val="BodyText"/>
      </w:pPr>
      <w:r>
        <w:t xml:space="preserve">A nominal group thread may not be used to evade guardian participation. Adding an unrelated adult, another minor, a bot, a generic organization account, or a non-authorized household member does not satisfy the guardian requirement.</w:t>
      </w:r>
    </w:p>
    <w:p>
      <w:pPr>
        <w:pStyle w:val="BodyText"/>
      </w:pPr>
      <w:r>
        <w:t xml:space="preserve">An adult who is a parent or guardian of one child remains an Adult Third Party when communicating with an unrelated minor unless separately verified as that minor’s guardian.</w:t>
      </w:r>
    </w:p>
    <w:bookmarkEnd w:id="80"/>
    <w:bookmarkStart w:id="81" w:name="system-notifications"/>
    <w:p>
      <w:pPr>
        <w:pStyle w:val="Heading2"/>
      </w:pPr>
      <w:r>
        <w:t xml:space="preserve">27. System Notifications</w:t>
      </w:r>
    </w:p>
    <w:p>
      <w:pPr>
        <w:pStyle w:val="FirstParagraph"/>
      </w:pPr>
      <w:r>
        <w:t xml:space="preserve">A system-generated, non-conversational notice may be delivered to a minor when age appropriate, provided:</w:t>
      </w:r>
    </w:p>
    <w:p>
      <w:pPr>
        <w:pStyle w:val="Compact"/>
        <w:numPr>
          <w:ilvl w:val="0"/>
          <w:numId w:val="1023"/>
        </w:numPr>
      </w:pPr>
      <w:r>
        <w:t xml:space="preserve">the notice does not create a private adult-minor thread;</w:t>
      </w:r>
    </w:p>
    <w:p>
      <w:pPr>
        <w:pStyle w:val="Compact"/>
        <w:numPr>
          <w:ilvl w:val="0"/>
          <w:numId w:val="1023"/>
        </w:numPr>
      </w:pPr>
      <w:r>
        <w:t xml:space="preserve">the guardian receives the notice or equivalent visibility where required;</w:t>
      </w:r>
    </w:p>
    <w:p>
      <w:pPr>
        <w:pStyle w:val="Compact"/>
        <w:numPr>
          <w:ilvl w:val="0"/>
          <w:numId w:val="1023"/>
        </w:numPr>
      </w:pPr>
      <w:r>
        <w:t xml:space="preserve">a reply routes into a compliant guardian-included thread;</w:t>
      </w:r>
    </w:p>
    <w:p>
      <w:pPr>
        <w:pStyle w:val="Compact"/>
        <w:numPr>
          <w:ilvl w:val="0"/>
          <w:numId w:val="1023"/>
        </w:numPr>
      </w:pPr>
      <w:r>
        <w:t xml:space="preserve">the notice does not expose restricted safeguarding or guardian-conflict information.</w:t>
      </w:r>
    </w:p>
    <w:bookmarkEnd w:id="81"/>
    <w:bookmarkStart w:id="82" w:name="unsupported-channels"/>
    <w:p>
      <w:pPr>
        <w:pStyle w:val="Heading2"/>
      </w:pPr>
      <w:r>
        <w:t xml:space="preserve">28. Unsupported Channels</w:t>
      </w:r>
    </w:p>
    <w:p>
      <w:pPr>
        <w:pStyle w:val="FirstParagraph"/>
      </w:pPr>
      <w:r>
        <w:t xml:space="preserve">A channel or integration that cannot enforce guardian inclusion, thread integrity, recipient restrictions, attribution, content parity, delivery status, and retention may not be used for ordinary adult-minor communication.</w:t>
      </w:r>
    </w:p>
    <w:p>
      <w:pPr>
        <w:pStyle w:val="BodyText"/>
      </w:pPr>
      <w:r>
        <w:t xml:space="preserve">Where a guardian address bounces, a guardian account is disabled, authority expires, or a required guardian becomes restricted, the system must suspend conversational delivery rather than silently continue the thread. The sender may be directed to correct the guardian record or use an authorized non-conversational operational notice workflow.</w:t>
      </w:r>
    </w:p>
    <w:bookmarkEnd w:id="82"/>
    <w:bookmarkStart w:id="83" w:name="off-platform-communication-boundary"/>
    <w:p>
      <w:pPr>
        <w:pStyle w:val="Heading2"/>
      </w:pPr>
      <w:r>
        <w:t xml:space="preserve">29. Off-Platform Communication Boundary</w:t>
      </w:r>
    </w:p>
    <w:p>
      <w:pPr>
        <w:pStyle w:val="FirstParagraph"/>
      </w:pPr>
      <w:r>
        <w:t xml:space="preserve">EquineSync cannot guarantee behavior on external platforms, but it shall not:</w:t>
      </w:r>
    </w:p>
    <w:p>
      <w:pPr>
        <w:pStyle w:val="Compact"/>
        <w:numPr>
          <w:ilvl w:val="0"/>
          <w:numId w:val="1024"/>
        </w:numPr>
      </w:pPr>
      <w:r>
        <w:t xml:space="preserve">facilitate private off-platform adult-minor messaging;</w:t>
      </w:r>
    </w:p>
    <w:p>
      <w:pPr>
        <w:pStyle w:val="Compact"/>
        <w:numPr>
          <w:ilvl w:val="0"/>
          <w:numId w:val="1024"/>
        </w:numPr>
      </w:pPr>
      <w:r>
        <w:t xml:space="preserve">provide a feature that knowingly removes required guardian visibility;</w:t>
      </w:r>
    </w:p>
    <w:p>
      <w:pPr>
        <w:pStyle w:val="Compact"/>
        <w:numPr>
          <w:ilvl w:val="0"/>
          <w:numId w:val="1024"/>
        </w:numPr>
      </w:pPr>
      <w:r>
        <w:t xml:space="preserve">allow an adult to solicit secret communications without reportability;</w:t>
      </w:r>
    </w:p>
    <w:p>
      <w:pPr>
        <w:pStyle w:val="Compact"/>
        <w:numPr>
          <w:ilvl w:val="0"/>
          <w:numId w:val="1024"/>
        </w:numPr>
      </w:pPr>
      <w:r>
        <w:t xml:space="preserve">represent external communication as compliant merely because it began in EquineSync.</w:t>
      </w:r>
    </w:p>
    <w:p>
      <w:pPr>
        <w:pStyle w:val="FirstParagraph"/>
      </w:pPr>
      <w:r>
        <w:t xml:space="preserve">Attempts to move a minor into a hidden communication channel may be reportable safeguarding events. EquineSync should provide age-appropriate reporting affordances for secrecy requests, disappearing-message requests, account-sharing requests, or pressure to avoid a guardian.</w:t>
      </w:r>
    </w:p>
    <w:bookmarkEnd w:id="83"/>
    <w:bookmarkStart w:id="84" w:name="protected-safeguarding-intake-exception"/>
    <w:p>
      <w:pPr>
        <w:pStyle w:val="Heading2"/>
      </w:pPr>
      <w:r>
        <w:t xml:space="preserve">30. Protected Safeguarding Intake Exception</w:t>
      </w:r>
    </w:p>
    <w:p>
      <w:pPr>
        <w:pStyle w:val="FirstParagraph"/>
      </w:pPr>
      <w:r>
        <w:t xml:space="preserve">A protected safeguarding report is not an ordinary trainer, coach, or third-party communication thread.</w:t>
      </w:r>
    </w:p>
    <w:p>
      <w:pPr>
        <w:pStyle w:val="BodyText"/>
      </w:pPr>
      <w:r>
        <w:t xml:space="preserve">A minor or protected participant may submit a confidential or anonymous safeguarding report without guardian inclusion where:</w:t>
      </w:r>
    </w:p>
    <w:p>
      <w:pPr>
        <w:pStyle w:val="Compact"/>
        <w:numPr>
          <w:ilvl w:val="0"/>
          <w:numId w:val="1025"/>
        </w:numPr>
      </w:pPr>
      <w:r>
        <w:t xml:space="preserve">the guardian is the subject of the concern;</w:t>
      </w:r>
    </w:p>
    <w:p>
      <w:pPr>
        <w:pStyle w:val="Compact"/>
        <w:numPr>
          <w:ilvl w:val="0"/>
          <w:numId w:val="1025"/>
        </w:numPr>
      </w:pPr>
      <w:r>
        <w:t xml:space="preserve">guardian inclusion could increase danger or retaliation;</w:t>
      </w:r>
    </w:p>
    <w:p>
      <w:pPr>
        <w:pStyle w:val="Compact"/>
        <w:numPr>
          <w:ilvl w:val="0"/>
          <w:numId w:val="1025"/>
        </w:numPr>
      </w:pPr>
      <w:r>
        <w:t xml:space="preserve">disclosure could compromise an investigation;</w:t>
      </w:r>
    </w:p>
    <w:p>
      <w:pPr>
        <w:pStyle w:val="Compact"/>
        <w:numPr>
          <w:ilvl w:val="0"/>
          <w:numId w:val="1025"/>
        </w:numPr>
      </w:pPr>
      <w:r>
        <w:t xml:space="preserve">another protected person’s information would be exposed;</w:t>
      </w:r>
    </w:p>
    <w:p>
      <w:pPr>
        <w:pStyle w:val="Compact"/>
        <w:numPr>
          <w:ilvl w:val="0"/>
          <w:numId w:val="1025"/>
        </w:numPr>
      </w:pPr>
      <w:r>
        <w:t xml:space="preserve">a qualified safeguarding authority determines that guardian inclusion would be unsafe.</w:t>
      </w:r>
    </w:p>
    <w:p>
      <w:pPr>
        <w:pStyle w:val="FirstParagraph"/>
      </w:pPr>
      <w:r>
        <w:t xml:space="preserve">The protected intake may not be used to create private communication with the accused adult, trainer, coach, or ordinary third party.</w:t>
      </w:r>
    </w:p>
    <w:bookmarkEnd w:id="84"/>
    <w:bookmarkStart w:id="85" w:name="safeguarding-follow-up-communication"/>
    <w:p>
      <w:pPr>
        <w:pStyle w:val="Heading2"/>
      </w:pPr>
      <w:r>
        <w:t xml:space="preserve">31. Safeguarding Follow-Up Communication</w:t>
      </w:r>
    </w:p>
    <w:p>
      <w:pPr>
        <w:pStyle w:val="FirstParagraph"/>
      </w:pPr>
      <w:r>
        <w:t xml:space="preserve">Follow-up communication must occur through a designated safeguarding workflow and be limited to authorized safeguarding personnel.</w:t>
      </w:r>
    </w:p>
    <w:p>
      <w:pPr>
        <w:pStyle w:val="BodyText"/>
      </w:pPr>
      <w:r>
        <w:t xml:space="preserve">The workflow must:</w:t>
      </w:r>
    </w:p>
    <w:p>
      <w:pPr>
        <w:pStyle w:val="Compact"/>
        <w:numPr>
          <w:ilvl w:val="0"/>
          <w:numId w:val="1026"/>
        </w:numPr>
      </w:pPr>
      <w:r>
        <w:t xml:space="preserve">separate the accused person from the communication;</w:t>
      </w:r>
    </w:p>
    <w:p>
      <w:pPr>
        <w:pStyle w:val="Compact"/>
        <w:numPr>
          <w:ilvl w:val="0"/>
          <w:numId w:val="1026"/>
        </w:numPr>
      </w:pPr>
      <w:r>
        <w:t xml:space="preserve">apply guardian-inclusion or guardian-restriction decisions based on documented safety analysis;</w:t>
      </w:r>
    </w:p>
    <w:p>
      <w:pPr>
        <w:pStyle w:val="Compact"/>
        <w:numPr>
          <w:ilvl w:val="0"/>
          <w:numId w:val="1026"/>
        </w:numPr>
      </w:pPr>
      <w:r>
        <w:t xml:space="preserve">preserve the minimum necessary record;</w:t>
      </w:r>
    </w:p>
    <w:p>
      <w:pPr>
        <w:pStyle w:val="Compact"/>
        <w:numPr>
          <w:ilvl w:val="0"/>
          <w:numId w:val="1026"/>
        </w:numPr>
      </w:pPr>
      <w:r>
        <w:t xml:space="preserve">avoid unnecessary disclosure of reporter identity;</w:t>
      </w:r>
    </w:p>
    <w:p>
      <w:pPr>
        <w:pStyle w:val="Compact"/>
        <w:numPr>
          <w:ilvl w:val="0"/>
          <w:numId w:val="1026"/>
        </w:numPr>
      </w:pPr>
      <w:r>
        <w:t xml:space="preserve">provide emergency instructions when immediate danger is alleged;</w:t>
      </w:r>
    </w:p>
    <w:p>
      <w:pPr>
        <w:pStyle w:val="Compact"/>
        <w:numPr>
          <w:ilvl w:val="0"/>
          <w:numId w:val="1026"/>
        </w:numPr>
      </w:pPr>
      <w:r>
        <w:t xml:space="preserve">prevent the safeguarding pathway from becoming an ordinary coaching or social channel.</w:t>
      </w:r>
    </w:p>
    <w:bookmarkEnd w:id="85"/>
    <w:bookmarkStart w:id="86" w:name="communication-monitoring-and-privacy"/>
    <w:p>
      <w:pPr>
        <w:pStyle w:val="Heading2"/>
      </w:pPr>
      <w:r>
        <w:t xml:space="preserve">32. Communication Monitoring and Privacy</w:t>
      </w:r>
    </w:p>
    <w:p>
      <w:pPr>
        <w:pStyle w:val="FirstParagraph"/>
      </w:pPr>
      <w:r>
        <w:t xml:space="preserve">The platform may enforce recipient rules, detect prohibited thread structures, preserve evidence, and route reported concerns. It must not represent ordinary content monitoring as a guarantee that all harmful conduct will be detected.</w:t>
      </w:r>
    </w:p>
    <w:p>
      <w:pPr>
        <w:pStyle w:val="BodyText"/>
      </w:pPr>
      <w:r>
        <w:t xml:space="preserve">Any automated content analysis must comply with AI, privacy, security, and safeguarding rules and may not independently determine abuse, guilt, credibility, risk level, or disciplinary outcome.</w:t>
      </w:r>
    </w:p>
    <w:p>
      <w:pPr>
        <w:pStyle w:val="BodyText"/>
      </w:pPr>
      <w:r>
        <w:t xml:space="preserve">Communication enforcement must not require universal human reading of ordinary message content. Structural controls, recipient validation, metadata, user reporting, and narrowly authorized review should be preferred. Any content review must have a defined purpose, access boundary, retention rule, and notice treatment.</w:t>
      </w:r>
    </w:p>
    <w:bookmarkEnd w:id="86"/>
    <w:bookmarkEnd w:id="87"/>
    <w:bookmarkStart w:id="102" w:name="X110e34cc1382c0e41a8bb9f9e06f191b056f331"/>
    <w:p>
      <w:pPr>
        <w:pStyle w:val="Heading1"/>
      </w:pPr>
      <w:r>
        <w:t xml:space="preserve">Part VII - Safeguarding Intake, Triage, External Reporting, and Protective Action</w:t>
      </w:r>
    </w:p>
    <w:bookmarkStart w:id="88" w:name="who-may-report"/>
    <w:p>
      <w:pPr>
        <w:pStyle w:val="Heading2"/>
      </w:pPr>
      <w:r>
        <w:t xml:space="preserve">33. Who May Report</w:t>
      </w:r>
    </w:p>
    <w:p>
      <w:pPr>
        <w:pStyle w:val="FirstParagraph"/>
      </w:pPr>
      <w:r>
        <w:t xml:space="preserve">A safeguarding concern may be submitted by:</w:t>
      </w:r>
    </w:p>
    <w:p>
      <w:pPr>
        <w:pStyle w:val="Compact"/>
        <w:numPr>
          <w:ilvl w:val="0"/>
          <w:numId w:val="1027"/>
        </w:numPr>
      </w:pPr>
      <w:r>
        <w:t xml:space="preserve">a minor or protected participant;</w:t>
      </w:r>
    </w:p>
    <w:p>
      <w:pPr>
        <w:pStyle w:val="Compact"/>
        <w:numPr>
          <w:ilvl w:val="0"/>
          <w:numId w:val="1027"/>
        </w:numPr>
      </w:pPr>
      <w:r>
        <w:t xml:space="preserve">a parent or guardian;</w:t>
      </w:r>
    </w:p>
    <w:p>
      <w:pPr>
        <w:pStyle w:val="Compact"/>
        <w:numPr>
          <w:ilvl w:val="0"/>
          <w:numId w:val="1027"/>
        </w:numPr>
      </w:pPr>
      <w:r>
        <w:t xml:space="preserve">staff, trainers, coaches, instructors, volunteers, or providers;</w:t>
      </w:r>
    </w:p>
    <w:p>
      <w:pPr>
        <w:pStyle w:val="Compact"/>
        <w:numPr>
          <w:ilvl w:val="0"/>
          <w:numId w:val="1027"/>
        </w:numPr>
      </w:pPr>
      <w:r>
        <w:t xml:space="preserve">customers, witnesses, or community participants;</w:t>
      </w:r>
    </w:p>
    <w:p>
      <w:pPr>
        <w:pStyle w:val="Compact"/>
        <w:numPr>
          <w:ilvl w:val="0"/>
          <w:numId w:val="1027"/>
        </w:numPr>
      </w:pPr>
      <w:r>
        <w:t xml:space="preserve">EquineSync personnel acting within authority;</w:t>
      </w:r>
    </w:p>
    <w:p>
      <w:pPr>
        <w:pStyle w:val="Compact"/>
        <w:numPr>
          <w:ilvl w:val="0"/>
          <w:numId w:val="1027"/>
        </w:numPr>
      </w:pPr>
      <w:r>
        <w:t xml:space="preserve">another person reporting on behalf of an affected participant.</w:t>
      </w:r>
    </w:p>
    <w:bookmarkEnd w:id="88"/>
    <w:bookmarkStart w:id="89" w:name="reporting-modes"/>
    <w:p>
      <w:pPr>
        <w:pStyle w:val="Heading2"/>
      </w:pPr>
      <w:r>
        <w:t xml:space="preserve">34. Reporting Modes</w:t>
      </w:r>
    </w:p>
    <w:p>
      <w:pPr>
        <w:pStyle w:val="FirstParagraph"/>
      </w:pPr>
      <w:r>
        <w:t xml:space="preserve">The platform should support, subject to technical and legal feasibility:</w:t>
      </w:r>
    </w:p>
    <w:p>
      <w:pPr>
        <w:pStyle w:val="Compact"/>
        <w:numPr>
          <w:ilvl w:val="0"/>
          <w:numId w:val="1028"/>
        </w:numPr>
      </w:pPr>
      <w:r>
        <w:t xml:space="preserve">identified reports;</w:t>
      </w:r>
    </w:p>
    <w:p>
      <w:pPr>
        <w:pStyle w:val="Compact"/>
        <w:numPr>
          <w:ilvl w:val="0"/>
          <w:numId w:val="1028"/>
        </w:numPr>
      </w:pPr>
      <w:r>
        <w:t xml:space="preserve">confidential reports;</w:t>
      </w:r>
    </w:p>
    <w:p>
      <w:pPr>
        <w:pStyle w:val="Compact"/>
        <w:numPr>
          <w:ilvl w:val="0"/>
          <w:numId w:val="1028"/>
        </w:numPr>
      </w:pPr>
      <w:r>
        <w:t xml:space="preserve">anonymous reports;</w:t>
      </w:r>
    </w:p>
    <w:p>
      <w:pPr>
        <w:pStyle w:val="Compact"/>
        <w:numPr>
          <w:ilvl w:val="0"/>
          <w:numId w:val="1028"/>
        </w:numPr>
      </w:pPr>
      <w:r>
        <w:t xml:space="preserve">reports on behalf of another person;</w:t>
      </w:r>
    </w:p>
    <w:p>
      <w:pPr>
        <w:pStyle w:val="Compact"/>
        <w:numPr>
          <w:ilvl w:val="0"/>
          <w:numId w:val="1028"/>
        </w:numPr>
      </w:pPr>
      <w:r>
        <w:t xml:space="preserve">emergency escalation;</w:t>
      </w:r>
    </w:p>
    <w:p>
      <w:pPr>
        <w:pStyle w:val="Compact"/>
        <w:numPr>
          <w:ilvl w:val="0"/>
          <w:numId w:val="1028"/>
        </w:numPr>
      </w:pPr>
      <w:r>
        <w:t xml:space="preserve">attachment and evidence submission;</w:t>
      </w:r>
    </w:p>
    <w:p>
      <w:pPr>
        <w:pStyle w:val="Compact"/>
        <w:numPr>
          <w:ilvl w:val="0"/>
          <w:numId w:val="1028"/>
        </w:numPr>
      </w:pPr>
      <w:r>
        <w:t xml:space="preserve">later supplementation;</w:t>
      </w:r>
    </w:p>
    <w:p>
      <w:pPr>
        <w:pStyle w:val="Compact"/>
        <w:numPr>
          <w:ilvl w:val="0"/>
          <w:numId w:val="1028"/>
        </w:numPr>
      </w:pPr>
      <w:r>
        <w:t xml:space="preserve">withdrawal of participation without destruction of the preserved report.</w:t>
      </w:r>
    </w:p>
    <w:p>
      <w:pPr>
        <w:pStyle w:val="FirstParagraph"/>
      </w:pPr>
      <w:r>
        <w:t xml:space="preserve">Anonymous status must not be represented as absolute where identity becomes legally required, technically discoverable, or necessary to prevent immediate harm.</w:t>
      </w:r>
    </w:p>
    <w:bookmarkEnd w:id="89"/>
    <w:bookmarkStart w:id="90" w:name="intake-requirements"/>
    <w:p>
      <w:pPr>
        <w:pStyle w:val="Heading2"/>
      </w:pPr>
      <w:r>
        <w:t xml:space="preserve">35. Intake Requirements</w:t>
      </w:r>
    </w:p>
    <w:p>
      <w:pPr>
        <w:pStyle w:val="FirstParagraph"/>
      </w:pPr>
      <w:r>
        <w:t xml:space="preserve">A safeguarding intake must capture only the information reasonably necessary to:</w:t>
      </w:r>
    </w:p>
    <w:p>
      <w:pPr>
        <w:pStyle w:val="Compact"/>
        <w:numPr>
          <w:ilvl w:val="0"/>
          <w:numId w:val="1029"/>
        </w:numPr>
      </w:pPr>
      <w:r>
        <w:t xml:space="preserve">identify immediate danger;</w:t>
      </w:r>
    </w:p>
    <w:p>
      <w:pPr>
        <w:pStyle w:val="Compact"/>
        <w:numPr>
          <w:ilvl w:val="0"/>
          <w:numId w:val="1029"/>
        </w:numPr>
      </w:pPr>
      <w:r>
        <w:t xml:space="preserve">protect affected persons;</w:t>
      </w:r>
    </w:p>
    <w:p>
      <w:pPr>
        <w:pStyle w:val="Compact"/>
        <w:numPr>
          <w:ilvl w:val="0"/>
          <w:numId w:val="1029"/>
        </w:numPr>
      </w:pPr>
      <w:r>
        <w:t xml:space="preserve">preserve evidence;</w:t>
      </w:r>
    </w:p>
    <w:p>
      <w:pPr>
        <w:pStyle w:val="Compact"/>
        <w:numPr>
          <w:ilvl w:val="0"/>
          <w:numId w:val="1029"/>
        </w:numPr>
      </w:pPr>
      <w:r>
        <w:t xml:space="preserve">route the concern;</w:t>
      </w:r>
    </w:p>
    <w:p>
      <w:pPr>
        <w:pStyle w:val="Compact"/>
        <w:numPr>
          <w:ilvl w:val="0"/>
          <w:numId w:val="1029"/>
        </w:numPr>
      </w:pPr>
      <w:r>
        <w:t xml:space="preserve">identify relevant jurisdiction or organization;</w:t>
      </w:r>
    </w:p>
    <w:p>
      <w:pPr>
        <w:pStyle w:val="Compact"/>
        <w:numPr>
          <w:ilvl w:val="0"/>
          <w:numId w:val="1029"/>
        </w:numPr>
      </w:pPr>
      <w:r>
        <w:t xml:space="preserve">determine required interim restrictions;</w:t>
      </w:r>
    </w:p>
    <w:p>
      <w:pPr>
        <w:pStyle w:val="Compact"/>
        <w:numPr>
          <w:ilvl w:val="0"/>
          <w:numId w:val="1029"/>
        </w:numPr>
      </w:pPr>
      <w:r>
        <w:t xml:space="preserve">support qualified review.</w:t>
      </w:r>
    </w:p>
    <w:p>
      <w:pPr>
        <w:pStyle w:val="FirstParagraph"/>
      </w:pPr>
      <w:r>
        <w:t xml:space="preserve">The platform must not require a reporter to prove the concern before intake is accepted. It must not use terms, warnings, mandatory confrontation, or excessive fields that reasonably deter a good-faith report.</w:t>
      </w:r>
    </w:p>
    <w:p>
      <w:pPr>
        <w:pStyle w:val="BodyText"/>
      </w:pPr>
      <w:r>
        <w:t xml:space="preserve">Intake must clearly distinguish the person reporting, the affected participant, the Responding Person, witnesses, and persons requiring immediate protection. Those roles must not be inferred from one another.</w:t>
      </w:r>
    </w:p>
    <w:bookmarkEnd w:id="90"/>
    <w:bookmarkStart w:id="91" w:name="triage-states"/>
    <w:p>
      <w:pPr>
        <w:pStyle w:val="Heading2"/>
      </w:pPr>
      <w:r>
        <w:t xml:space="preserve">36. Triage States</w:t>
      </w:r>
    </w:p>
    <w:p>
      <w:pPr>
        <w:pStyle w:val="FirstParagraph"/>
      </w:pPr>
      <w:r>
        <w:t xml:space="preserve">A later operational standard should support at least:</w:t>
      </w:r>
    </w:p>
    <w:p>
      <w:pPr>
        <w:pStyle w:val="Compact"/>
        <w:numPr>
          <w:ilvl w:val="0"/>
          <w:numId w:val="1030"/>
        </w:numPr>
      </w:pPr>
      <w:r>
        <w:t xml:space="preserve">received;</w:t>
      </w:r>
    </w:p>
    <w:p>
      <w:pPr>
        <w:pStyle w:val="Compact"/>
        <w:numPr>
          <w:ilvl w:val="0"/>
          <w:numId w:val="1030"/>
        </w:numPr>
      </w:pPr>
      <w:r>
        <w:t xml:space="preserve">emergency assessment pending;</w:t>
      </w:r>
    </w:p>
    <w:p>
      <w:pPr>
        <w:pStyle w:val="Compact"/>
        <w:numPr>
          <w:ilvl w:val="0"/>
          <w:numId w:val="1030"/>
        </w:numPr>
      </w:pPr>
      <w:r>
        <w:t xml:space="preserve">emergency escalated;</w:t>
      </w:r>
    </w:p>
    <w:p>
      <w:pPr>
        <w:pStyle w:val="Compact"/>
        <w:numPr>
          <w:ilvl w:val="0"/>
          <w:numId w:val="1030"/>
        </w:numPr>
      </w:pPr>
      <w:r>
        <w:t xml:space="preserve">triage in progress;</w:t>
      </w:r>
    </w:p>
    <w:p>
      <w:pPr>
        <w:pStyle w:val="Compact"/>
        <w:numPr>
          <w:ilvl w:val="0"/>
          <w:numId w:val="1030"/>
        </w:numPr>
      </w:pPr>
      <w:r>
        <w:t xml:space="preserve">protective measures active;</w:t>
      </w:r>
    </w:p>
    <w:p>
      <w:pPr>
        <w:pStyle w:val="Compact"/>
        <w:numPr>
          <w:ilvl w:val="0"/>
          <w:numId w:val="1030"/>
        </w:numPr>
      </w:pPr>
      <w:r>
        <w:t xml:space="preserve">referred to external authority;</w:t>
      </w:r>
    </w:p>
    <w:p>
      <w:pPr>
        <w:pStyle w:val="Compact"/>
        <w:numPr>
          <w:ilvl w:val="0"/>
          <w:numId w:val="1030"/>
        </w:numPr>
      </w:pPr>
      <w:r>
        <w:t xml:space="preserve">under controlled review;</w:t>
      </w:r>
    </w:p>
    <w:p>
      <w:pPr>
        <w:pStyle w:val="Compact"/>
        <w:numPr>
          <w:ilvl w:val="0"/>
          <w:numId w:val="1030"/>
        </w:numPr>
      </w:pPr>
      <w:r>
        <w:t xml:space="preserve">additional information requested;</w:t>
      </w:r>
    </w:p>
    <w:p>
      <w:pPr>
        <w:pStyle w:val="Compact"/>
        <w:numPr>
          <w:ilvl w:val="0"/>
          <w:numId w:val="1030"/>
        </w:numPr>
      </w:pPr>
      <w:r>
        <w:t xml:space="preserve">closed with determination;</w:t>
      </w:r>
    </w:p>
    <w:p>
      <w:pPr>
        <w:pStyle w:val="Compact"/>
        <w:numPr>
          <w:ilvl w:val="0"/>
          <w:numId w:val="1030"/>
        </w:numPr>
      </w:pPr>
      <w:r>
        <w:t xml:space="preserve">closed without determination;</w:t>
      </w:r>
    </w:p>
    <w:p>
      <w:pPr>
        <w:pStyle w:val="Compact"/>
        <w:numPr>
          <w:ilvl w:val="0"/>
          <w:numId w:val="1030"/>
        </w:numPr>
      </w:pPr>
      <w:r>
        <w:t xml:space="preserve">withdrawn by reporter but preserved;</w:t>
      </w:r>
    </w:p>
    <w:p>
      <w:pPr>
        <w:pStyle w:val="Compact"/>
        <w:numPr>
          <w:ilvl w:val="0"/>
          <w:numId w:val="1030"/>
        </w:numPr>
      </w:pPr>
      <w:r>
        <w:t xml:space="preserve">reopened.</w:t>
      </w:r>
    </w:p>
    <w:p>
      <w:pPr>
        <w:pStyle w:val="FirstParagraph"/>
      </w:pPr>
      <w:r>
        <w:t xml:space="preserve">Status labels must not imply guilt or falsity. Closure states must distinguish, at minimum, substantiated or established where a qualified authority uses such a term, unsubstantiated, insufficient information, outside jurisdiction, referred externally, resolved through protective action, knowingly false or malicious after an authorized determination, and closed without determination. A system must not translate</w:t>
      </w:r>
      <w:r>
        <w:t xml:space="preserve"> </w:t>
      </w:r>
      <w:r>
        <w:t xml:space="preserve">“</w:t>
      </w:r>
      <w:r>
        <w:t xml:space="preserve">unsubstantiated</w:t>
      </w:r>
      <w:r>
        <w:t xml:space="preserve">”</w:t>
      </w:r>
      <w:r>
        <w:t xml:space="preserve"> </w:t>
      </w:r>
      <w:r>
        <w:t xml:space="preserve">into</w:t>
      </w:r>
      <w:r>
        <w:t xml:space="preserve"> </w:t>
      </w:r>
      <w:r>
        <w:t xml:space="preserve">“</w:t>
      </w:r>
      <w:r>
        <w:t xml:space="preserve">false.</w:t>
      </w:r>
      <w:r>
        <w:t xml:space="preserve">”</w:t>
      </w:r>
    </w:p>
    <w:bookmarkEnd w:id="91"/>
    <w:bookmarkStart w:id="94" w:name="immediate-danger"/>
    <w:p>
      <w:pPr>
        <w:pStyle w:val="Heading2"/>
      </w:pPr>
      <w:r>
        <w:t xml:space="preserve">37. Immediate Danger</w:t>
      </w:r>
    </w:p>
    <w:p>
      <w:pPr>
        <w:pStyle w:val="FirstParagraph"/>
      </w:pPr>
      <w:r>
        <w:t xml:space="preserve">Where a report indicates possible immediate danger, the platform must prominently direct the reporter to emergency services or another appropriate immediate safety resource. EquineSync must not represent the platform as a substitute for emergency response.</w:t>
      </w:r>
    </w:p>
    <w:p>
      <w:pPr>
        <w:pStyle w:val="BodyText"/>
      </w:pPr>
      <w:r>
        <w:t xml:space="preserve">Emergency escalation must preserve:</w:t>
      </w:r>
    </w:p>
    <w:p>
      <w:pPr>
        <w:pStyle w:val="Compact"/>
        <w:numPr>
          <w:ilvl w:val="0"/>
          <w:numId w:val="1031"/>
        </w:numPr>
      </w:pPr>
      <w:r>
        <w:t xml:space="preserve">the report;</w:t>
      </w:r>
    </w:p>
    <w:p>
      <w:pPr>
        <w:pStyle w:val="Compact"/>
        <w:numPr>
          <w:ilvl w:val="0"/>
          <w:numId w:val="1031"/>
        </w:numPr>
      </w:pPr>
      <w:r>
        <w:t xml:space="preserve">time and channel;</w:t>
      </w:r>
    </w:p>
    <w:p>
      <w:pPr>
        <w:pStyle w:val="Compact"/>
        <w:numPr>
          <w:ilvl w:val="0"/>
          <w:numId w:val="1031"/>
        </w:numPr>
      </w:pPr>
      <w:r>
        <w:t xml:space="preserve">actor and recipient;</w:t>
      </w:r>
    </w:p>
    <w:p>
      <w:pPr>
        <w:pStyle w:val="Compact"/>
        <w:numPr>
          <w:ilvl w:val="0"/>
          <w:numId w:val="1031"/>
        </w:numPr>
      </w:pPr>
      <w:r>
        <w:t xml:space="preserve">instructions displayed;</w:t>
      </w:r>
    </w:p>
    <w:p>
      <w:pPr>
        <w:pStyle w:val="Compact"/>
        <w:numPr>
          <w:ilvl w:val="0"/>
          <w:numId w:val="1031"/>
        </w:numPr>
      </w:pPr>
      <w:r>
        <w:t xml:space="preserve">protective action taken;</w:t>
      </w:r>
    </w:p>
    <w:p>
      <w:pPr>
        <w:pStyle w:val="Compact"/>
        <w:numPr>
          <w:ilvl w:val="0"/>
          <w:numId w:val="1031"/>
        </w:numPr>
      </w:pPr>
      <w:r>
        <w:t xml:space="preserve">external referral where recorded;</w:t>
      </w:r>
    </w:p>
    <w:p>
      <w:pPr>
        <w:pStyle w:val="Compact"/>
        <w:numPr>
          <w:ilvl w:val="0"/>
          <w:numId w:val="1031"/>
        </w:numPr>
      </w:pPr>
      <w:r>
        <w:t xml:space="preserve">whether an external reporting duty was considered, completed, declined by the authorized reporter, or remained unresolved.</w:t>
      </w:r>
    </w:p>
    <w:bookmarkStart w:id="92" w:name="external-reporting-duties"/>
    <w:p>
      <w:pPr>
        <w:pStyle w:val="Heading3"/>
      </w:pPr>
      <w:r>
        <w:t xml:space="preserve">37.1 External Reporting Duties</w:t>
      </w:r>
    </w:p>
    <w:p>
      <w:pPr>
        <w:pStyle w:val="FirstParagraph"/>
      </w:pPr>
      <w:r>
        <w:t xml:space="preserve">An internal report, customer review, guardian discussion, platform restriction, or request for more information must not delay or replace an applicable External Reporting Duty. Where a role may be a Mandated Reporter, the platform should provide clear routing, preserve the time-sensitive obligation, and avoid representing customer or EquineSync review as legal clearance.</w:t>
      </w:r>
    </w:p>
    <w:p>
      <w:pPr>
        <w:pStyle w:val="BodyText"/>
      </w:pPr>
      <w:r>
        <w:t xml:space="preserve">The system must not require internal approval before an authorized person contacts emergency services, child-protection authorities, law enforcement, a governing body, or another required authority. It may require later evidence of the action where lawful and appropriate.</w:t>
      </w:r>
    </w:p>
    <w:bookmarkEnd w:id="92"/>
    <w:bookmarkStart w:id="93" w:name="external-referral-record"/>
    <w:p>
      <w:pPr>
        <w:pStyle w:val="Heading3"/>
      </w:pPr>
      <w:r>
        <w:t xml:space="preserve">37.2 External Referral Record</w:t>
      </w:r>
    </w:p>
    <w:p>
      <w:pPr>
        <w:pStyle w:val="FirstParagraph"/>
      </w:pPr>
      <w:r>
        <w:t xml:space="preserve">An external referral record should capture the reporting actor, authority or recipient, date and time, method, scope, confirmation or reference number where available, instructions received, confidentiality constraints, and subsequent actions. It must not store excessive details or expose the referral to ordinary administrators.</w:t>
      </w:r>
    </w:p>
    <w:bookmarkEnd w:id="93"/>
    <w:bookmarkEnd w:id="94"/>
    <w:bookmarkStart w:id="95" w:name="emergency-protective-authority"/>
    <w:p>
      <w:pPr>
        <w:pStyle w:val="Heading2"/>
      </w:pPr>
      <w:r>
        <w:t xml:space="preserve">38. Emergency Protective Authority</w:t>
      </w:r>
    </w:p>
    <w:p>
      <w:pPr>
        <w:pStyle w:val="FirstParagraph"/>
      </w:pPr>
      <w:r>
        <w:t xml:space="preserve">A designated safeguarding authority or narrowly authorized emergency actor may impose temporary protections, including:</w:t>
      </w:r>
    </w:p>
    <w:p>
      <w:pPr>
        <w:pStyle w:val="Compact"/>
        <w:numPr>
          <w:ilvl w:val="0"/>
          <w:numId w:val="1032"/>
        </w:numPr>
      </w:pPr>
      <w:r>
        <w:t xml:space="preserve">suspending messaging;</w:t>
      </w:r>
    </w:p>
    <w:p>
      <w:pPr>
        <w:pStyle w:val="Compact"/>
        <w:numPr>
          <w:ilvl w:val="0"/>
          <w:numId w:val="1032"/>
        </w:numPr>
      </w:pPr>
      <w:r>
        <w:t xml:space="preserve">blocking contact;</w:t>
      </w:r>
    </w:p>
    <w:p>
      <w:pPr>
        <w:pStyle w:val="Compact"/>
        <w:numPr>
          <w:ilvl w:val="0"/>
          <w:numId w:val="1032"/>
        </w:numPr>
      </w:pPr>
      <w:r>
        <w:t xml:space="preserve">removing directory visibility;</w:t>
      </w:r>
    </w:p>
    <w:p>
      <w:pPr>
        <w:pStyle w:val="Compact"/>
        <w:numPr>
          <w:ilvl w:val="0"/>
          <w:numId w:val="1032"/>
        </w:numPr>
      </w:pPr>
      <w:r>
        <w:t xml:space="preserve">restricting assignment or scheduling;</w:t>
      </w:r>
    </w:p>
    <w:p>
      <w:pPr>
        <w:pStyle w:val="Compact"/>
        <w:numPr>
          <w:ilvl w:val="0"/>
          <w:numId w:val="1032"/>
        </w:numPr>
      </w:pPr>
      <w:r>
        <w:t xml:space="preserve">freezing delegated assistance;</w:t>
      </w:r>
    </w:p>
    <w:p>
      <w:pPr>
        <w:pStyle w:val="Compact"/>
        <w:numPr>
          <w:ilvl w:val="0"/>
          <w:numId w:val="1032"/>
        </w:numPr>
      </w:pPr>
      <w:r>
        <w:t xml:space="preserve">limiting physical access;</w:t>
      </w:r>
    </w:p>
    <w:p>
      <w:pPr>
        <w:pStyle w:val="Compact"/>
        <w:numPr>
          <w:ilvl w:val="0"/>
          <w:numId w:val="1032"/>
        </w:numPr>
      </w:pPr>
      <w:r>
        <w:t xml:space="preserve">blocking pickup or release;</w:t>
      </w:r>
    </w:p>
    <w:p>
      <w:pPr>
        <w:pStyle w:val="Compact"/>
        <w:numPr>
          <w:ilvl w:val="0"/>
          <w:numId w:val="1032"/>
        </w:numPr>
      </w:pPr>
      <w:r>
        <w:t xml:space="preserve">restricting transportation authority;</w:t>
      </w:r>
    </w:p>
    <w:p>
      <w:pPr>
        <w:pStyle w:val="Compact"/>
        <w:numPr>
          <w:ilvl w:val="0"/>
          <w:numId w:val="1032"/>
        </w:numPr>
      </w:pPr>
      <w:r>
        <w:t xml:space="preserve">restricting media or location access;</w:t>
      </w:r>
    </w:p>
    <w:p>
      <w:pPr>
        <w:pStyle w:val="Compact"/>
        <w:numPr>
          <w:ilvl w:val="0"/>
          <w:numId w:val="1032"/>
        </w:numPr>
      </w:pPr>
      <w:r>
        <w:t xml:space="preserve">preserving records and assets;</w:t>
      </w:r>
    </w:p>
    <w:p>
      <w:pPr>
        <w:pStyle w:val="Compact"/>
        <w:numPr>
          <w:ilvl w:val="0"/>
          <w:numId w:val="1032"/>
        </w:numPr>
      </w:pPr>
      <w:r>
        <w:t xml:space="preserve">escalating to legal, governing-body, or emergency channels.</w:t>
      </w:r>
    </w:p>
    <w:bookmarkEnd w:id="95"/>
    <w:bookmarkStart w:id="96" w:name="emergency-restriction-standard"/>
    <w:p>
      <w:pPr>
        <w:pStyle w:val="Heading2"/>
      </w:pPr>
      <w:r>
        <w:t xml:space="preserve">39. Emergency Restriction Standard</w:t>
      </w:r>
    </w:p>
    <w:p>
      <w:pPr>
        <w:pStyle w:val="FirstParagraph"/>
      </w:pPr>
      <w:r>
        <w:t xml:space="preserve">Emergency restrictions must be:</w:t>
      </w:r>
    </w:p>
    <w:p>
      <w:pPr>
        <w:pStyle w:val="Compact"/>
        <w:numPr>
          <w:ilvl w:val="0"/>
          <w:numId w:val="1033"/>
        </w:numPr>
      </w:pPr>
      <w:r>
        <w:t xml:space="preserve">based on a reasonable safety concern;</w:t>
      </w:r>
    </w:p>
    <w:p>
      <w:pPr>
        <w:pStyle w:val="Compact"/>
        <w:numPr>
          <w:ilvl w:val="0"/>
          <w:numId w:val="1033"/>
        </w:numPr>
      </w:pPr>
      <w:r>
        <w:t xml:space="preserve">minimum necessary;</w:t>
      </w:r>
    </w:p>
    <w:p>
      <w:pPr>
        <w:pStyle w:val="Compact"/>
        <w:numPr>
          <w:ilvl w:val="0"/>
          <w:numId w:val="1033"/>
        </w:numPr>
      </w:pPr>
      <w:r>
        <w:t xml:space="preserve">attributable;</w:t>
      </w:r>
    </w:p>
    <w:p>
      <w:pPr>
        <w:pStyle w:val="Compact"/>
        <w:numPr>
          <w:ilvl w:val="0"/>
          <w:numId w:val="1033"/>
        </w:numPr>
      </w:pPr>
      <w:r>
        <w:t xml:space="preserve">time-bound or review-bound;</w:t>
      </w:r>
    </w:p>
    <w:p>
      <w:pPr>
        <w:pStyle w:val="Compact"/>
        <w:numPr>
          <w:ilvl w:val="0"/>
          <w:numId w:val="1033"/>
        </w:numPr>
      </w:pPr>
      <w:r>
        <w:t xml:space="preserve">auditable;</w:t>
      </w:r>
    </w:p>
    <w:p>
      <w:pPr>
        <w:pStyle w:val="Compact"/>
        <w:numPr>
          <w:ilvl w:val="0"/>
          <w:numId w:val="1033"/>
        </w:numPr>
      </w:pPr>
      <w:r>
        <w:t xml:space="preserve">communicated only to appropriate recipients;</w:t>
      </w:r>
    </w:p>
    <w:p>
      <w:pPr>
        <w:pStyle w:val="Compact"/>
        <w:numPr>
          <w:ilvl w:val="0"/>
          <w:numId w:val="1033"/>
        </w:numPr>
      </w:pPr>
      <w:r>
        <w:t xml:space="preserve">reviewed promptly;</w:t>
      </w:r>
    </w:p>
    <w:p>
      <w:pPr>
        <w:pStyle w:val="Compact"/>
        <w:numPr>
          <w:ilvl w:val="0"/>
          <w:numId w:val="1033"/>
        </w:numPr>
      </w:pPr>
      <w:r>
        <w:t xml:space="preserve">corrected or withdrawn when no longer supported.</w:t>
      </w:r>
    </w:p>
    <w:p>
      <w:pPr>
        <w:pStyle w:val="FirstParagraph"/>
      </w:pPr>
      <w:r>
        <w:t xml:space="preserve">Emergency restrictions do not establish final guilt, liability, or permanent ineligibility.</w:t>
      </w:r>
    </w:p>
    <w:p>
      <w:pPr>
        <w:pStyle w:val="BodyText"/>
      </w:pPr>
      <w:r>
        <w:t xml:space="preserve">A Safety Plan may combine restrictions, supervision, schedule separation, communication routing, pickup controls, transportation limits, media suppression, and emergency contacts. The plan must identify the protected purpose, review owner, duration, and affected capabilities without unnecessarily disclosing the underlying allegation.</w:t>
      </w:r>
    </w:p>
    <w:bookmarkEnd w:id="96"/>
    <w:bookmarkStart w:id="97" w:name="guardian-notice-exceptions"/>
    <w:p>
      <w:pPr>
        <w:pStyle w:val="Heading2"/>
      </w:pPr>
      <w:r>
        <w:t xml:space="preserve">40. Guardian Notice Exceptions</w:t>
      </w:r>
    </w:p>
    <w:p>
      <w:pPr>
        <w:pStyle w:val="FirstParagraph"/>
      </w:pPr>
      <w:r>
        <w:t xml:space="preserve">Guardian notice or access may be delayed, restricted, or withheld where disclosure creates a documented risk described in Section 17.</w:t>
      </w:r>
    </w:p>
    <w:p>
      <w:pPr>
        <w:pStyle w:val="BodyText"/>
      </w:pPr>
      <w:r>
        <w:t xml:space="preserve">The decision must identify:</w:t>
      </w:r>
    </w:p>
    <w:p>
      <w:pPr>
        <w:pStyle w:val="Compact"/>
        <w:numPr>
          <w:ilvl w:val="0"/>
          <w:numId w:val="1034"/>
        </w:numPr>
      </w:pPr>
      <w:r>
        <w:t xml:space="preserve">the matter;</w:t>
      </w:r>
    </w:p>
    <w:p>
      <w:pPr>
        <w:pStyle w:val="Compact"/>
        <w:numPr>
          <w:ilvl w:val="0"/>
          <w:numId w:val="1034"/>
        </w:numPr>
      </w:pPr>
      <w:r>
        <w:t xml:space="preserve">the restricting authority;</w:t>
      </w:r>
    </w:p>
    <w:p>
      <w:pPr>
        <w:pStyle w:val="Compact"/>
        <w:numPr>
          <w:ilvl w:val="0"/>
          <w:numId w:val="1034"/>
        </w:numPr>
      </w:pPr>
      <w:r>
        <w:t xml:space="preserve">the reason;</w:t>
      </w:r>
    </w:p>
    <w:p>
      <w:pPr>
        <w:pStyle w:val="Compact"/>
        <w:numPr>
          <w:ilvl w:val="0"/>
          <w:numId w:val="1034"/>
        </w:numPr>
      </w:pPr>
      <w:r>
        <w:t xml:space="preserve">the scope;</w:t>
      </w:r>
    </w:p>
    <w:p>
      <w:pPr>
        <w:pStyle w:val="Compact"/>
        <w:numPr>
          <w:ilvl w:val="0"/>
          <w:numId w:val="1034"/>
        </w:numPr>
      </w:pPr>
      <w:r>
        <w:t xml:space="preserve">the review date;</w:t>
      </w:r>
    </w:p>
    <w:p>
      <w:pPr>
        <w:pStyle w:val="Compact"/>
        <w:numPr>
          <w:ilvl w:val="0"/>
          <w:numId w:val="1034"/>
        </w:numPr>
      </w:pPr>
      <w:r>
        <w:t xml:space="preserve">any substitute protective adult or authority;</w:t>
      </w:r>
    </w:p>
    <w:p>
      <w:pPr>
        <w:pStyle w:val="Compact"/>
        <w:numPr>
          <w:ilvl w:val="0"/>
          <w:numId w:val="1034"/>
        </w:numPr>
      </w:pPr>
      <w:r>
        <w:t xml:space="preserve">required notice when the restriction ends.</w:t>
      </w:r>
    </w:p>
    <w:bookmarkEnd w:id="97"/>
    <w:bookmarkStart w:id="98" w:name="reporter-and-witness-protection"/>
    <w:p>
      <w:pPr>
        <w:pStyle w:val="Heading2"/>
      </w:pPr>
      <w:r>
        <w:t xml:space="preserve">41. Reporter and Witness Protection</w:t>
      </w:r>
    </w:p>
    <w:p>
      <w:pPr>
        <w:pStyle w:val="FirstParagraph"/>
      </w:pPr>
      <w:r>
        <w:t xml:space="preserve">Reporter and witness identity must be limited to those who need the information for safety, review, legal, or evidentiary purposes.</w:t>
      </w:r>
    </w:p>
    <w:p>
      <w:pPr>
        <w:pStyle w:val="BodyText"/>
      </w:pPr>
      <w:r>
        <w:t xml:space="preserve">The Responding Person, ordinary administrator, unrelated guardian, coach, trainer, or staff member must not receive reporter identity merely because they request it or challenge a restriction.</w:t>
      </w:r>
    </w:p>
    <w:p>
      <w:pPr>
        <w:pStyle w:val="BodyText"/>
      </w:pPr>
      <w:r>
        <w:t xml:space="preserve">Confidentiality cannot be promised as absolute. The reporter must be informed, in age-appropriate language where applicable, that information may be disclosed on a minimum-necessary basis for immediate safety, external reporting, legal process, governing-body process, fairness, or evidence preservation.</w:t>
      </w:r>
    </w:p>
    <w:bookmarkEnd w:id="98"/>
    <w:bookmarkStart w:id="101" w:name="non-retaliation"/>
    <w:p>
      <w:pPr>
        <w:pStyle w:val="Heading2"/>
      </w:pPr>
      <w:r>
        <w:t xml:space="preserve">42. Non-Retaliation</w:t>
      </w:r>
    </w:p>
    <w:p>
      <w:pPr>
        <w:pStyle w:val="FirstParagraph"/>
      </w:pPr>
      <w:r>
        <w:t xml:space="preserve">Retaliation is prohibited against a person who:</w:t>
      </w:r>
    </w:p>
    <w:p>
      <w:pPr>
        <w:pStyle w:val="Compact"/>
        <w:numPr>
          <w:ilvl w:val="0"/>
          <w:numId w:val="1035"/>
        </w:numPr>
      </w:pPr>
      <w:r>
        <w:t xml:space="preserve">reports a concern in good faith;</w:t>
      </w:r>
    </w:p>
    <w:p>
      <w:pPr>
        <w:pStyle w:val="Compact"/>
        <w:numPr>
          <w:ilvl w:val="0"/>
          <w:numId w:val="1035"/>
        </w:numPr>
      </w:pPr>
      <w:r>
        <w:t xml:space="preserve">assists a report or review;</w:t>
      </w:r>
    </w:p>
    <w:p>
      <w:pPr>
        <w:pStyle w:val="Compact"/>
        <w:numPr>
          <w:ilvl w:val="0"/>
          <w:numId w:val="1035"/>
        </w:numPr>
      </w:pPr>
      <w:r>
        <w:t xml:space="preserve">requests protective action;</w:t>
      </w:r>
    </w:p>
    <w:p>
      <w:pPr>
        <w:pStyle w:val="Compact"/>
        <w:numPr>
          <w:ilvl w:val="0"/>
          <w:numId w:val="1035"/>
        </w:numPr>
      </w:pPr>
      <w:r>
        <w:t xml:space="preserve">refuses optional publicity or communication;</w:t>
      </w:r>
    </w:p>
    <w:p>
      <w:pPr>
        <w:pStyle w:val="Compact"/>
        <w:numPr>
          <w:ilvl w:val="0"/>
          <w:numId w:val="1035"/>
        </w:numPr>
      </w:pPr>
      <w:r>
        <w:t xml:space="preserve">requests correction or appeal;</w:t>
      </w:r>
    </w:p>
    <w:p>
      <w:pPr>
        <w:pStyle w:val="Compact"/>
        <w:numPr>
          <w:ilvl w:val="0"/>
          <w:numId w:val="1035"/>
        </w:numPr>
      </w:pPr>
      <w:r>
        <w:t xml:space="preserve">preserves evidence;</w:t>
      </w:r>
    </w:p>
    <w:p>
      <w:pPr>
        <w:pStyle w:val="Compact"/>
        <w:numPr>
          <w:ilvl w:val="0"/>
          <w:numId w:val="1035"/>
        </w:numPr>
      </w:pPr>
      <w:r>
        <w:t xml:space="preserve">complies with a reporting or safety duty.</w:t>
      </w:r>
    </w:p>
    <w:p>
      <w:pPr>
        <w:pStyle w:val="FirstParagraph"/>
      </w:pPr>
      <w:r>
        <w:t xml:space="preserve">Retaliation indicators may include removal from lessons, unfavorable assignments, billing pressure, threats, exclusion, public exposure, horse-care retaliation, intimidation, interference with horse access or services, pressure to withdraw, or efforts to identify an anonymous reporter.</w:t>
      </w:r>
    </w:p>
    <w:p>
      <w:pPr>
        <w:pStyle w:val="BodyText"/>
      </w:pPr>
      <w:r>
        <w:t xml:space="preserve">A good-faith report remains protected even when it is not substantiated. Deliberately false or malicious reporting may be addressed only through a separate authorized process with appropriate evidence, review, and appeal. The malicious-report process must not be used to punish uncertainty, inconsistency, delayed disclosure, trauma-related memory, withdrawal, or inability to prove a concern.</w:t>
      </w:r>
    </w:p>
    <w:bookmarkStart w:id="99" w:name="case-assignment-conflict-and-recusal"/>
    <w:p>
      <w:pPr>
        <w:pStyle w:val="Heading3"/>
      </w:pPr>
      <w:r>
        <w:t xml:space="preserve">42.1 Case Assignment, Conflict, and Recusal</w:t>
      </w:r>
    </w:p>
    <w:p>
      <w:pPr>
        <w:pStyle w:val="FirstParagraph"/>
      </w:pPr>
      <w:r>
        <w:t xml:space="preserve">A Safeguarding Case must be assigned to an authorized person who is not the Responding Person and does not have a material Conflict of Interest. A conflicted customer owner, administrator, supervisor, guardian, trainer, or EquineSync employee must be excluded from case access and decision control to the extent required.</w:t>
      </w:r>
    </w:p>
    <w:p>
      <w:pPr>
        <w:pStyle w:val="BodyText"/>
      </w:pPr>
      <w:r>
        <w:t xml:space="preserve">The system must support recusal, reassignment, escalation outside the ordinary supervisory chain, and documented review of alleged conflicts.</w:t>
      </w:r>
    </w:p>
    <w:bookmarkEnd w:id="99"/>
    <w:bookmarkStart w:id="100" w:name="notice-to-responding-persons"/>
    <w:p>
      <w:pPr>
        <w:pStyle w:val="Heading3"/>
      </w:pPr>
      <w:r>
        <w:t xml:space="preserve">42.2 Notice to Responding Persons</w:t>
      </w:r>
    </w:p>
    <w:p>
      <w:pPr>
        <w:pStyle w:val="FirstParagraph"/>
      </w:pPr>
      <w:r>
        <w:t xml:space="preserve">A Responding Person should receive timely, scope-appropriate notice of restrictions, process, and review rights when notice does not increase danger, compromise evidence, violate law, or expose protected reporter or witness information. Notice must distinguish an allegation or interim protective measure from a final determination.</w:t>
      </w:r>
    </w:p>
    <w:bookmarkEnd w:id="100"/>
    <w:bookmarkEnd w:id="101"/>
    <w:bookmarkEnd w:id="102"/>
    <w:bookmarkStart w:id="108" w:name="X227cc0a7b9e5cda6e87af99f0532e7948f14d56"/>
    <w:p>
      <w:pPr>
        <w:pStyle w:val="Heading1"/>
      </w:pPr>
      <w:r>
        <w:t xml:space="preserve">Part VIII - Adult Eligibility and Protected Roles</w:t>
      </w:r>
    </w:p>
    <w:bookmarkStart w:id="103" w:name="adult-eligibility-floor"/>
    <w:p>
      <w:pPr>
        <w:pStyle w:val="Heading2"/>
      </w:pPr>
      <w:r>
        <w:t xml:space="preserve">43. Adult Eligibility Floor</w:t>
      </w:r>
    </w:p>
    <w:p>
      <w:pPr>
        <w:pStyle w:val="FirstParagraph"/>
      </w:pPr>
      <w:r>
        <w:t xml:space="preserve">Before an adult receives protected-participant access or assignments, the applicable organization must maintain a governed eligibility state.</w:t>
      </w:r>
    </w:p>
    <w:p>
      <w:pPr>
        <w:pStyle w:val="BodyText"/>
      </w:pPr>
      <w:r>
        <w:t xml:space="preserve">The constitutional floor includes:</w:t>
      </w:r>
    </w:p>
    <w:p>
      <w:pPr>
        <w:pStyle w:val="Compact"/>
        <w:numPr>
          <w:ilvl w:val="0"/>
          <w:numId w:val="1036"/>
        </w:numPr>
      </w:pPr>
      <w:r>
        <w:t xml:space="preserve">verified identity;</w:t>
      </w:r>
    </w:p>
    <w:p>
      <w:pPr>
        <w:pStyle w:val="Compact"/>
        <w:numPr>
          <w:ilvl w:val="0"/>
          <w:numId w:val="1036"/>
        </w:numPr>
      </w:pPr>
      <w:r>
        <w:t xml:space="preserve">valid role and relationship;</w:t>
      </w:r>
    </w:p>
    <w:p>
      <w:pPr>
        <w:pStyle w:val="Compact"/>
        <w:numPr>
          <w:ilvl w:val="0"/>
          <w:numId w:val="1036"/>
        </w:numPr>
      </w:pPr>
      <w:r>
        <w:t xml:space="preserve">applicable training or acknowledgment;</w:t>
      </w:r>
    </w:p>
    <w:p>
      <w:pPr>
        <w:pStyle w:val="Compact"/>
        <w:numPr>
          <w:ilvl w:val="0"/>
          <w:numId w:val="1036"/>
        </w:numPr>
      </w:pPr>
      <w:r>
        <w:t xml:space="preserve">known restriction and suspension checks;</w:t>
      </w:r>
    </w:p>
    <w:p>
      <w:pPr>
        <w:pStyle w:val="Compact"/>
        <w:numPr>
          <w:ilvl w:val="0"/>
          <w:numId w:val="1036"/>
        </w:numPr>
      </w:pPr>
      <w:r>
        <w:t xml:space="preserve">purpose-limited access;</w:t>
      </w:r>
    </w:p>
    <w:p>
      <w:pPr>
        <w:pStyle w:val="Compact"/>
        <w:numPr>
          <w:ilvl w:val="0"/>
          <w:numId w:val="1036"/>
        </w:numPr>
      </w:pPr>
      <w:r>
        <w:t xml:space="preserve">periodic revalidation;</w:t>
      </w:r>
    </w:p>
    <w:p>
      <w:pPr>
        <w:pStyle w:val="Compact"/>
        <w:numPr>
          <w:ilvl w:val="0"/>
          <w:numId w:val="1036"/>
        </w:numPr>
      </w:pPr>
      <w:r>
        <w:t xml:space="preserve">immediate revocation capability;</w:t>
      </w:r>
    </w:p>
    <w:p>
      <w:pPr>
        <w:pStyle w:val="Compact"/>
        <w:numPr>
          <w:ilvl w:val="0"/>
          <w:numId w:val="1036"/>
        </w:numPr>
      </w:pPr>
      <w:r>
        <w:t xml:space="preserve">no self-approval;</w:t>
      </w:r>
    </w:p>
    <w:p>
      <w:pPr>
        <w:pStyle w:val="Compact"/>
        <w:numPr>
          <w:ilvl w:val="0"/>
          <w:numId w:val="1036"/>
        </w:numPr>
      </w:pPr>
      <w:r>
        <w:t xml:space="preserve">organization-specific accountability;</w:t>
      </w:r>
    </w:p>
    <w:p>
      <w:pPr>
        <w:pStyle w:val="Compact"/>
        <w:numPr>
          <w:ilvl w:val="0"/>
          <w:numId w:val="1036"/>
        </w:numPr>
      </w:pPr>
      <w:r>
        <w:t xml:space="preserve">screening or governing-body status where required by the applicable organization or law;</w:t>
      </w:r>
    </w:p>
    <w:p>
      <w:pPr>
        <w:pStyle w:val="Compact"/>
        <w:numPr>
          <w:ilvl w:val="0"/>
          <w:numId w:val="1036"/>
        </w:numPr>
      </w:pPr>
      <w:r>
        <w:t xml:space="preserve">an appeal or correction path for inaccurate identity, training, or restriction information;</w:t>
      </w:r>
    </w:p>
    <w:p>
      <w:pPr>
        <w:pStyle w:val="Compact"/>
        <w:numPr>
          <w:ilvl w:val="0"/>
          <w:numId w:val="1036"/>
        </w:numPr>
      </w:pPr>
      <w:r>
        <w:t xml:space="preserve">controls preventing the adult from approving their own eligibility or reactivation.</w:t>
      </w:r>
    </w:p>
    <w:bookmarkEnd w:id="103"/>
    <w:bookmarkStart w:id="104" w:name="Xc590f3125090bfaefd168a62336e14c47d13209"/>
    <w:p>
      <w:pPr>
        <w:pStyle w:val="Heading2"/>
      </w:pPr>
      <w:r>
        <w:t xml:space="preserve">44. Eligibility Does Not Transfer Automatically</w:t>
      </w:r>
    </w:p>
    <w:p>
      <w:pPr>
        <w:pStyle w:val="FirstParagraph"/>
      </w:pPr>
      <w:r>
        <w:t xml:space="preserve">An adult’s eligibility in one organization, tenant, facility, sport, or program does not automatically establish eligibility elsewhere.</w:t>
      </w:r>
    </w:p>
    <w:p>
      <w:pPr>
        <w:pStyle w:val="BodyText"/>
      </w:pPr>
      <w:r>
        <w:t xml:space="preserve">EquineSync shall not create a general cross-tenant risk list or reputation score based on unverified allegations, AI inference, ordinary complaints, or tenant convenience.</w:t>
      </w:r>
    </w:p>
    <w:p>
      <w:pPr>
        <w:pStyle w:val="BodyText"/>
      </w:pPr>
      <w:r>
        <w:t xml:space="preserve">Cross-organization restrictions require a lawful, governing-body, contractual, or founder-approved basis with appropriate evidence and review. A restriction imported from an external authority must preserve source, scope, effective period, review status, and limits. EquineSync must not restate an external status more broadly than the source permits.</w:t>
      </w:r>
    </w:p>
    <w:bookmarkEnd w:id="104"/>
    <w:bookmarkStart w:id="105" w:name="suspensions-and-restrictions"/>
    <w:p>
      <w:pPr>
        <w:pStyle w:val="Heading2"/>
      </w:pPr>
      <w:r>
        <w:t xml:space="preserve">45. Suspensions and Restrictions</w:t>
      </w:r>
    </w:p>
    <w:p>
      <w:pPr>
        <w:pStyle w:val="FirstParagraph"/>
      </w:pPr>
      <w:r>
        <w:t xml:space="preserve">An adult may be temporarily suspended from protected-participant contact while a concern is reviewed. The suspension must record:</w:t>
      </w:r>
    </w:p>
    <w:p>
      <w:pPr>
        <w:pStyle w:val="Compact"/>
        <w:numPr>
          <w:ilvl w:val="0"/>
          <w:numId w:val="1037"/>
        </w:numPr>
      </w:pPr>
      <w:r>
        <w:t xml:space="preserve">scope;</w:t>
      </w:r>
    </w:p>
    <w:p>
      <w:pPr>
        <w:pStyle w:val="Compact"/>
        <w:numPr>
          <w:ilvl w:val="0"/>
          <w:numId w:val="1037"/>
        </w:numPr>
      </w:pPr>
      <w:r>
        <w:t xml:space="preserve">effective time;</w:t>
      </w:r>
    </w:p>
    <w:p>
      <w:pPr>
        <w:pStyle w:val="Compact"/>
        <w:numPr>
          <w:ilvl w:val="0"/>
          <w:numId w:val="1037"/>
        </w:numPr>
      </w:pPr>
      <w:r>
        <w:t xml:space="preserve">authority;</w:t>
      </w:r>
    </w:p>
    <w:p>
      <w:pPr>
        <w:pStyle w:val="Compact"/>
        <w:numPr>
          <w:ilvl w:val="0"/>
          <w:numId w:val="1037"/>
        </w:numPr>
      </w:pPr>
      <w:r>
        <w:t xml:space="preserve">reason category;</w:t>
      </w:r>
    </w:p>
    <w:p>
      <w:pPr>
        <w:pStyle w:val="Compact"/>
        <w:numPr>
          <w:ilvl w:val="0"/>
          <w:numId w:val="1037"/>
        </w:numPr>
      </w:pPr>
      <w:r>
        <w:t xml:space="preserve">affected organizations and roles;</w:t>
      </w:r>
    </w:p>
    <w:p>
      <w:pPr>
        <w:pStyle w:val="Compact"/>
        <w:numPr>
          <w:ilvl w:val="0"/>
          <w:numId w:val="1037"/>
        </w:numPr>
      </w:pPr>
      <w:r>
        <w:t xml:space="preserve">notice status;</w:t>
      </w:r>
    </w:p>
    <w:p>
      <w:pPr>
        <w:pStyle w:val="Compact"/>
        <w:numPr>
          <w:ilvl w:val="0"/>
          <w:numId w:val="1037"/>
        </w:numPr>
      </w:pPr>
      <w:r>
        <w:t xml:space="preserve">review path;</w:t>
      </w:r>
    </w:p>
    <w:p>
      <w:pPr>
        <w:pStyle w:val="Compact"/>
        <w:numPr>
          <w:ilvl w:val="0"/>
          <w:numId w:val="1037"/>
        </w:numPr>
      </w:pPr>
      <w:r>
        <w:t xml:space="preserve">expiration or review date.</w:t>
      </w:r>
    </w:p>
    <w:p>
      <w:pPr>
        <w:pStyle w:val="FirstParagraph"/>
      </w:pPr>
      <w:r>
        <w:t xml:space="preserve">The system must distinguish temporary protection from final ineligibility. Expired eligibility, incomplete screening, missing training, active suspension, pending review, and final ineligibility are separate states and must not be collapsed into a single</w:t>
      </w:r>
      <w:r>
        <w:t xml:space="preserve"> </w:t>
      </w:r>
      <w:r>
        <w:t xml:space="preserve">“</w:t>
      </w:r>
      <w:r>
        <w:t xml:space="preserve">unsafe</w:t>
      </w:r>
      <w:r>
        <w:t xml:space="preserve">”</w:t>
      </w:r>
      <w:r>
        <w:t xml:space="preserve"> </w:t>
      </w:r>
      <w:r>
        <w:t xml:space="preserve">label.</w:t>
      </w:r>
    </w:p>
    <w:bookmarkEnd w:id="105"/>
    <w:bookmarkStart w:id="106" w:name="Xf329abafd56938685507c1df23f1674fb1caa96"/>
    <w:p>
      <w:pPr>
        <w:pStyle w:val="Heading2"/>
      </w:pPr>
      <w:r>
        <w:t xml:space="preserve">46. Staff, Volunteer, Provider, and Contractor Access</w:t>
      </w:r>
    </w:p>
    <w:p>
      <w:pPr>
        <w:pStyle w:val="FirstParagraph"/>
      </w:pPr>
      <w:r>
        <w:t xml:space="preserve">Employment, volunteer, provider, contractor, ownership, or administrator status does not create protected-participant access.</w:t>
      </w:r>
    </w:p>
    <w:p>
      <w:pPr>
        <w:pStyle w:val="BodyText"/>
      </w:pPr>
      <w:r>
        <w:t xml:space="preserve">Access must be tied to:</w:t>
      </w:r>
    </w:p>
    <w:p>
      <w:pPr>
        <w:pStyle w:val="Compact"/>
        <w:numPr>
          <w:ilvl w:val="0"/>
          <w:numId w:val="1038"/>
        </w:numPr>
      </w:pPr>
      <w:r>
        <w:t xml:space="preserve">current assignment;</w:t>
      </w:r>
    </w:p>
    <w:p>
      <w:pPr>
        <w:pStyle w:val="Compact"/>
        <w:numPr>
          <w:ilvl w:val="0"/>
          <w:numId w:val="1038"/>
        </w:numPr>
      </w:pPr>
      <w:r>
        <w:t xml:space="preserve">valid relationship;</w:t>
      </w:r>
    </w:p>
    <w:p>
      <w:pPr>
        <w:pStyle w:val="Compact"/>
        <w:numPr>
          <w:ilvl w:val="0"/>
          <w:numId w:val="1038"/>
        </w:numPr>
      </w:pPr>
      <w:r>
        <w:t xml:space="preserve">eligible role;</w:t>
      </w:r>
    </w:p>
    <w:p>
      <w:pPr>
        <w:pStyle w:val="Compact"/>
        <w:numPr>
          <w:ilvl w:val="0"/>
          <w:numId w:val="1038"/>
        </w:numPr>
      </w:pPr>
      <w:r>
        <w:t xml:space="preserve">training status;</w:t>
      </w:r>
    </w:p>
    <w:p>
      <w:pPr>
        <w:pStyle w:val="Compact"/>
        <w:numPr>
          <w:ilvl w:val="0"/>
          <w:numId w:val="1038"/>
        </w:numPr>
      </w:pPr>
      <w:r>
        <w:t xml:space="preserve">minimum necessary purpose;</w:t>
      </w:r>
    </w:p>
    <w:p>
      <w:pPr>
        <w:pStyle w:val="Compact"/>
        <w:numPr>
          <w:ilvl w:val="0"/>
          <w:numId w:val="1038"/>
        </w:numPr>
      </w:pPr>
      <w:r>
        <w:t xml:space="preserve">active restrictions;</w:t>
      </w:r>
    </w:p>
    <w:p>
      <w:pPr>
        <w:pStyle w:val="Compact"/>
        <w:numPr>
          <w:ilvl w:val="0"/>
          <w:numId w:val="1038"/>
        </w:numPr>
      </w:pPr>
      <w:r>
        <w:t xml:space="preserve">required guardian participation;</w:t>
      </w:r>
    </w:p>
    <w:p>
      <w:pPr>
        <w:pStyle w:val="Compact"/>
        <w:numPr>
          <w:ilvl w:val="0"/>
          <w:numId w:val="1038"/>
        </w:numPr>
      </w:pPr>
      <w:r>
        <w:t xml:space="preserve">active case, contact, pickup, transportation, schedule, and assignment restrictions.</w:t>
      </w:r>
    </w:p>
    <w:bookmarkEnd w:id="106"/>
    <w:bookmarkStart w:id="107" w:name="equinesync-personnel"/>
    <w:p>
      <w:pPr>
        <w:pStyle w:val="Heading2"/>
      </w:pPr>
      <w:r>
        <w:t xml:space="preserve">47. EquineSync Personnel</w:t>
      </w:r>
    </w:p>
    <w:p>
      <w:pPr>
        <w:pStyle w:val="FirstParagraph"/>
      </w:pPr>
      <w:r>
        <w:t xml:space="preserve">EquineSync support, security, engineering, operations, and vendor personnel must not receive ordinary access to safeguarding records or protected communications.</w:t>
      </w:r>
    </w:p>
    <w:p>
      <w:pPr>
        <w:pStyle w:val="BodyText"/>
      </w:pPr>
      <w:r>
        <w:t xml:space="preserve">Exceptional access requires:</w:t>
      </w:r>
    </w:p>
    <w:p>
      <w:pPr>
        <w:pStyle w:val="Compact"/>
        <w:numPr>
          <w:ilvl w:val="0"/>
          <w:numId w:val="1039"/>
        </w:numPr>
      </w:pPr>
      <w:r>
        <w:t xml:space="preserve">approved role;</w:t>
      </w:r>
    </w:p>
    <w:p>
      <w:pPr>
        <w:pStyle w:val="Compact"/>
        <w:numPr>
          <w:ilvl w:val="0"/>
          <w:numId w:val="1039"/>
        </w:numPr>
      </w:pPr>
      <w:r>
        <w:t xml:space="preserve">heightened authentication;</w:t>
      </w:r>
    </w:p>
    <w:p>
      <w:pPr>
        <w:pStyle w:val="Compact"/>
        <w:numPr>
          <w:ilvl w:val="0"/>
          <w:numId w:val="1039"/>
        </w:numPr>
      </w:pPr>
      <w:r>
        <w:t xml:space="preserve">ticket or case reference;</w:t>
      </w:r>
    </w:p>
    <w:p>
      <w:pPr>
        <w:pStyle w:val="Compact"/>
        <w:numPr>
          <w:ilvl w:val="0"/>
          <w:numId w:val="1039"/>
        </w:numPr>
      </w:pPr>
      <w:r>
        <w:t xml:space="preserve">reason;</w:t>
      </w:r>
    </w:p>
    <w:p>
      <w:pPr>
        <w:pStyle w:val="Compact"/>
        <w:numPr>
          <w:ilvl w:val="0"/>
          <w:numId w:val="1039"/>
        </w:numPr>
      </w:pPr>
      <w:r>
        <w:t xml:space="preserve">minimum necessary scope;</w:t>
      </w:r>
    </w:p>
    <w:p>
      <w:pPr>
        <w:pStyle w:val="Compact"/>
        <w:numPr>
          <w:ilvl w:val="0"/>
          <w:numId w:val="1039"/>
        </w:numPr>
      </w:pPr>
      <w:r>
        <w:t xml:space="preserve">audit;</w:t>
      </w:r>
    </w:p>
    <w:p>
      <w:pPr>
        <w:pStyle w:val="Compact"/>
        <w:numPr>
          <w:ilvl w:val="0"/>
          <w:numId w:val="1039"/>
        </w:numPr>
      </w:pPr>
      <w:r>
        <w:t xml:space="preserve">review;</w:t>
      </w:r>
    </w:p>
    <w:p>
      <w:pPr>
        <w:pStyle w:val="Compact"/>
        <w:numPr>
          <w:ilvl w:val="0"/>
          <w:numId w:val="1039"/>
        </w:numPr>
      </w:pPr>
      <w:r>
        <w:t xml:space="preserve">prompt revocation;</w:t>
      </w:r>
    </w:p>
    <w:p>
      <w:pPr>
        <w:pStyle w:val="Compact"/>
        <w:numPr>
          <w:ilvl w:val="0"/>
          <w:numId w:val="1039"/>
        </w:numPr>
      </w:pPr>
      <w:r>
        <w:t xml:space="preserve">conflict-of-interest screening and exclusion of personnel personally involved in the matter;</w:t>
      </w:r>
    </w:p>
    <w:p>
      <w:pPr>
        <w:pStyle w:val="Compact"/>
        <w:numPr>
          <w:ilvl w:val="0"/>
          <w:numId w:val="1039"/>
        </w:numPr>
      </w:pPr>
      <w:r>
        <w:t xml:space="preserve">prohibition on using production data for curiosity, training, demonstrations, or unrelated quality review.</w:t>
      </w:r>
    </w:p>
    <w:bookmarkEnd w:id="107"/>
    <w:bookmarkEnd w:id="108"/>
    <w:bookmarkStart w:id="117" w:name="X96940e6551b0537bfb9fe0a7caa4d63de76fd8f"/>
    <w:p>
      <w:pPr>
        <w:pStyle w:val="Heading1"/>
      </w:pPr>
      <w:r>
        <w:t xml:space="preserve">Part IX - In-Person Participation, Release, and Transportation</w:t>
      </w:r>
    </w:p>
    <w:bookmarkStart w:id="109" w:name="Xddd7cdf9536080cc6e8e56d78470c69527cb396"/>
    <w:p>
      <w:pPr>
        <w:pStyle w:val="Heading2"/>
      </w:pPr>
      <w:r>
        <w:t xml:space="preserve">48. Observable, Interruptible, and Accountable Interaction</w:t>
      </w:r>
    </w:p>
    <w:p>
      <w:pPr>
        <w:pStyle w:val="FirstParagraph"/>
      </w:pPr>
      <w:r>
        <w:t xml:space="preserve">Where practical and applicable, protected-participant interactions should be structured to be observable, interruptible, and accountable.</w:t>
      </w:r>
    </w:p>
    <w:p>
      <w:pPr>
        <w:pStyle w:val="BodyText"/>
      </w:pPr>
      <w:r>
        <w:t xml:space="preserve">EquineSync may support this through scheduling, assignment, check-in, location, witness, staffing, and audit features, but it must not claim that software alone guarantees physical safety or governing-body compliance.</w:t>
      </w:r>
    </w:p>
    <w:bookmarkEnd w:id="109"/>
    <w:bookmarkStart w:id="112" w:name="one-to-one-in-person-activity"/>
    <w:p>
      <w:pPr>
        <w:pStyle w:val="Heading2"/>
      </w:pPr>
      <w:r>
        <w:t xml:space="preserve">49. One-to-One In-Person Activity</w:t>
      </w:r>
    </w:p>
    <w:p>
      <w:pPr>
        <w:pStyle w:val="FirstParagraph"/>
      </w:pPr>
      <w:r>
        <w:t xml:space="preserve">A one-to-one lesson, training session, care task, transport, or off-site activity involving a minor requires the applicable guardian, organization, and safeguarding authorization and must comply with the governing program’s approved supervision and interaction rules.</w:t>
      </w:r>
    </w:p>
    <w:p>
      <w:pPr>
        <w:pStyle w:val="BodyText"/>
      </w:pPr>
      <w:r>
        <w:t xml:space="preserve">The canon does not establish a universal staffing ratio. A subordinate standard must define risk-based supervision requirements.</w:t>
      </w:r>
    </w:p>
    <w:p>
      <w:pPr>
        <w:pStyle w:val="BodyText"/>
      </w:pPr>
      <w:r>
        <w:t xml:space="preserve">Physical contact, demonstrations, emergency assistance, first aid, equipment fitting, mounting assistance, and horse-control intervention must be limited to legitimate instructional or safety purposes, proportionate, and consistent with applicable organizational rules. The platform must not treat attendance at an activity as blanket authorization for unrelated physical contact.</w:t>
      </w:r>
    </w:p>
    <w:bookmarkStart w:id="110" w:name="X2e790659d5bcfdfead85c3a061aa154bcab333d"/>
    <w:p>
      <w:pPr>
        <w:pStyle w:val="Heading3"/>
      </w:pPr>
      <w:r>
        <w:t xml:space="preserve">49.1 Changing Areas, Lodging, and Private Spaces</w:t>
      </w:r>
    </w:p>
    <w:p>
      <w:pPr>
        <w:pStyle w:val="FirstParagraph"/>
      </w:pPr>
      <w:r>
        <w:t xml:space="preserve">Changing areas, bathrooms, bedrooms, lodging, overnight travel, and other private spaces require heightened rules for access, supervision, room assignments, check-in, emergency entry, and incident reporting. EquineSync may support the records and controls but must not infer that general event authorization approves every private-space or lodging arrangement.</w:t>
      </w:r>
    </w:p>
    <w:bookmarkEnd w:id="110"/>
    <w:bookmarkStart w:id="111" w:name="gifts-favors-and-financial-pressure"/>
    <w:p>
      <w:pPr>
        <w:pStyle w:val="Heading3"/>
      </w:pPr>
      <w:r>
        <w:t xml:space="preserve">49.2 Gifts, Favors, and Financial Pressure</w:t>
      </w:r>
    </w:p>
    <w:p>
      <w:pPr>
        <w:pStyle w:val="FirstParagraph"/>
      </w:pPr>
      <w:r>
        <w:t xml:space="preserve">A customer or adult role must not use gifts, discounts, private benefits, debt, billing leverage, horse access, lesson access, transportation, or special assignments to create secrecy, dependency, coercion, retaliation, or preferential private access to a protected participant. Legitimate program-wide awards or ordinary low-risk recognition should be governed by transparent organizational rules.</w:t>
      </w:r>
    </w:p>
    <w:bookmarkEnd w:id="111"/>
    <w:bookmarkEnd w:id="112"/>
    <w:bookmarkStart w:id="113" w:name="pickup-and-release"/>
    <w:p>
      <w:pPr>
        <w:pStyle w:val="Heading2"/>
      </w:pPr>
      <w:r>
        <w:t xml:space="preserve">50. Pickup and Release</w:t>
      </w:r>
    </w:p>
    <w:p>
      <w:pPr>
        <w:pStyle w:val="FirstParagraph"/>
      </w:pPr>
      <w:r>
        <w:t xml:space="preserve">Pickup and release controls must support:</w:t>
      </w:r>
    </w:p>
    <w:p>
      <w:pPr>
        <w:pStyle w:val="Compact"/>
        <w:numPr>
          <w:ilvl w:val="0"/>
          <w:numId w:val="1040"/>
        </w:numPr>
      </w:pPr>
      <w:r>
        <w:t xml:space="preserve">authorized persons;</w:t>
      </w:r>
    </w:p>
    <w:p>
      <w:pPr>
        <w:pStyle w:val="Compact"/>
        <w:numPr>
          <w:ilvl w:val="0"/>
          <w:numId w:val="1040"/>
        </w:numPr>
      </w:pPr>
      <w:r>
        <w:t xml:space="preserve">prohibited persons;</w:t>
      </w:r>
    </w:p>
    <w:p>
      <w:pPr>
        <w:pStyle w:val="Compact"/>
        <w:numPr>
          <w:ilvl w:val="0"/>
          <w:numId w:val="1040"/>
        </w:numPr>
      </w:pPr>
      <w:r>
        <w:t xml:space="preserve">effective dates and time windows;</w:t>
      </w:r>
    </w:p>
    <w:p>
      <w:pPr>
        <w:pStyle w:val="Compact"/>
        <w:numPr>
          <w:ilvl w:val="0"/>
          <w:numId w:val="1040"/>
        </w:numPr>
      </w:pPr>
      <w:r>
        <w:t xml:space="preserve">identity verification;</w:t>
      </w:r>
    </w:p>
    <w:p>
      <w:pPr>
        <w:pStyle w:val="Compact"/>
        <w:numPr>
          <w:ilvl w:val="0"/>
          <w:numId w:val="1040"/>
        </w:numPr>
      </w:pPr>
      <w:r>
        <w:t xml:space="preserve">guardian conflicts;</w:t>
      </w:r>
    </w:p>
    <w:p>
      <w:pPr>
        <w:pStyle w:val="Compact"/>
        <w:numPr>
          <w:ilvl w:val="0"/>
          <w:numId w:val="1040"/>
        </w:numPr>
      </w:pPr>
      <w:r>
        <w:t xml:space="preserve">court restrictions;</w:t>
      </w:r>
    </w:p>
    <w:p>
      <w:pPr>
        <w:pStyle w:val="Compact"/>
        <w:numPr>
          <w:ilvl w:val="0"/>
          <w:numId w:val="1040"/>
        </w:numPr>
      </w:pPr>
      <w:r>
        <w:t xml:space="preserve">emergency exceptions;</w:t>
      </w:r>
    </w:p>
    <w:p>
      <w:pPr>
        <w:pStyle w:val="Compact"/>
        <w:numPr>
          <w:ilvl w:val="0"/>
          <w:numId w:val="1040"/>
        </w:numPr>
      </w:pPr>
      <w:r>
        <w:t xml:space="preserve">release evidence;</w:t>
      </w:r>
    </w:p>
    <w:p>
      <w:pPr>
        <w:pStyle w:val="Compact"/>
        <w:numPr>
          <w:ilvl w:val="0"/>
          <w:numId w:val="1040"/>
        </w:numPr>
      </w:pPr>
      <w:r>
        <w:t xml:space="preserve">refusal and escalation when authority is uncertain.</w:t>
      </w:r>
    </w:p>
    <w:p>
      <w:pPr>
        <w:pStyle w:val="FirstParagraph"/>
      </w:pPr>
      <w:r>
        <w:t xml:space="preserve">Payment, prior pickup, staff familiarity, or household relationship does not establish current release authority.</w:t>
      </w:r>
    </w:p>
    <w:bookmarkEnd w:id="113"/>
    <w:bookmarkStart w:id="114" w:name="transportation"/>
    <w:p>
      <w:pPr>
        <w:pStyle w:val="Heading2"/>
      </w:pPr>
      <w:r>
        <w:t xml:space="preserve">51. Transportation</w:t>
      </w:r>
    </w:p>
    <w:p>
      <w:pPr>
        <w:pStyle w:val="FirstParagraph"/>
      </w:pPr>
      <w:r>
        <w:t xml:space="preserve">Transportation requires separate authority from lesson, facility, participation, or horse-care authorization.</w:t>
      </w:r>
    </w:p>
    <w:p>
      <w:pPr>
        <w:pStyle w:val="BodyText"/>
      </w:pPr>
      <w:r>
        <w:t xml:space="preserve">Transportation records should identify:</w:t>
      </w:r>
    </w:p>
    <w:p>
      <w:pPr>
        <w:pStyle w:val="Compact"/>
        <w:numPr>
          <w:ilvl w:val="0"/>
          <w:numId w:val="1041"/>
        </w:numPr>
      </w:pPr>
      <w:r>
        <w:t xml:space="preserve">protected participant;</w:t>
      </w:r>
    </w:p>
    <w:p>
      <w:pPr>
        <w:pStyle w:val="Compact"/>
        <w:numPr>
          <w:ilvl w:val="0"/>
          <w:numId w:val="1041"/>
        </w:numPr>
      </w:pPr>
      <w:r>
        <w:t xml:space="preserve">driver;</w:t>
      </w:r>
    </w:p>
    <w:p>
      <w:pPr>
        <w:pStyle w:val="Compact"/>
        <w:numPr>
          <w:ilvl w:val="0"/>
          <w:numId w:val="1041"/>
        </w:numPr>
      </w:pPr>
      <w:r>
        <w:t xml:space="preserve">responsible organization;</w:t>
      </w:r>
    </w:p>
    <w:p>
      <w:pPr>
        <w:pStyle w:val="Compact"/>
        <w:numPr>
          <w:ilvl w:val="0"/>
          <w:numId w:val="1041"/>
        </w:numPr>
      </w:pPr>
      <w:r>
        <w:t xml:space="preserve">vehicle or transport method where appropriate;</w:t>
      </w:r>
    </w:p>
    <w:p>
      <w:pPr>
        <w:pStyle w:val="Compact"/>
        <w:numPr>
          <w:ilvl w:val="0"/>
          <w:numId w:val="1041"/>
        </w:numPr>
      </w:pPr>
      <w:r>
        <w:t xml:space="preserve">origin and destination;</w:t>
      </w:r>
    </w:p>
    <w:p>
      <w:pPr>
        <w:pStyle w:val="Compact"/>
        <w:numPr>
          <w:ilvl w:val="0"/>
          <w:numId w:val="1041"/>
        </w:numPr>
      </w:pPr>
      <w:r>
        <w:t xml:space="preserve">expected time;</w:t>
      </w:r>
    </w:p>
    <w:p>
      <w:pPr>
        <w:pStyle w:val="Compact"/>
        <w:numPr>
          <w:ilvl w:val="0"/>
          <w:numId w:val="1041"/>
        </w:numPr>
      </w:pPr>
      <w:r>
        <w:t xml:space="preserve">authorization source;</w:t>
      </w:r>
    </w:p>
    <w:p>
      <w:pPr>
        <w:pStyle w:val="Compact"/>
        <w:numPr>
          <w:ilvl w:val="0"/>
          <w:numId w:val="1041"/>
        </w:numPr>
      </w:pPr>
      <w:r>
        <w:t xml:space="preserve">emergency contacts;</w:t>
      </w:r>
    </w:p>
    <w:p>
      <w:pPr>
        <w:pStyle w:val="Compact"/>
        <w:numPr>
          <w:ilvl w:val="0"/>
          <w:numId w:val="1041"/>
        </w:numPr>
      </w:pPr>
      <w:r>
        <w:t xml:space="preserve">relevant restrictions;</w:t>
      </w:r>
    </w:p>
    <w:p>
      <w:pPr>
        <w:pStyle w:val="Compact"/>
        <w:numPr>
          <w:ilvl w:val="0"/>
          <w:numId w:val="1041"/>
        </w:numPr>
      </w:pPr>
      <w:r>
        <w:t xml:space="preserve">completion or exception evidence.</w:t>
      </w:r>
    </w:p>
    <w:bookmarkEnd w:id="114"/>
    <w:bookmarkStart w:id="115" w:name="off-site-events"/>
    <w:p>
      <w:pPr>
        <w:pStyle w:val="Heading2"/>
      </w:pPr>
      <w:r>
        <w:t xml:space="preserve">52. Off-Site Events</w:t>
      </w:r>
    </w:p>
    <w:p>
      <w:pPr>
        <w:pStyle w:val="FirstParagraph"/>
      </w:pPr>
      <w:r>
        <w:t xml:space="preserve">Off-site participation must not be inferred from general participation authorization. Required information may include destination, responsible adults, transportation, timing, lodging where applicable, communication plan, medical or emergency information, and guardian authorization.</w:t>
      </w:r>
    </w:p>
    <w:bookmarkEnd w:id="115"/>
    <w:bookmarkStart w:id="116" w:name="emergency-release-or-transport"/>
    <w:p>
      <w:pPr>
        <w:pStyle w:val="Heading2"/>
      </w:pPr>
      <w:r>
        <w:t xml:space="preserve">53. Emergency Release or Transport</w:t>
      </w:r>
    </w:p>
    <w:p>
      <w:pPr>
        <w:pStyle w:val="FirstParagraph"/>
      </w:pPr>
      <w:r>
        <w:t xml:space="preserve">An emergency may justify action without ordinary prior authorization when necessary to prevent imminent harm. Emergency action must be minimum necessary, attributed, documented, reviewed, and communicated to authorized persons as soon as safely possible.</w:t>
      </w:r>
    </w:p>
    <w:p>
      <w:pPr>
        <w:pStyle w:val="BodyText"/>
      </w:pPr>
      <w:r>
        <w:t xml:space="preserve">Emergency treatment or clinical decisions remain subject to the dedicated Equine Health, Welfare, Medical Record, and Clinical Support canon and applicable professional authority. This Model governs participant protection, guardian and emergency-contact treatment, and safeguarding evidence without converting EquineSync or ordinary staff into medical authority.</w:t>
      </w:r>
    </w:p>
    <w:bookmarkEnd w:id="116"/>
    <w:bookmarkEnd w:id="117"/>
    <w:bookmarkStart w:id="122" w:name="Xfcdf56dc21f3beeeb3d9a5c1ae0ae9d9edafdbd"/>
    <w:p>
      <w:pPr>
        <w:pStyle w:val="Heading1"/>
      </w:pPr>
      <w:r>
        <w:t xml:space="preserve">Part X - Delegated Horse Care and Operational Participation</w:t>
      </w:r>
    </w:p>
    <w:bookmarkStart w:id="118" w:name="minor-participation-in-horse-care"/>
    <w:p>
      <w:pPr>
        <w:pStyle w:val="Heading2"/>
      </w:pPr>
      <w:r>
        <w:t xml:space="preserve">54. Minor Participation in Horse Care</w:t>
      </w:r>
    </w:p>
    <w:p>
      <w:pPr>
        <w:pStyle w:val="FirstParagraph"/>
      </w:pPr>
      <w:r>
        <w:t xml:space="preserve">Minors may receive delegated horse-care tasks only when the task is:</w:t>
      </w:r>
    </w:p>
    <w:p>
      <w:pPr>
        <w:pStyle w:val="Compact"/>
        <w:numPr>
          <w:ilvl w:val="0"/>
          <w:numId w:val="1042"/>
        </w:numPr>
      </w:pPr>
      <w:r>
        <w:t xml:space="preserve">horse specific;</w:t>
      </w:r>
    </w:p>
    <w:p>
      <w:pPr>
        <w:pStyle w:val="Compact"/>
        <w:numPr>
          <w:ilvl w:val="0"/>
          <w:numId w:val="1042"/>
        </w:numPr>
      </w:pPr>
      <w:r>
        <w:t xml:space="preserve">task specific;</w:t>
      </w:r>
    </w:p>
    <w:p>
      <w:pPr>
        <w:pStyle w:val="Compact"/>
        <w:numPr>
          <w:ilvl w:val="0"/>
          <w:numId w:val="1042"/>
        </w:numPr>
      </w:pPr>
      <w:r>
        <w:t xml:space="preserve">time limited;</w:t>
      </w:r>
    </w:p>
    <w:p>
      <w:pPr>
        <w:pStyle w:val="Compact"/>
        <w:numPr>
          <w:ilvl w:val="0"/>
          <w:numId w:val="1042"/>
        </w:numPr>
      </w:pPr>
      <w:r>
        <w:t xml:space="preserve">age appropriate;</w:t>
      </w:r>
    </w:p>
    <w:p>
      <w:pPr>
        <w:pStyle w:val="Compact"/>
        <w:numPr>
          <w:ilvl w:val="0"/>
          <w:numId w:val="1042"/>
        </w:numPr>
      </w:pPr>
      <w:r>
        <w:t xml:space="preserve">competence appropriate;</w:t>
      </w:r>
    </w:p>
    <w:p>
      <w:pPr>
        <w:pStyle w:val="Compact"/>
        <w:numPr>
          <w:ilvl w:val="0"/>
          <w:numId w:val="1042"/>
        </w:numPr>
      </w:pPr>
      <w:r>
        <w:t xml:space="preserve">consistent with the horse’s condition and temperament;</w:t>
      </w:r>
    </w:p>
    <w:p>
      <w:pPr>
        <w:pStyle w:val="Compact"/>
        <w:numPr>
          <w:ilvl w:val="0"/>
          <w:numId w:val="1042"/>
        </w:numPr>
      </w:pPr>
      <w:r>
        <w:t xml:space="preserve">supervised at the required level;</w:t>
      </w:r>
    </w:p>
    <w:p>
      <w:pPr>
        <w:pStyle w:val="Compact"/>
        <w:numPr>
          <w:ilvl w:val="0"/>
          <w:numId w:val="1042"/>
        </w:numPr>
      </w:pPr>
      <w:r>
        <w:t xml:space="preserve">supported by valid guardian and facility or program authority where applicable.</w:t>
      </w:r>
    </w:p>
    <w:bookmarkEnd w:id="118"/>
    <w:bookmarkStart w:id="119" w:name="Xcf664deaa0879e218a2aeec8e9c807e7706343a"/>
    <w:p>
      <w:pPr>
        <w:pStyle w:val="Heading2"/>
      </w:pPr>
      <w:r>
        <w:t xml:space="preserve">55. Prohibited Independent Authority for Minors</w:t>
      </w:r>
    </w:p>
    <w:p>
      <w:pPr>
        <w:pStyle w:val="FirstParagraph"/>
      </w:pPr>
      <w:r>
        <w:t xml:space="preserve">A minor shall not independently receive authority for:</w:t>
      </w:r>
    </w:p>
    <w:p>
      <w:pPr>
        <w:pStyle w:val="Compact"/>
        <w:numPr>
          <w:ilvl w:val="0"/>
          <w:numId w:val="1043"/>
        </w:numPr>
      </w:pPr>
      <w:r>
        <w:t xml:space="preserve">medication selection or modification;</w:t>
      </w:r>
    </w:p>
    <w:p>
      <w:pPr>
        <w:pStyle w:val="Compact"/>
        <w:numPr>
          <w:ilvl w:val="0"/>
          <w:numId w:val="1043"/>
        </w:numPr>
      </w:pPr>
      <w:r>
        <w:t xml:space="preserve">veterinary diagnosis or treatment decisions;</w:t>
      </w:r>
    </w:p>
    <w:p>
      <w:pPr>
        <w:pStyle w:val="Compact"/>
        <w:numPr>
          <w:ilvl w:val="0"/>
          <w:numId w:val="1043"/>
        </w:numPr>
      </w:pPr>
      <w:r>
        <w:t xml:space="preserve">emergency disposition of a horse;</w:t>
      </w:r>
    </w:p>
    <w:p>
      <w:pPr>
        <w:pStyle w:val="Compact"/>
        <w:numPr>
          <w:ilvl w:val="0"/>
          <w:numId w:val="1043"/>
        </w:numPr>
      </w:pPr>
      <w:r>
        <w:t xml:space="preserve">horse transportation authorization;</w:t>
      </w:r>
    </w:p>
    <w:p>
      <w:pPr>
        <w:pStyle w:val="Compact"/>
        <w:numPr>
          <w:ilvl w:val="0"/>
          <w:numId w:val="1043"/>
        </w:numPr>
      </w:pPr>
      <w:r>
        <w:t xml:space="preserve">ownership or custody transfer;</w:t>
      </w:r>
    </w:p>
    <w:p>
      <w:pPr>
        <w:pStyle w:val="Compact"/>
        <w:numPr>
          <w:ilvl w:val="0"/>
          <w:numId w:val="1043"/>
        </w:numPr>
      </w:pPr>
      <w:r>
        <w:t xml:space="preserve">financial commitments;</w:t>
      </w:r>
    </w:p>
    <w:p>
      <w:pPr>
        <w:pStyle w:val="Compact"/>
        <w:numPr>
          <w:ilvl w:val="0"/>
          <w:numId w:val="1043"/>
        </w:numPr>
      </w:pPr>
      <w:r>
        <w:t xml:space="preserve">legal or insurance decisions;</w:t>
      </w:r>
    </w:p>
    <w:p>
      <w:pPr>
        <w:pStyle w:val="Compact"/>
        <w:numPr>
          <w:ilvl w:val="0"/>
          <w:numId w:val="1043"/>
        </w:numPr>
      </w:pPr>
      <w:r>
        <w:t xml:space="preserve">safeguarding investigation administration;</w:t>
      </w:r>
    </w:p>
    <w:p>
      <w:pPr>
        <w:pStyle w:val="Compact"/>
        <w:numPr>
          <w:ilvl w:val="0"/>
          <w:numId w:val="1043"/>
        </w:numPr>
      </w:pPr>
      <w:r>
        <w:t xml:space="preserve">unrestricted access to unrelated private records;</w:t>
      </w:r>
    </w:p>
    <w:p>
      <w:pPr>
        <w:pStyle w:val="Compact"/>
        <w:numPr>
          <w:ilvl w:val="0"/>
          <w:numId w:val="1043"/>
        </w:numPr>
      </w:pPr>
      <w:r>
        <w:t xml:space="preserve">unsupervised high-risk equipment or facility tasks.</w:t>
      </w:r>
    </w:p>
    <w:bookmarkEnd w:id="119"/>
    <w:bookmarkStart w:id="120" w:name="minimum-necessary-task-information"/>
    <w:p>
      <w:pPr>
        <w:pStyle w:val="Heading2"/>
      </w:pPr>
      <w:r>
        <w:t xml:space="preserve">56. Minimum Necessary Task Information</w:t>
      </w:r>
    </w:p>
    <w:p>
      <w:pPr>
        <w:pStyle w:val="FirstParagraph"/>
      </w:pPr>
      <w:r>
        <w:t xml:space="preserve">A minor assigned a task may receive only the information needed to perform it safely. Task assignment does not create general access to the horse’s medical, ownership, financial, safeguarding, or private history.</w:t>
      </w:r>
    </w:p>
    <w:bookmarkEnd w:id="120"/>
    <w:bookmarkStart w:id="121" w:name="task-risk-and-supervision"/>
    <w:p>
      <w:pPr>
        <w:pStyle w:val="Heading2"/>
      </w:pPr>
      <w:r>
        <w:t xml:space="preserve">57. Task Risk and Supervision</w:t>
      </w:r>
    </w:p>
    <w:p>
      <w:pPr>
        <w:pStyle w:val="FirstParagraph"/>
      </w:pPr>
      <w:r>
        <w:t xml:space="preserve">A subordinate task-risk matrix must classify activities by age, competence, horse risk, environment, equipment, emergency potential, and required supervision.</w:t>
      </w:r>
    </w:p>
    <w:p>
      <w:pPr>
        <w:pStyle w:val="BodyText"/>
      </w:pPr>
      <w:r>
        <w:t xml:space="preserve">A platform feature may recommend a task but may not determine that a minor is competent, safe, or suitable without authorized human review.</w:t>
      </w:r>
    </w:p>
    <w:p>
      <w:pPr>
        <w:pStyle w:val="BodyText"/>
      </w:pPr>
      <w:r>
        <w:t xml:space="preserve">Task governance must address hazardous equipment, vehicles, chemicals, controlled substances, aggressive or unpredictable horses, isolated areas, night work, emergency response, paid or unpaid labor, and age- or law-based work restrictions. A task must not be assigned as punishment, retaliation, debt collection, or a condition for keeping a horse safe.</w:t>
      </w:r>
    </w:p>
    <w:p>
      <w:pPr>
        <w:pStyle w:val="BodyText"/>
      </w:pPr>
      <w:r>
        <w:t xml:space="preserve">A minor’s completion record must not be used as a public competence score, cross-tenant reputation score, or substitute for direct supervision and current assessment.</w:t>
      </w:r>
    </w:p>
    <w:bookmarkEnd w:id="121"/>
    <w:bookmarkEnd w:id="122"/>
    <w:bookmarkStart w:id="130" w:name="X598cbaa86e2d06f0fc13c8371827f6fdf2b2eb8"/>
    <w:p>
      <w:pPr>
        <w:pStyle w:val="Heading1"/>
      </w:pPr>
      <w:r>
        <w:t xml:space="preserve">Part XI - Privacy, Media, Search, and Public Exposure</w:t>
      </w:r>
    </w:p>
    <w:bookmarkStart w:id="123" w:name="protected-participant-privacy"/>
    <w:p>
      <w:pPr>
        <w:pStyle w:val="Heading2"/>
      </w:pPr>
      <w:r>
        <w:t xml:space="preserve">58. Protected-Participant Privacy</w:t>
      </w:r>
    </w:p>
    <w:p>
      <w:pPr>
        <w:pStyle w:val="FirstParagraph"/>
      </w:pPr>
      <w:r>
        <w:t xml:space="preserve">Protected-participant information must be private by default. Participation in a public event, public competition, public facility, or public social account does not waive this constitutional posture. Heightened protection applies to:</w:t>
      </w:r>
    </w:p>
    <w:p>
      <w:pPr>
        <w:pStyle w:val="Compact"/>
        <w:numPr>
          <w:ilvl w:val="0"/>
          <w:numId w:val="1044"/>
        </w:numPr>
      </w:pPr>
      <w:r>
        <w:t xml:space="preserve">identity;</w:t>
      </w:r>
    </w:p>
    <w:p>
      <w:pPr>
        <w:pStyle w:val="Compact"/>
        <w:numPr>
          <w:ilvl w:val="0"/>
          <w:numId w:val="1044"/>
        </w:numPr>
      </w:pPr>
      <w:r>
        <w:t xml:space="preserve">age and birth date;</w:t>
      </w:r>
    </w:p>
    <w:p>
      <w:pPr>
        <w:pStyle w:val="Compact"/>
        <w:numPr>
          <w:ilvl w:val="0"/>
          <w:numId w:val="1044"/>
        </w:numPr>
      </w:pPr>
      <w:r>
        <w:t xml:space="preserve">guardian relationships;</w:t>
      </w:r>
    </w:p>
    <w:p>
      <w:pPr>
        <w:pStyle w:val="Compact"/>
        <w:numPr>
          <w:ilvl w:val="0"/>
          <w:numId w:val="1044"/>
        </w:numPr>
      </w:pPr>
      <w:r>
        <w:t xml:space="preserve">schedules;</w:t>
      </w:r>
    </w:p>
    <w:p>
      <w:pPr>
        <w:pStyle w:val="Compact"/>
        <w:numPr>
          <w:ilvl w:val="0"/>
          <w:numId w:val="1044"/>
        </w:numPr>
      </w:pPr>
      <w:r>
        <w:t xml:space="preserve">precise location;</w:t>
      </w:r>
    </w:p>
    <w:p>
      <w:pPr>
        <w:pStyle w:val="Compact"/>
        <w:numPr>
          <w:ilvl w:val="0"/>
          <w:numId w:val="1044"/>
        </w:numPr>
      </w:pPr>
      <w:r>
        <w:t xml:space="preserve">transportation;</w:t>
      </w:r>
    </w:p>
    <w:p>
      <w:pPr>
        <w:pStyle w:val="Compact"/>
        <w:numPr>
          <w:ilvl w:val="0"/>
          <w:numId w:val="1044"/>
        </w:numPr>
      </w:pPr>
      <w:r>
        <w:t xml:space="preserve">communications;</w:t>
      </w:r>
    </w:p>
    <w:p>
      <w:pPr>
        <w:pStyle w:val="Compact"/>
        <w:numPr>
          <w:ilvl w:val="0"/>
          <w:numId w:val="1044"/>
        </w:numPr>
      </w:pPr>
      <w:r>
        <w:t xml:space="preserve">photographs, video, and audio;</w:t>
      </w:r>
    </w:p>
    <w:p>
      <w:pPr>
        <w:pStyle w:val="Compact"/>
        <w:numPr>
          <w:ilvl w:val="0"/>
          <w:numId w:val="1044"/>
        </w:numPr>
      </w:pPr>
      <w:r>
        <w:t xml:space="preserve">health or disability information;</w:t>
      </w:r>
    </w:p>
    <w:p>
      <w:pPr>
        <w:pStyle w:val="Compact"/>
        <w:numPr>
          <w:ilvl w:val="0"/>
          <w:numId w:val="1044"/>
        </w:numPr>
      </w:pPr>
      <w:r>
        <w:t xml:space="preserve">safeguarding reports;</w:t>
      </w:r>
    </w:p>
    <w:p>
      <w:pPr>
        <w:pStyle w:val="Compact"/>
        <w:numPr>
          <w:ilvl w:val="0"/>
          <w:numId w:val="1044"/>
        </w:numPr>
      </w:pPr>
      <w:r>
        <w:t xml:space="preserve">restrictions and allegations;</w:t>
      </w:r>
    </w:p>
    <w:p>
      <w:pPr>
        <w:pStyle w:val="Compact"/>
        <w:numPr>
          <w:ilvl w:val="0"/>
          <w:numId w:val="1044"/>
        </w:numPr>
      </w:pPr>
      <w:r>
        <w:t xml:space="preserve">emergency contacts;</w:t>
      </w:r>
    </w:p>
    <w:p>
      <w:pPr>
        <w:pStyle w:val="Compact"/>
        <w:numPr>
          <w:ilvl w:val="0"/>
          <w:numId w:val="1044"/>
        </w:numPr>
      </w:pPr>
      <w:r>
        <w:t xml:space="preserve">school or household information;</w:t>
      </w:r>
    </w:p>
    <w:p>
      <w:pPr>
        <w:pStyle w:val="Compact"/>
        <w:numPr>
          <w:ilvl w:val="0"/>
          <w:numId w:val="1044"/>
        </w:numPr>
      </w:pPr>
      <w:r>
        <w:t xml:space="preserve">case participation, reporter, witness, or Responding Person status;</w:t>
      </w:r>
    </w:p>
    <w:p>
      <w:pPr>
        <w:pStyle w:val="Compact"/>
        <w:numPr>
          <w:ilvl w:val="0"/>
          <w:numId w:val="1044"/>
        </w:numPr>
      </w:pPr>
      <w:r>
        <w:t xml:space="preserve">eligibility, restriction, and appeal information.</w:t>
      </w:r>
    </w:p>
    <w:p>
      <w:pPr>
        <w:pStyle w:val="FirstParagraph"/>
      </w:pPr>
      <w:r>
        <w:t xml:space="preserve">Privacy rights requests, guardian requests, discovery, subpoenas, governing-body requests, and legal demands must be routed through the applicable privacy, records, claims, and legal authorities. No requestor receives the entire safeguarding case merely because they are a data subject, guardian, tenant owner, payer, or Responding Person.</w:t>
      </w:r>
    </w:p>
    <w:bookmarkEnd w:id="123"/>
    <w:bookmarkStart w:id="124" w:name="public-profiles-and-discoverability"/>
    <w:p>
      <w:pPr>
        <w:pStyle w:val="Heading2"/>
      </w:pPr>
      <w:r>
        <w:t xml:space="preserve">59. Public Profiles and Discoverability</w:t>
      </w:r>
    </w:p>
    <w:p>
      <w:pPr>
        <w:pStyle w:val="FirstParagraph"/>
      </w:pPr>
      <w:r>
        <w:t xml:space="preserve">A minor or protected participant shall not be publicly discoverable by default.</w:t>
      </w:r>
    </w:p>
    <w:p>
      <w:pPr>
        <w:pStyle w:val="BodyText"/>
      </w:pPr>
      <w:r>
        <w:t xml:space="preserve">Public or community discoverability requires a defined purpose, guardian authorization where applicable, participant assent where practicable, minimum information, expiry or review, and strict exclusion of precise location, schedules, private contact information, safeguarding status, and unrelated horse records.</w:t>
      </w:r>
    </w:p>
    <w:bookmarkEnd w:id="124"/>
    <w:bookmarkStart w:id="125" w:name="search-and-internal-discovery"/>
    <w:p>
      <w:pPr>
        <w:pStyle w:val="Heading2"/>
      </w:pPr>
      <w:r>
        <w:t xml:space="preserve">60. Search and Internal Discovery</w:t>
      </w:r>
    </w:p>
    <w:p>
      <w:pPr>
        <w:pStyle w:val="FirstParagraph"/>
      </w:pPr>
      <w:r>
        <w:t xml:space="preserve">Search results must not expose protected-participant information beyond the user’s underlying authority. General search should exclude safeguarding reports, protected communications, guardian disputes, eligibility restrictions, and precise location.</w:t>
      </w:r>
    </w:p>
    <w:p>
      <w:pPr>
        <w:pStyle w:val="BodyText"/>
      </w:pPr>
      <w:r>
        <w:t xml:space="preserve">Shared-care or delegated-assistance discovery may expose only the minimum horse and task information needed for the authorized activity. It must not expose the minor’s private profile or records.</w:t>
      </w:r>
    </w:p>
    <w:p>
      <w:pPr>
        <w:pStyle w:val="BodyText"/>
      </w:pPr>
      <w:r>
        <w:t xml:space="preserve">Search, autocomplete, roster views, calendar views, recommendations, recent-item lists, audit interfaces, and administrative exports must apply the same protected-participant restrictions. Suppression from one search surface is insufficient if another surface reveals the same person, location, schedule, or safeguarding relationship.</w:t>
      </w:r>
    </w:p>
    <w:bookmarkEnd w:id="125"/>
    <w:bookmarkStart w:id="126" w:name="media-and-publicity"/>
    <w:p>
      <w:pPr>
        <w:pStyle w:val="Heading2"/>
      </w:pPr>
      <w:r>
        <w:t xml:space="preserve">61. Media and Publicity</w:t>
      </w:r>
    </w:p>
    <w:p>
      <w:pPr>
        <w:pStyle w:val="FirstParagraph"/>
      </w:pPr>
      <w:r>
        <w:t xml:space="preserve">Operational upload of a photograph, video, audio recording, testimonial, lesson clip, or competition media does not create marketing, publicity, social-media, AI-training, or public-sharing rights.</w:t>
      </w:r>
    </w:p>
    <w:p>
      <w:pPr>
        <w:pStyle w:val="BodyText"/>
      </w:pPr>
      <w:r>
        <w:t xml:space="preserve">Public or promotional use involving a minor requires:</w:t>
      </w:r>
    </w:p>
    <w:p>
      <w:pPr>
        <w:pStyle w:val="Compact"/>
        <w:numPr>
          <w:ilvl w:val="0"/>
          <w:numId w:val="1045"/>
        </w:numPr>
      </w:pPr>
      <w:r>
        <w:t xml:space="preserve">valid guardian authorization where applicable;</w:t>
      </w:r>
    </w:p>
    <w:p>
      <w:pPr>
        <w:pStyle w:val="Compact"/>
        <w:numPr>
          <w:ilvl w:val="0"/>
          <w:numId w:val="1045"/>
        </w:numPr>
      </w:pPr>
      <w:r>
        <w:t xml:space="preserve">age-appropriate assent where practicable;</w:t>
      </w:r>
    </w:p>
    <w:p>
      <w:pPr>
        <w:pStyle w:val="Compact"/>
        <w:numPr>
          <w:ilvl w:val="0"/>
          <w:numId w:val="1045"/>
        </w:numPr>
      </w:pPr>
      <w:r>
        <w:t xml:space="preserve">no unresolved protected refusal;</w:t>
      </w:r>
    </w:p>
    <w:p>
      <w:pPr>
        <w:pStyle w:val="Compact"/>
        <w:numPr>
          <w:ilvl w:val="0"/>
          <w:numId w:val="1045"/>
        </w:numPr>
      </w:pPr>
      <w:r>
        <w:t xml:space="preserve">purpose, audience, channel, and duration;</w:t>
      </w:r>
    </w:p>
    <w:p>
      <w:pPr>
        <w:pStyle w:val="Compact"/>
        <w:numPr>
          <w:ilvl w:val="0"/>
          <w:numId w:val="1045"/>
        </w:numPr>
      </w:pPr>
      <w:r>
        <w:t xml:space="preserve">rights and copyright review;</w:t>
      </w:r>
    </w:p>
    <w:p>
      <w:pPr>
        <w:pStyle w:val="Compact"/>
        <w:numPr>
          <w:ilvl w:val="0"/>
          <w:numId w:val="1045"/>
        </w:numPr>
      </w:pPr>
      <w:r>
        <w:t xml:space="preserve">geolocation and metadata protection;</w:t>
      </w:r>
    </w:p>
    <w:p>
      <w:pPr>
        <w:pStyle w:val="Compact"/>
        <w:numPr>
          <w:ilvl w:val="0"/>
          <w:numId w:val="1045"/>
        </w:numPr>
      </w:pPr>
      <w:r>
        <w:t xml:space="preserve">withdrawal and propagation process;</w:t>
      </w:r>
    </w:p>
    <w:p>
      <w:pPr>
        <w:pStyle w:val="Compact"/>
        <w:numPr>
          <w:ilvl w:val="0"/>
          <w:numId w:val="1045"/>
        </w:numPr>
      </w:pPr>
      <w:r>
        <w:t xml:space="preserve">separate treatment of each depicted protected participant when media includes more than one person;</w:t>
      </w:r>
    </w:p>
    <w:p>
      <w:pPr>
        <w:pStyle w:val="Compact"/>
        <w:numPr>
          <w:ilvl w:val="0"/>
          <w:numId w:val="1045"/>
        </w:numPr>
      </w:pPr>
      <w:r>
        <w:t xml:space="preserve">no inference that an event organizer, horse owner, photographer, payer, or uploader possesses all publicity rights.</w:t>
      </w:r>
    </w:p>
    <w:bookmarkEnd w:id="126"/>
    <w:bookmarkStart w:id="127" w:name="media-withdrawal"/>
    <w:p>
      <w:pPr>
        <w:pStyle w:val="Heading2"/>
      </w:pPr>
      <w:r>
        <w:t xml:space="preserve">62. Media Withdrawal</w:t>
      </w:r>
    </w:p>
    <w:p>
      <w:pPr>
        <w:pStyle w:val="FirstParagraph"/>
      </w:pPr>
      <w:r>
        <w:t xml:space="preserve">When consent or assent for optional public use is withdrawn:</w:t>
      </w:r>
    </w:p>
    <w:p>
      <w:pPr>
        <w:pStyle w:val="Compact"/>
        <w:numPr>
          <w:ilvl w:val="0"/>
          <w:numId w:val="1046"/>
        </w:numPr>
      </w:pPr>
      <w:r>
        <w:t xml:space="preserve">public and promotional use must cease within governed timelines;</w:t>
      </w:r>
    </w:p>
    <w:p>
      <w:pPr>
        <w:pStyle w:val="Compact"/>
        <w:numPr>
          <w:ilvl w:val="0"/>
          <w:numId w:val="1046"/>
        </w:numPr>
      </w:pPr>
      <w:r>
        <w:t xml:space="preserve">links, derivatives, thumbnails, and controlled downstream copies must be addressed;</w:t>
      </w:r>
    </w:p>
    <w:p>
      <w:pPr>
        <w:pStyle w:val="Compact"/>
        <w:numPr>
          <w:ilvl w:val="0"/>
          <w:numId w:val="1046"/>
        </w:numPr>
      </w:pPr>
      <w:r>
        <w:t xml:space="preserve">the original may remain under restricted retention where required for records, claims, safeguarding, or legal purposes;</w:t>
      </w:r>
    </w:p>
    <w:p>
      <w:pPr>
        <w:pStyle w:val="Compact"/>
        <w:numPr>
          <w:ilvl w:val="0"/>
          <w:numId w:val="1046"/>
        </w:numPr>
      </w:pPr>
      <w:r>
        <w:t xml:space="preserve">withdrawal must not be represented as complete until controlled copies are reconciled.</w:t>
      </w:r>
    </w:p>
    <w:bookmarkEnd w:id="127"/>
    <w:bookmarkStart w:id="128" w:name="biometrics-and-identity-inference"/>
    <w:p>
      <w:pPr>
        <w:pStyle w:val="Heading2"/>
      </w:pPr>
      <w:r>
        <w:t xml:space="preserve">63. Biometrics and Identity Inference</w:t>
      </w:r>
    </w:p>
    <w:p>
      <w:pPr>
        <w:pStyle w:val="FirstParagraph"/>
      </w:pPr>
      <w:r>
        <w:t xml:space="preserve">Human biometric identification, facial recognition, emotion inference, age inference, or similar identity processing involving protected participants is prohibited unless separately authorized through founder-reserved constitutional action and applicable law.</w:t>
      </w:r>
    </w:p>
    <w:p>
      <w:pPr>
        <w:pStyle w:val="BodyText"/>
      </w:pPr>
      <w:r>
        <w:t xml:space="preserve">Ordinary human tagging for authorized organization and accessibility metadata must not become biometric identification or cross-tenant tracking.</w:t>
      </w:r>
    </w:p>
    <w:bookmarkEnd w:id="128"/>
    <w:bookmarkStart w:id="129" w:name="location-and-schedule-protection"/>
    <w:p>
      <w:pPr>
        <w:pStyle w:val="Heading2"/>
      </w:pPr>
      <w:r>
        <w:t xml:space="preserve">64. Location and Schedule Protection</w:t>
      </w:r>
    </w:p>
    <w:p>
      <w:pPr>
        <w:pStyle w:val="FirstParagraph"/>
      </w:pPr>
      <w:r>
        <w:t xml:space="preserve">Precise location, future schedule, pickup plan, transportation route, or routine participation pattern must not be exposed publicly or to unrelated users.</w:t>
      </w:r>
    </w:p>
    <w:p>
      <w:pPr>
        <w:pStyle w:val="BodyText"/>
      </w:pPr>
      <w:r>
        <w:t xml:space="preserve">Media sharing and public publication must remove or restrict unnecessary geolocation and hidden metadata.</w:t>
      </w:r>
    </w:p>
    <w:p>
      <w:pPr>
        <w:pStyle w:val="BodyText"/>
      </w:pPr>
      <w:r>
        <w:t xml:space="preserve">Location protections must apply to live location, upcoming schedules, habitual routines, transport routes, stable maps, boarding locations, image backgrounds, metadata, and combinations of otherwise ordinary data that reveal a protected participant’s likely location.</w:t>
      </w:r>
    </w:p>
    <w:bookmarkEnd w:id="129"/>
    <w:bookmarkEnd w:id="130"/>
    <w:bookmarkStart w:id="136" w:name="X64852f38ed7cd679b88006f303541a07d8e0a9a"/>
    <w:p>
      <w:pPr>
        <w:pStyle w:val="Heading1"/>
      </w:pPr>
      <w:r>
        <w:t xml:space="preserve">Part XII - AI, Automation, Reporting, and Analytics</w:t>
      </w:r>
    </w:p>
    <w:bookmarkStart w:id="131" w:name="permitted-ai-assistance"/>
    <w:p>
      <w:pPr>
        <w:pStyle w:val="Heading2"/>
      </w:pPr>
      <w:r>
        <w:t xml:space="preserve">65. Permitted AI Assistance</w:t>
      </w:r>
    </w:p>
    <w:p>
      <w:pPr>
        <w:pStyle w:val="FirstParagraph"/>
      </w:pPr>
      <w:r>
        <w:t xml:space="preserve">AI may assist authorized humans with:</w:t>
      </w:r>
    </w:p>
    <w:p>
      <w:pPr>
        <w:pStyle w:val="Compact"/>
        <w:numPr>
          <w:ilvl w:val="0"/>
          <w:numId w:val="1047"/>
        </w:numPr>
      </w:pPr>
      <w:r>
        <w:t xml:space="preserve">organizing intake;</w:t>
      </w:r>
    </w:p>
    <w:p>
      <w:pPr>
        <w:pStyle w:val="Compact"/>
        <w:numPr>
          <w:ilvl w:val="0"/>
          <w:numId w:val="1047"/>
        </w:numPr>
      </w:pPr>
      <w:r>
        <w:t xml:space="preserve">detecting duplicates;</w:t>
      </w:r>
    </w:p>
    <w:p>
      <w:pPr>
        <w:pStyle w:val="Compact"/>
        <w:numPr>
          <w:ilvl w:val="0"/>
          <w:numId w:val="1047"/>
        </w:numPr>
      </w:pPr>
      <w:r>
        <w:t xml:space="preserve">translating submitted information;</w:t>
      </w:r>
    </w:p>
    <w:p>
      <w:pPr>
        <w:pStyle w:val="Compact"/>
        <w:numPr>
          <w:ilvl w:val="0"/>
          <w:numId w:val="1047"/>
        </w:numPr>
      </w:pPr>
      <w:r>
        <w:t xml:space="preserve">identifying missing fields;</w:t>
      </w:r>
    </w:p>
    <w:p>
      <w:pPr>
        <w:pStyle w:val="Compact"/>
        <w:numPr>
          <w:ilvl w:val="0"/>
          <w:numId w:val="1047"/>
        </w:numPr>
      </w:pPr>
      <w:r>
        <w:t xml:space="preserve">surfacing potentially urgent language for immediate human review;</w:t>
      </w:r>
    </w:p>
    <w:p>
      <w:pPr>
        <w:pStyle w:val="Compact"/>
        <w:numPr>
          <w:ilvl w:val="0"/>
          <w:numId w:val="1047"/>
        </w:numPr>
      </w:pPr>
      <w:r>
        <w:t xml:space="preserve">preparing timelines;</w:t>
      </w:r>
    </w:p>
    <w:p>
      <w:pPr>
        <w:pStyle w:val="Compact"/>
        <w:numPr>
          <w:ilvl w:val="0"/>
          <w:numId w:val="1047"/>
        </w:numPr>
      </w:pPr>
      <w:r>
        <w:t xml:space="preserve">routing reports;</w:t>
      </w:r>
    </w:p>
    <w:p>
      <w:pPr>
        <w:pStyle w:val="Compact"/>
        <w:numPr>
          <w:ilvl w:val="0"/>
          <w:numId w:val="1047"/>
        </w:numPr>
      </w:pPr>
      <w:r>
        <w:t xml:space="preserve">redacting information for controlled disclosure;</w:t>
      </w:r>
    </w:p>
    <w:p>
      <w:pPr>
        <w:pStyle w:val="Compact"/>
        <w:numPr>
          <w:ilvl w:val="0"/>
          <w:numId w:val="1047"/>
        </w:numPr>
      </w:pPr>
      <w:r>
        <w:t xml:space="preserve">drafting non-final summaries;</w:t>
      </w:r>
    </w:p>
    <w:p>
      <w:pPr>
        <w:pStyle w:val="Compact"/>
        <w:numPr>
          <w:ilvl w:val="0"/>
          <w:numId w:val="1047"/>
        </w:numPr>
      </w:pPr>
      <w:r>
        <w:t xml:space="preserve">identifying possible access, routing, or deadline errors for human correction.</w:t>
      </w:r>
    </w:p>
    <w:bookmarkEnd w:id="131"/>
    <w:bookmarkStart w:id="132" w:name="prohibited-ai-decisions"/>
    <w:p>
      <w:pPr>
        <w:pStyle w:val="Heading2"/>
      </w:pPr>
      <w:r>
        <w:t xml:space="preserve">66. Prohibited AI Decisions</w:t>
      </w:r>
    </w:p>
    <w:p>
      <w:pPr>
        <w:pStyle w:val="FirstParagraph"/>
      </w:pPr>
      <w:r>
        <w:t xml:space="preserve">AI may not independently:</w:t>
      </w:r>
    </w:p>
    <w:p>
      <w:pPr>
        <w:pStyle w:val="Compact"/>
        <w:numPr>
          <w:ilvl w:val="0"/>
          <w:numId w:val="1048"/>
        </w:numPr>
      </w:pPr>
      <w:r>
        <w:t xml:space="preserve">determine that abuse, neglect, grooming, harassment, or retaliation occurred;</w:t>
      </w:r>
    </w:p>
    <w:p>
      <w:pPr>
        <w:pStyle w:val="Compact"/>
        <w:numPr>
          <w:ilvl w:val="0"/>
          <w:numId w:val="1048"/>
        </w:numPr>
      </w:pPr>
      <w:r>
        <w:t xml:space="preserve">classify a person as dangerous or safe;</w:t>
      </w:r>
    </w:p>
    <w:p>
      <w:pPr>
        <w:pStyle w:val="Compact"/>
        <w:numPr>
          <w:ilvl w:val="0"/>
          <w:numId w:val="1048"/>
        </w:numPr>
      </w:pPr>
      <w:r>
        <w:t xml:space="preserve">determine credibility;</w:t>
      </w:r>
    </w:p>
    <w:p>
      <w:pPr>
        <w:pStyle w:val="Compact"/>
        <w:numPr>
          <w:ilvl w:val="0"/>
          <w:numId w:val="1048"/>
        </w:numPr>
      </w:pPr>
      <w:r>
        <w:t xml:space="preserve">close or dismiss a report;</w:t>
      </w:r>
    </w:p>
    <w:p>
      <w:pPr>
        <w:pStyle w:val="Compact"/>
        <w:numPr>
          <w:ilvl w:val="0"/>
          <w:numId w:val="1048"/>
        </w:numPr>
      </w:pPr>
      <w:r>
        <w:t xml:space="preserve">impose discipline or permanent restriction;</w:t>
      </w:r>
    </w:p>
    <w:p>
      <w:pPr>
        <w:pStyle w:val="Compact"/>
        <w:numPr>
          <w:ilvl w:val="0"/>
          <w:numId w:val="1048"/>
        </w:numPr>
      </w:pPr>
      <w:r>
        <w:t xml:space="preserve">remove guardian rights;</w:t>
      </w:r>
    </w:p>
    <w:p>
      <w:pPr>
        <w:pStyle w:val="Compact"/>
        <w:numPr>
          <w:ilvl w:val="0"/>
          <w:numId w:val="1048"/>
        </w:numPr>
      </w:pPr>
      <w:r>
        <w:t xml:space="preserve">approve pickup or transportation;</w:t>
      </w:r>
    </w:p>
    <w:p>
      <w:pPr>
        <w:pStyle w:val="Compact"/>
        <w:numPr>
          <w:ilvl w:val="0"/>
          <w:numId w:val="1048"/>
        </w:numPr>
      </w:pPr>
      <w:r>
        <w:t xml:space="preserve">decide mandatory-reporting obligations;</w:t>
      </w:r>
    </w:p>
    <w:p>
      <w:pPr>
        <w:pStyle w:val="Compact"/>
        <w:numPr>
          <w:ilvl w:val="0"/>
          <w:numId w:val="1048"/>
        </w:numPr>
      </w:pPr>
      <w:r>
        <w:t xml:space="preserve">notify the accused person;</w:t>
      </w:r>
    </w:p>
    <w:p>
      <w:pPr>
        <w:pStyle w:val="Compact"/>
        <w:numPr>
          <w:ilvl w:val="0"/>
          <w:numId w:val="1048"/>
        </w:numPr>
      </w:pPr>
      <w:r>
        <w:t xml:space="preserve">authorize public exposure;</w:t>
      </w:r>
    </w:p>
    <w:p>
      <w:pPr>
        <w:pStyle w:val="Compact"/>
        <w:numPr>
          <w:ilvl w:val="0"/>
          <w:numId w:val="1048"/>
        </w:numPr>
      </w:pPr>
      <w:r>
        <w:t xml:space="preserve">create predictive profiles of minors;</w:t>
      </w:r>
    </w:p>
    <w:p>
      <w:pPr>
        <w:pStyle w:val="Compact"/>
        <w:numPr>
          <w:ilvl w:val="0"/>
          <w:numId w:val="1048"/>
        </w:numPr>
      </w:pPr>
      <w:r>
        <w:t xml:space="preserve">create cross-tenant risk lists;</w:t>
      </w:r>
    </w:p>
    <w:p>
      <w:pPr>
        <w:pStyle w:val="Compact"/>
        <w:numPr>
          <w:ilvl w:val="0"/>
          <w:numId w:val="1048"/>
        </w:numPr>
      </w:pPr>
      <w:r>
        <w:t xml:space="preserve">decide a protected participant’s capacity or autonomy;</w:t>
      </w:r>
    </w:p>
    <w:p>
      <w:pPr>
        <w:pStyle w:val="Compact"/>
        <w:numPr>
          <w:ilvl w:val="0"/>
          <w:numId w:val="1048"/>
        </w:numPr>
      </w:pPr>
      <w:r>
        <w:t xml:space="preserve">infer emotion, deception, sexual behavior, trauma, maturity, or vulnerability from face, voice, movement, writing style, or media;</w:t>
      </w:r>
    </w:p>
    <w:p>
      <w:pPr>
        <w:pStyle w:val="Compact"/>
        <w:numPr>
          <w:ilvl w:val="0"/>
          <w:numId w:val="1048"/>
        </w:numPr>
      </w:pPr>
      <w:r>
        <w:t xml:space="preserve">generate a risk score, grooming score, credibility score, or propensity score for a protected participant or adult;</w:t>
      </w:r>
    </w:p>
    <w:p>
      <w:pPr>
        <w:pStyle w:val="Compact"/>
        <w:numPr>
          <w:ilvl w:val="0"/>
          <w:numId w:val="1048"/>
        </w:numPr>
      </w:pPr>
      <w:r>
        <w:t xml:space="preserve">use translation, summarization, or classification confidence as a substitute for the original report and qualified human review.</w:t>
      </w:r>
    </w:p>
    <w:bookmarkEnd w:id="132"/>
    <w:bookmarkStart w:id="133" w:name="human-review"/>
    <w:p>
      <w:pPr>
        <w:pStyle w:val="Heading2"/>
      </w:pPr>
      <w:r>
        <w:t xml:space="preserve">67. Human Review</w:t>
      </w:r>
    </w:p>
    <w:p>
      <w:pPr>
        <w:pStyle w:val="FirstParagraph"/>
      </w:pPr>
      <w:r>
        <w:t xml:space="preserve">Any AI output used in a safeguarding workflow must be labeled, source-attributed, limited to the authorized user’s permissions, and subject to meaningful human review by an authorized safeguarding actor.</w:t>
      </w:r>
    </w:p>
    <w:p>
      <w:pPr>
        <w:pStyle w:val="BodyText"/>
      </w:pPr>
      <w:r>
        <w:t xml:space="preserve">AI output is not canonical evidence merely because it is generated or confidently stated. The original source, translation limitations, omitted context, uncertainty, and human decisions must remain available. A human reviewer must be able to disregard or correct the AI output without reducing the participant’s access to review.</w:t>
      </w:r>
    </w:p>
    <w:bookmarkEnd w:id="133"/>
    <w:bookmarkStart w:id="134" w:name="training-and-provider-use"/>
    <w:p>
      <w:pPr>
        <w:pStyle w:val="Heading2"/>
      </w:pPr>
      <w:r>
        <w:t xml:space="preserve">68. Training and Provider Use</w:t>
      </w:r>
    </w:p>
    <w:p>
      <w:pPr>
        <w:pStyle w:val="FirstParagraph"/>
      </w:pPr>
      <w:r>
        <w:t xml:space="preserve">Customer operational data, safeguarding reports, protected communications, minor media, guardian records, and related derived data must not be used to train general or shared models.</w:t>
      </w:r>
    </w:p>
    <w:p>
      <w:pPr>
        <w:pStyle w:val="BodyText"/>
      </w:pPr>
      <w:r>
        <w:t xml:space="preserve">An external AI provider may process protected data only under an approved use case, minimum necessary disclosure, contractual safeguards, retention controls, region controls, vendor eligibility, subprocessors review, and tested deletion or exit capability. Provider abuse-monitoring or model-improvement terms must not silently broaden use.</w:t>
      </w:r>
    </w:p>
    <w:bookmarkEnd w:id="134"/>
    <w:bookmarkStart w:id="135" w:name="reporting-and-analytics"/>
    <w:p>
      <w:pPr>
        <w:pStyle w:val="Heading2"/>
      </w:pPr>
      <w:r>
        <w:t xml:space="preserve">69. Reporting and Analytics</w:t>
      </w:r>
    </w:p>
    <w:p>
      <w:pPr>
        <w:pStyle w:val="FirstParagraph"/>
      </w:pPr>
      <w:r>
        <w:t xml:space="preserve">Safeguarding reporting and analytics must apply:</w:t>
      </w:r>
    </w:p>
    <w:p>
      <w:pPr>
        <w:pStyle w:val="Compact"/>
        <w:numPr>
          <w:ilvl w:val="0"/>
          <w:numId w:val="1049"/>
        </w:numPr>
      </w:pPr>
      <w:r>
        <w:t xml:space="preserve">minimum necessary access;</w:t>
      </w:r>
    </w:p>
    <w:p>
      <w:pPr>
        <w:pStyle w:val="Compact"/>
        <w:numPr>
          <w:ilvl w:val="0"/>
          <w:numId w:val="1049"/>
        </w:numPr>
      </w:pPr>
      <w:r>
        <w:t xml:space="preserve">small-cell suppression;</w:t>
      </w:r>
    </w:p>
    <w:p>
      <w:pPr>
        <w:pStyle w:val="Compact"/>
        <w:numPr>
          <w:ilvl w:val="0"/>
          <w:numId w:val="1049"/>
        </w:numPr>
      </w:pPr>
      <w:r>
        <w:t xml:space="preserve">de-identification where appropriate;</w:t>
      </w:r>
    </w:p>
    <w:p>
      <w:pPr>
        <w:pStyle w:val="Compact"/>
        <w:numPr>
          <w:ilvl w:val="0"/>
          <w:numId w:val="1049"/>
        </w:numPr>
      </w:pPr>
      <w:r>
        <w:t xml:space="preserve">no public ranking of minors, guardians, coaches, facilities, or organizations;</w:t>
      </w:r>
    </w:p>
    <w:p>
      <w:pPr>
        <w:pStyle w:val="Compact"/>
        <w:numPr>
          <w:ilvl w:val="0"/>
          <w:numId w:val="1049"/>
        </w:numPr>
      </w:pPr>
      <w:r>
        <w:t xml:space="preserve">no cross-tenant identifiable benchmarking;</w:t>
      </w:r>
    </w:p>
    <w:p>
      <w:pPr>
        <w:pStyle w:val="Compact"/>
        <w:numPr>
          <w:ilvl w:val="0"/>
          <w:numId w:val="1049"/>
        </w:numPr>
      </w:pPr>
      <w:r>
        <w:t xml:space="preserve">no disclosure of reporter identity;</w:t>
      </w:r>
    </w:p>
    <w:p>
      <w:pPr>
        <w:pStyle w:val="Compact"/>
        <w:numPr>
          <w:ilvl w:val="0"/>
          <w:numId w:val="1049"/>
        </w:numPr>
      </w:pPr>
      <w:r>
        <w:t xml:space="preserve">clear separation of reports, allegations, protective measures, findings, and outcomes.</w:t>
      </w:r>
    </w:p>
    <w:p>
      <w:pPr>
        <w:pStyle w:val="FirstParagraph"/>
      </w:pPr>
      <w:r>
        <w:t xml:space="preserve">Metrics must not pressure reviewers to close reports prematurely or remove protections for performance targets. Dashboards must distinguish intake counts, duplicate reports, open safety measures, external referrals, determinations, appeals, and unresolved matters. A count of reports is not a measure of abuse prevalence, organizational guilt, reporter reliability, or platform safety.</w:t>
      </w:r>
    </w:p>
    <w:bookmarkEnd w:id="135"/>
    <w:bookmarkEnd w:id="136"/>
    <w:bookmarkStart w:id="143" w:name="X116f4e632eb6b5b922ae98f5c3201a12969c93a"/>
    <w:p>
      <w:pPr>
        <w:pStyle w:val="Heading1"/>
      </w:pPr>
      <w:r>
        <w:t xml:space="preserve">Part XIII - Records, Evidence, Holds, and Confidentiality</w:t>
      </w:r>
    </w:p>
    <w:bookmarkStart w:id="137" w:name="safeguarding-record-identity"/>
    <w:p>
      <w:pPr>
        <w:pStyle w:val="Heading2"/>
      </w:pPr>
      <w:r>
        <w:t xml:space="preserve">70. Safeguarding Record Identity</w:t>
      </w:r>
    </w:p>
    <w:p>
      <w:pPr>
        <w:pStyle w:val="FirstParagraph"/>
      </w:pPr>
      <w:r>
        <w:t xml:space="preserve">A safeguarding matter is a governed record with distinct identity, participants, allegations or concerns, protective measures, evidence, status, restrictions, and history.</w:t>
      </w:r>
    </w:p>
    <w:p>
      <w:pPr>
        <w:pStyle w:val="BodyText"/>
      </w:pPr>
      <w:r>
        <w:t xml:space="preserve">It must not be reduced to an ordinary message thread, free-text note, or generic incident field. A case must preserve distinct roles for the affected participant, reporter, witness, guardian, Responding Person, reviewer, external authority, and decision-maker.</w:t>
      </w:r>
    </w:p>
    <w:p>
      <w:pPr>
        <w:pStyle w:val="BodyText"/>
      </w:pPr>
      <w:r>
        <w:t xml:space="preserve">Safeguarding cases involving multiple participants or allegations must support separation or linked-case treatment so that one person’s access, appeal, disclosure, or closure does not expose another person’s restricted information.</w:t>
      </w:r>
    </w:p>
    <w:bookmarkEnd w:id="137"/>
    <w:bookmarkStart w:id="138" w:name="confidentiality"/>
    <w:p>
      <w:pPr>
        <w:pStyle w:val="Heading2"/>
      </w:pPr>
      <w:r>
        <w:t xml:space="preserve">71. Confidentiality</w:t>
      </w:r>
    </w:p>
    <w:p>
      <w:pPr>
        <w:pStyle w:val="FirstParagraph"/>
      </w:pPr>
      <w:r>
        <w:t xml:space="preserve">Safeguarding information must be restricted according to role, purpose, subject, case, and need to know.</w:t>
      </w:r>
    </w:p>
    <w:p>
      <w:pPr>
        <w:pStyle w:val="BodyText"/>
      </w:pPr>
      <w:r>
        <w:t xml:space="preserve">The following must not be generally visible:</w:t>
      </w:r>
    </w:p>
    <w:p>
      <w:pPr>
        <w:pStyle w:val="Compact"/>
        <w:numPr>
          <w:ilvl w:val="0"/>
          <w:numId w:val="1050"/>
        </w:numPr>
      </w:pPr>
      <w:r>
        <w:t xml:space="preserve">reporter identity;</w:t>
      </w:r>
    </w:p>
    <w:p>
      <w:pPr>
        <w:pStyle w:val="Compact"/>
        <w:numPr>
          <w:ilvl w:val="0"/>
          <w:numId w:val="1050"/>
        </w:numPr>
      </w:pPr>
      <w:r>
        <w:t xml:space="preserve">witness identity;</w:t>
      </w:r>
    </w:p>
    <w:p>
      <w:pPr>
        <w:pStyle w:val="Compact"/>
        <w:numPr>
          <w:ilvl w:val="0"/>
          <w:numId w:val="1050"/>
        </w:numPr>
      </w:pPr>
      <w:r>
        <w:t xml:space="preserve">confidential narrative;</w:t>
      </w:r>
    </w:p>
    <w:p>
      <w:pPr>
        <w:pStyle w:val="Compact"/>
        <w:numPr>
          <w:ilvl w:val="0"/>
          <w:numId w:val="1050"/>
        </w:numPr>
      </w:pPr>
      <w:r>
        <w:t xml:space="preserve">attachments and evidence;</w:t>
      </w:r>
    </w:p>
    <w:p>
      <w:pPr>
        <w:pStyle w:val="Compact"/>
        <w:numPr>
          <w:ilvl w:val="0"/>
          <w:numId w:val="1050"/>
        </w:numPr>
      </w:pPr>
      <w:r>
        <w:t xml:space="preserve">protective rationale;</w:t>
      </w:r>
    </w:p>
    <w:p>
      <w:pPr>
        <w:pStyle w:val="Compact"/>
        <w:numPr>
          <w:ilvl w:val="0"/>
          <w:numId w:val="1050"/>
        </w:numPr>
      </w:pPr>
      <w:r>
        <w:t xml:space="preserve">guardian restriction rationale;</w:t>
      </w:r>
    </w:p>
    <w:p>
      <w:pPr>
        <w:pStyle w:val="Compact"/>
        <w:numPr>
          <w:ilvl w:val="0"/>
          <w:numId w:val="1050"/>
        </w:numPr>
      </w:pPr>
      <w:r>
        <w:t xml:space="preserve">external referral details;</w:t>
      </w:r>
    </w:p>
    <w:p>
      <w:pPr>
        <w:pStyle w:val="Compact"/>
        <w:numPr>
          <w:ilvl w:val="0"/>
          <w:numId w:val="1050"/>
        </w:numPr>
      </w:pPr>
      <w:r>
        <w:t xml:space="preserve">legal advice or privileged material;</w:t>
      </w:r>
    </w:p>
    <w:p>
      <w:pPr>
        <w:pStyle w:val="Compact"/>
        <w:numPr>
          <w:ilvl w:val="0"/>
          <w:numId w:val="1050"/>
        </w:numPr>
      </w:pPr>
      <w:r>
        <w:t xml:space="preserve">unrelated participant information;</w:t>
      </w:r>
    </w:p>
    <w:p>
      <w:pPr>
        <w:pStyle w:val="Compact"/>
        <w:numPr>
          <w:ilvl w:val="0"/>
          <w:numId w:val="1050"/>
        </w:numPr>
      </w:pPr>
      <w:r>
        <w:t xml:space="preserve">screening sources and restriction details beyond the recipient’s authorized need;</w:t>
      </w:r>
    </w:p>
    <w:p>
      <w:pPr>
        <w:pStyle w:val="Compact"/>
        <w:numPr>
          <w:ilvl w:val="0"/>
          <w:numId w:val="1050"/>
        </w:numPr>
      </w:pPr>
      <w:r>
        <w:t xml:space="preserve">internal legal, security, or case-strategy material.</w:t>
      </w:r>
    </w:p>
    <w:p>
      <w:pPr>
        <w:pStyle w:val="FirstParagraph"/>
      </w:pPr>
      <w:r>
        <w:t xml:space="preserve">Access to a case must be auditable at the case, record, attachment, and export level where risk requires. Bulk access, bulk export, and support access require heightened controls and anomaly review.</w:t>
      </w:r>
    </w:p>
    <w:bookmarkEnd w:id="138"/>
    <w:bookmarkStart w:id="139" w:name="evidence-preservation"/>
    <w:p>
      <w:pPr>
        <w:pStyle w:val="Heading2"/>
      </w:pPr>
      <w:r>
        <w:t xml:space="preserve">72. Evidence Preservation</w:t>
      </w:r>
    </w:p>
    <w:p>
      <w:pPr>
        <w:pStyle w:val="FirstParagraph"/>
      </w:pPr>
      <w:r>
        <w:t xml:space="preserve">Potential evidence must be preserved without silently altering originals. Evidence handling must record:</w:t>
      </w:r>
    </w:p>
    <w:p>
      <w:pPr>
        <w:pStyle w:val="Compact"/>
        <w:numPr>
          <w:ilvl w:val="0"/>
          <w:numId w:val="1051"/>
        </w:numPr>
      </w:pPr>
      <w:r>
        <w:t xml:space="preserve">source;</w:t>
      </w:r>
    </w:p>
    <w:p>
      <w:pPr>
        <w:pStyle w:val="Compact"/>
        <w:numPr>
          <w:ilvl w:val="0"/>
          <w:numId w:val="1051"/>
        </w:numPr>
      </w:pPr>
      <w:r>
        <w:t xml:space="preserve">actor;</w:t>
      </w:r>
    </w:p>
    <w:p>
      <w:pPr>
        <w:pStyle w:val="Compact"/>
        <w:numPr>
          <w:ilvl w:val="0"/>
          <w:numId w:val="1051"/>
        </w:numPr>
      </w:pPr>
      <w:r>
        <w:t xml:space="preserve">time;</w:t>
      </w:r>
    </w:p>
    <w:p>
      <w:pPr>
        <w:pStyle w:val="Compact"/>
        <w:numPr>
          <w:ilvl w:val="0"/>
          <w:numId w:val="1051"/>
        </w:numPr>
      </w:pPr>
      <w:r>
        <w:t xml:space="preserve">asset identity;</w:t>
      </w:r>
    </w:p>
    <w:p>
      <w:pPr>
        <w:pStyle w:val="Compact"/>
        <w:numPr>
          <w:ilvl w:val="0"/>
          <w:numId w:val="1051"/>
        </w:numPr>
      </w:pPr>
      <w:r>
        <w:t xml:space="preserve">hash or integrity evidence where applicable;</w:t>
      </w:r>
    </w:p>
    <w:p>
      <w:pPr>
        <w:pStyle w:val="Compact"/>
        <w:numPr>
          <w:ilvl w:val="0"/>
          <w:numId w:val="1051"/>
        </w:numPr>
      </w:pPr>
      <w:r>
        <w:t xml:space="preserve">transformations;</w:t>
      </w:r>
    </w:p>
    <w:p>
      <w:pPr>
        <w:pStyle w:val="Compact"/>
        <w:numPr>
          <w:ilvl w:val="0"/>
          <w:numId w:val="1051"/>
        </w:numPr>
      </w:pPr>
      <w:r>
        <w:t xml:space="preserve">access;</w:t>
      </w:r>
    </w:p>
    <w:p>
      <w:pPr>
        <w:pStyle w:val="Compact"/>
        <w:numPr>
          <w:ilvl w:val="0"/>
          <w:numId w:val="1051"/>
        </w:numPr>
      </w:pPr>
      <w:r>
        <w:t xml:space="preserve">export;</w:t>
      </w:r>
    </w:p>
    <w:p>
      <w:pPr>
        <w:pStyle w:val="Compact"/>
        <w:numPr>
          <w:ilvl w:val="0"/>
          <w:numId w:val="1051"/>
        </w:numPr>
      </w:pPr>
      <w:r>
        <w:t xml:space="preserve">custody events;</w:t>
      </w:r>
    </w:p>
    <w:p>
      <w:pPr>
        <w:pStyle w:val="Compact"/>
        <w:numPr>
          <w:ilvl w:val="0"/>
          <w:numId w:val="1051"/>
        </w:numPr>
      </w:pPr>
      <w:r>
        <w:t xml:space="preserve">hold status.</w:t>
      </w:r>
    </w:p>
    <w:p>
      <w:pPr>
        <w:pStyle w:val="FirstParagraph"/>
      </w:pPr>
      <w:r>
        <w:t xml:space="preserve">Evidence designation does not establish factual truth or admissibility. The case record must distinguish original submissions, derived summaries, translations, redactions, screenshots, external records, and investigator notes.</w:t>
      </w:r>
    </w:p>
    <w:p>
      <w:pPr>
        <w:pStyle w:val="BodyText"/>
      </w:pPr>
      <w:r>
        <w:t xml:space="preserve">Where information is reported orally or through an external channel, the record should identify who created the platform summary, when it was created, the source, and whether the source reviewed or confirmed it.</w:t>
      </w:r>
    </w:p>
    <w:bookmarkEnd w:id="139"/>
    <w:bookmarkStart w:id="140" w:name="holds-and-disposition"/>
    <w:p>
      <w:pPr>
        <w:pStyle w:val="Heading2"/>
      </w:pPr>
      <w:r>
        <w:t xml:space="preserve">73. Holds and Disposition</w:t>
      </w:r>
    </w:p>
    <w:p>
      <w:pPr>
        <w:pStyle w:val="FirstParagraph"/>
      </w:pPr>
      <w:r>
        <w:t xml:space="preserve">A safeguarding, legal, claims, investigation, or preservation hold must block incompatible deletion, alteration, or expiration.</w:t>
      </w:r>
    </w:p>
    <w:p>
      <w:pPr>
        <w:pStyle w:val="BodyText"/>
      </w:pPr>
      <w:r>
        <w:t xml:space="preserve">A guardian request, account closure, reporter withdrawal, tenant preference, customer departure, contract termination, or Responding Person demand does not authorize destruction of held or independently required records.</w:t>
      </w:r>
    </w:p>
    <w:p>
      <w:pPr>
        <w:pStyle w:val="BodyText"/>
      </w:pPr>
      <w:r>
        <w:t xml:space="preserve">A hold must propagate to related communications, files, audit records, restrictions, eligibility records, referrals, exports, backups, and derived records within its scope. Hold release must trigger a new retention analysis rather than immediate deletion.</w:t>
      </w:r>
    </w:p>
    <w:bookmarkEnd w:id="140"/>
    <w:bookmarkStart w:id="141" w:name="retention"/>
    <w:p>
      <w:pPr>
        <w:pStyle w:val="Heading2"/>
      </w:pPr>
      <w:r>
        <w:t xml:space="preserve">74. Retention</w:t>
      </w:r>
    </w:p>
    <w:p>
      <w:pPr>
        <w:pStyle w:val="FirstParagraph"/>
      </w:pPr>
      <w:r>
        <w:t xml:space="preserve">Retention periods belong to Record Stewardship and applicable law. This Model requires separate treatment for:</w:t>
      </w:r>
    </w:p>
    <w:p>
      <w:pPr>
        <w:pStyle w:val="Compact"/>
        <w:numPr>
          <w:ilvl w:val="0"/>
          <w:numId w:val="1052"/>
        </w:numPr>
      </w:pPr>
      <w:r>
        <w:t xml:space="preserve">intake records;</w:t>
      </w:r>
    </w:p>
    <w:p>
      <w:pPr>
        <w:pStyle w:val="Compact"/>
        <w:numPr>
          <w:ilvl w:val="0"/>
          <w:numId w:val="1052"/>
        </w:numPr>
      </w:pPr>
      <w:r>
        <w:t xml:space="preserve">emergency actions;</w:t>
      </w:r>
    </w:p>
    <w:p>
      <w:pPr>
        <w:pStyle w:val="Compact"/>
        <w:numPr>
          <w:ilvl w:val="0"/>
          <w:numId w:val="1052"/>
        </w:numPr>
      </w:pPr>
      <w:r>
        <w:t xml:space="preserve">communications;</w:t>
      </w:r>
    </w:p>
    <w:p>
      <w:pPr>
        <w:pStyle w:val="Compact"/>
        <w:numPr>
          <w:ilvl w:val="0"/>
          <w:numId w:val="1052"/>
        </w:numPr>
      </w:pPr>
      <w:r>
        <w:t xml:space="preserve">evidence;</w:t>
      </w:r>
    </w:p>
    <w:p>
      <w:pPr>
        <w:pStyle w:val="Compact"/>
        <w:numPr>
          <w:ilvl w:val="0"/>
          <w:numId w:val="1052"/>
        </w:numPr>
      </w:pPr>
      <w:r>
        <w:t xml:space="preserve">protective restrictions;</w:t>
      </w:r>
    </w:p>
    <w:p>
      <w:pPr>
        <w:pStyle w:val="Compact"/>
        <w:numPr>
          <w:ilvl w:val="0"/>
          <w:numId w:val="1052"/>
        </w:numPr>
      </w:pPr>
      <w:r>
        <w:t xml:space="preserve">eligibility decisions;</w:t>
      </w:r>
    </w:p>
    <w:p>
      <w:pPr>
        <w:pStyle w:val="Compact"/>
        <w:numPr>
          <w:ilvl w:val="0"/>
          <w:numId w:val="1052"/>
        </w:numPr>
      </w:pPr>
      <w:r>
        <w:t xml:space="preserve">appeals;</w:t>
      </w:r>
    </w:p>
    <w:p>
      <w:pPr>
        <w:pStyle w:val="Compact"/>
        <w:numPr>
          <w:ilvl w:val="0"/>
          <w:numId w:val="1052"/>
        </w:numPr>
      </w:pPr>
      <w:r>
        <w:t xml:space="preserve">external referrals;</w:t>
      </w:r>
    </w:p>
    <w:p>
      <w:pPr>
        <w:pStyle w:val="Compact"/>
        <w:numPr>
          <w:ilvl w:val="0"/>
          <w:numId w:val="1052"/>
        </w:numPr>
      </w:pPr>
      <w:r>
        <w:t xml:space="preserve">training and acknowledgment evidence;</w:t>
      </w:r>
    </w:p>
    <w:p>
      <w:pPr>
        <w:pStyle w:val="Compact"/>
        <w:numPr>
          <w:ilvl w:val="0"/>
          <w:numId w:val="1052"/>
        </w:numPr>
      </w:pPr>
      <w:r>
        <w:t xml:space="preserve">audit records;</w:t>
      </w:r>
    </w:p>
    <w:p>
      <w:pPr>
        <w:pStyle w:val="Compact"/>
        <w:numPr>
          <w:ilvl w:val="0"/>
          <w:numId w:val="1052"/>
        </w:numPr>
      </w:pPr>
      <w:r>
        <w:t xml:space="preserve">jurisdiction and external-reporting evidence;</w:t>
      </w:r>
    </w:p>
    <w:p>
      <w:pPr>
        <w:pStyle w:val="Compact"/>
        <w:numPr>
          <w:ilvl w:val="0"/>
          <w:numId w:val="1052"/>
        </w:numPr>
      </w:pPr>
      <w:r>
        <w:t xml:space="preserve">conflict, recusal, reassignment, and appeal evidence;</w:t>
      </w:r>
    </w:p>
    <w:p>
      <w:pPr>
        <w:pStyle w:val="Compact"/>
        <w:numPr>
          <w:ilvl w:val="0"/>
          <w:numId w:val="1052"/>
        </w:numPr>
      </w:pPr>
      <w:r>
        <w:t xml:space="preserve">records supporting a knowingly false or malicious report determination.</w:t>
      </w:r>
    </w:p>
    <w:p>
      <w:pPr>
        <w:pStyle w:val="FirstParagraph"/>
      </w:pPr>
      <w:r>
        <w:t xml:space="preserve">Retention design must prevent a short customer-configured period from defeating legal, safeguarding, evidence, participant-rights, or organizational-accountability needs. It must also avoid indefinite retention merely because a record is sensitive.</w:t>
      </w:r>
    </w:p>
    <w:bookmarkEnd w:id="141"/>
    <w:bookmarkStart w:id="142" w:name="corrections"/>
    <w:p>
      <w:pPr>
        <w:pStyle w:val="Heading2"/>
      </w:pPr>
      <w:r>
        <w:t xml:space="preserve">75. Corrections</w:t>
      </w:r>
    </w:p>
    <w:p>
      <w:pPr>
        <w:pStyle w:val="FirstParagraph"/>
      </w:pPr>
      <w:r>
        <w:t xml:space="preserve">A factual or administrative correction must preserve the original record, correction request, authority, reason, time, affected fields, and downstream effects.</w:t>
      </w:r>
    </w:p>
    <w:p>
      <w:pPr>
        <w:pStyle w:val="BodyText"/>
      </w:pPr>
      <w:r>
        <w:t xml:space="preserve">A correction must not erase a report, allegation, restriction, or outcome from the historical record where preservation is required.</w:t>
      </w:r>
    </w:p>
    <w:bookmarkEnd w:id="142"/>
    <w:bookmarkEnd w:id="143"/>
    <w:bookmarkStart w:id="149" w:name="Xd5361f8112b908f96ec206dc2cb5502e5e664f5"/>
    <w:p>
      <w:pPr>
        <w:pStyle w:val="Heading1"/>
      </w:pPr>
      <w:r>
        <w:t xml:space="preserve">Part XIV - Challenge, Appeal, Fairness, and Non-Retaliation</w:t>
      </w:r>
    </w:p>
    <w:bookmarkStart w:id="144" w:name="review-rights"/>
    <w:p>
      <w:pPr>
        <w:pStyle w:val="Heading2"/>
      </w:pPr>
      <w:r>
        <w:t xml:space="preserve">76. Review Rights</w:t>
      </w:r>
    </w:p>
    <w:p>
      <w:pPr>
        <w:pStyle w:val="FirstParagraph"/>
      </w:pPr>
      <w:r>
        <w:t xml:space="preserve">An affected person may request review, clarification, correction, or appeal of:</w:t>
      </w:r>
    </w:p>
    <w:p>
      <w:pPr>
        <w:pStyle w:val="Compact"/>
        <w:numPr>
          <w:ilvl w:val="0"/>
          <w:numId w:val="1053"/>
        </w:numPr>
      </w:pPr>
      <w:r>
        <w:t xml:space="preserve">guardian authority;</w:t>
      </w:r>
    </w:p>
    <w:p>
      <w:pPr>
        <w:pStyle w:val="Compact"/>
        <w:numPr>
          <w:ilvl w:val="0"/>
          <w:numId w:val="1053"/>
        </w:numPr>
      </w:pPr>
      <w:r>
        <w:t xml:space="preserve">protected-participant designation;</w:t>
      </w:r>
    </w:p>
    <w:p>
      <w:pPr>
        <w:pStyle w:val="Compact"/>
        <w:numPr>
          <w:ilvl w:val="0"/>
          <w:numId w:val="1053"/>
        </w:numPr>
      </w:pPr>
      <w:r>
        <w:t xml:space="preserve">communication restriction;</w:t>
      </w:r>
    </w:p>
    <w:p>
      <w:pPr>
        <w:pStyle w:val="Compact"/>
        <w:numPr>
          <w:ilvl w:val="0"/>
          <w:numId w:val="1053"/>
        </w:numPr>
      </w:pPr>
      <w:r>
        <w:t xml:space="preserve">adult eligibility state;</w:t>
      </w:r>
    </w:p>
    <w:p>
      <w:pPr>
        <w:pStyle w:val="Compact"/>
        <w:numPr>
          <w:ilvl w:val="0"/>
          <w:numId w:val="1053"/>
        </w:numPr>
      </w:pPr>
      <w:r>
        <w:t xml:space="preserve">pickup or transportation restriction;</w:t>
      </w:r>
    </w:p>
    <w:p>
      <w:pPr>
        <w:pStyle w:val="Compact"/>
        <w:numPr>
          <w:ilvl w:val="0"/>
          <w:numId w:val="1053"/>
        </w:numPr>
      </w:pPr>
      <w:r>
        <w:t xml:space="preserve">media restriction;</w:t>
      </w:r>
    </w:p>
    <w:p>
      <w:pPr>
        <w:pStyle w:val="Compact"/>
        <w:numPr>
          <w:ilvl w:val="0"/>
          <w:numId w:val="1053"/>
        </w:numPr>
      </w:pPr>
      <w:r>
        <w:t xml:space="preserve">factual record;</w:t>
      </w:r>
    </w:p>
    <w:p>
      <w:pPr>
        <w:pStyle w:val="Compact"/>
        <w:numPr>
          <w:ilvl w:val="0"/>
          <w:numId w:val="1053"/>
        </w:numPr>
      </w:pPr>
      <w:r>
        <w:t xml:space="preserve">protective measure;</w:t>
      </w:r>
    </w:p>
    <w:p>
      <w:pPr>
        <w:pStyle w:val="Compact"/>
        <w:numPr>
          <w:ilvl w:val="0"/>
          <w:numId w:val="1053"/>
        </w:numPr>
      </w:pPr>
      <w:r>
        <w:t xml:space="preserve">access denial;</w:t>
      </w:r>
    </w:p>
    <w:p>
      <w:pPr>
        <w:pStyle w:val="Compact"/>
        <w:numPr>
          <w:ilvl w:val="0"/>
          <w:numId w:val="1053"/>
        </w:numPr>
      </w:pPr>
      <w:r>
        <w:t xml:space="preserve">case role, factual attribution, external-referral record, and closure classification.</w:t>
      </w:r>
    </w:p>
    <w:bookmarkEnd w:id="144"/>
    <w:bookmarkStart w:id="145" w:name="Xdecf8559da084acf3f176ea78f8f2709f6bbec5"/>
    <w:p>
      <w:pPr>
        <w:pStyle w:val="Heading2"/>
      </w:pPr>
      <w:r>
        <w:t xml:space="preserve">77. Protective Measures Continue During Review</w:t>
      </w:r>
    </w:p>
    <w:p>
      <w:pPr>
        <w:pStyle w:val="FirstParagraph"/>
      </w:pPr>
      <w:r>
        <w:t xml:space="preserve">A challenge does not automatically suspend a protective restriction. Interim safeguards remain until an authorized reviewer determines they are no longer required or should be modified.</w:t>
      </w:r>
    </w:p>
    <w:bookmarkEnd w:id="145"/>
    <w:bookmarkStart w:id="146" w:name="procedural-separation"/>
    <w:p>
      <w:pPr>
        <w:pStyle w:val="Heading2"/>
      </w:pPr>
      <w:r>
        <w:t xml:space="preserve">78. Procedural Separation</w:t>
      </w:r>
    </w:p>
    <w:p>
      <w:pPr>
        <w:pStyle w:val="FirstParagraph"/>
      </w:pPr>
      <w:r>
        <w:t xml:space="preserve">Where practical, the person who imposed a high-impact restriction should not be the sole final reviewer of the challenge.</w:t>
      </w:r>
    </w:p>
    <w:p>
      <w:pPr>
        <w:pStyle w:val="BodyText"/>
      </w:pPr>
      <w:r>
        <w:t xml:space="preserve">The process must distinguish:</w:t>
      </w:r>
    </w:p>
    <w:p>
      <w:pPr>
        <w:pStyle w:val="Compact"/>
        <w:numPr>
          <w:ilvl w:val="0"/>
          <w:numId w:val="1054"/>
        </w:numPr>
      </w:pPr>
      <w:r>
        <w:t xml:space="preserve">temporary protection;</w:t>
      </w:r>
    </w:p>
    <w:p>
      <w:pPr>
        <w:pStyle w:val="Compact"/>
        <w:numPr>
          <w:ilvl w:val="0"/>
          <w:numId w:val="1054"/>
        </w:numPr>
      </w:pPr>
      <w:r>
        <w:t xml:space="preserve">allegation;</w:t>
      </w:r>
    </w:p>
    <w:p>
      <w:pPr>
        <w:pStyle w:val="Compact"/>
        <w:numPr>
          <w:ilvl w:val="0"/>
          <w:numId w:val="1054"/>
        </w:numPr>
      </w:pPr>
      <w:r>
        <w:t xml:space="preserve">evidence;</w:t>
      </w:r>
    </w:p>
    <w:p>
      <w:pPr>
        <w:pStyle w:val="Compact"/>
        <w:numPr>
          <w:ilvl w:val="0"/>
          <w:numId w:val="1054"/>
        </w:numPr>
      </w:pPr>
      <w:r>
        <w:t xml:space="preserve">factual finding;</w:t>
      </w:r>
    </w:p>
    <w:p>
      <w:pPr>
        <w:pStyle w:val="Compact"/>
        <w:numPr>
          <w:ilvl w:val="0"/>
          <w:numId w:val="1054"/>
        </w:numPr>
      </w:pPr>
      <w:r>
        <w:t xml:space="preserve">eligibility outcome;</w:t>
      </w:r>
    </w:p>
    <w:p>
      <w:pPr>
        <w:pStyle w:val="Compact"/>
        <w:numPr>
          <w:ilvl w:val="0"/>
          <w:numId w:val="1054"/>
        </w:numPr>
      </w:pPr>
      <w:r>
        <w:t xml:space="preserve">legal or governing-body determination;</w:t>
      </w:r>
    </w:p>
    <w:p>
      <w:pPr>
        <w:pStyle w:val="Compact"/>
        <w:numPr>
          <w:ilvl w:val="0"/>
          <w:numId w:val="1054"/>
        </w:numPr>
      </w:pPr>
      <w:r>
        <w:t xml:space="preserve">an unsubstantiated or insufficient-information outcome from a knowingly false or malicious report determination.</w:t>
      </w:r>
    </w:p>
    <w:bookmarkEnd w:id="146"/>
    <w:bookmarkStart w:id="147" w:name="notice-and-explanation"/>
    <w:p>
      <w:pPr>
        <w:pStyle w:val="Heading2"/>
      </w:pPr>
      <w:r>
        <w:t xml:space="preserve">79. Notice and Explanation</w:t>
      </w:r>
    </w:p>
    <w:p>
      <w:pPr>
        <w:pStyle w:val="FirstParagraph"/>
      </w:pPr>
      <w:r>
        <w:t xml:space="preserve">Notice should identify the restriction and review path without disclosing confidential reporter, witness, safeguarding, legal, or investigative information beyond what the recipient is authorized to receive.</w:t>
      </w:r>
    </w:p>
    <w:p>
      <w:pPr>
        <w:pStyle w:val="BodyText"/>
      </w:pPr>
      <w:r>
        <w:t xml:space="preserve">The participant and guardian should receive age-appropriate notice of material protective actions affecting participation when safe and lawful. A Responding Person should receive sufficient process information to understand the restriction and challenge route, but not necessarily the full report, source identity, or evidence before authorized disclosure.</w:t>
      </w:r>
    </w:p>
    <w:bookmarkEnd w:id="147"/>
    <w:bookmarkStart w:id="148" w:name="no-retaliatory-use-of-platform-controls"/>
    <w:p>
      <w:pPr>
        <w:pStyle w:val="Heading2"/>
      </w:pPr>
      <w:r>
        <w:t xml:space="preserve">80. No Retaliatory Use of Platform Controls</w:t>
      </w:r>
    </w:p>
    <w:p>
      <w:pPr>
        <w:pStyle w:val="FirstParagraph"/>
      </w:pPr>
      <w:r>
        <w:t xml:space="preserve">Access, billing, horse care, assignments, schedules, media, reputation, employment, volunteer status, facility privileges, horse services, or account status must not be manipulated to punish a report, refusal, appeal, or safeguarding participation.</w:t>
      </w:r>
    </w:p>
    <w:p>
      <w:pPr>
        <w:pStyle w:val="BodyText"/>
      </w:pPr>
      <w:r>
        <w:t xml:space="preserve">A review or appeal process must itself be protected from retaliation, private contact, evidence tampering, and pressure to withdraw. An accused or restricted person may not administer the appellant’s account or control access to the appeal channel.</w:t>
      </w:r>
    </w:p>
    <w:bookmarkEnd w:id="148"/>
    <w:bookmarkEnd w:id="149"/>
    <w:bookmarkStart w:id="154" w:name="Xd4a7c591c5a60f9f47e0323e65f30820d8d11b3"/>
    <w:p>
      <w:pPr>
        <w:pStyle w:val="Heading1"/>
      </w:pPr>
      <w:r>
        <w:t xml:space="preserve">Part XV - Transition to Adulthood and Restored Autonomy</w:t>
      </w:r>
    </w:p>
    <w:bookmarkStart w:id="150" w:name="governed-transition"/>
    <w:p>
      <w:pPr>
        <w:pStyle w:val="Heading2"/>
      </w:pPr>
      <w:r>
        <w:t xml:space="preserve">81. Governed Transition</w:t>
      </w:r>
    </w:p>
    <w:p>
      <w:pPr>
        <w:pStyle w:val="FirstParagraph"/>
      </w:pPr>
      <w:r>
        <w:t xml:space="preserve">When a minor reaches legal adulthood, or when a protected participant’s authority arrangement changes, EquineSync must perform a governed transition rather than silently continuing guardian control.</w:t>
      </w:r>
    </w:p>
    <w:bookmarkEnd w:id="150"/>
    <w:bookmarkStart w:id="151" w:name="transition-review"/>
    <w:p>
      <w:pPr>
        <w:pStyle w:val="Heading2"/>
      </w:pPr>
      <w:r>
        <w:t xml:space="preserve">82. Transition Review</w:t>
      </w:r>
    </w:p>
    <w:p>
      <w:pPr>
        <w:pStyle w:val="FirstParagraph"/>
      </w:pPr>
      <w:r>
        <w:t xml:space="preserve">The transition must review:</w:t>
      </w:r>
    </w:p>
    <w:p>
      <w:pPr>
        <w:pStyle w:val="Compact"/>
        <w:numPr>
          <w:ilvl w:val="0"/>
          <w:numId w:val="1055"/>
        </w:numPr>
      </w:pPr>
      <w:r>
        <w:t xml:space="preserve">account control;</w:t>
      </w:r>
    </w:p>
    <w:p>
      <w:pPr>
        <w:pStyle w:val="Compact"/>
        <w:numPr>
          <w:ilvl w:val="0"/>
          <w:numId w:val="1055"/>
        </w:numPr>
      </w:pPr>
      <w:r>
        <w:t xml:space="preserve">authentication and recovery;</w:t>
      </w:r>
    </w:p>
    <w:p>
      <w:pPr>
        <w:pStyle w:val="Compact"/>
        <w:numPr>
          <w:ilvl w:val="0"/>
          <w:numId w:val="1055"/>
        </w:numPr>
      </w:pPr>
      <w:r>
        <w:t xml:space="preserve">guardian permissions;</w:t>
      </w:r>
    </w:p>
    <w:p>
      <w:pPr>
        <w:pStyle w:val="Compact"/>
        <w:numPr>
          <w:ilvl w:val="0"/>
          <w:numId w:val="1055"/>
        </w:numPr>
      </w:pPr>
      <w:r>
        <w:t xml:space="preserve">communication settings;</w:t>
      </w:r>
    </w:p>
    <w:p>
      <w:pPr>
        <w:pStyle w:val="Compact"/>
        <w:numPr>
          <w:ilvl w:val="0"/>
          <w:numId w:val="1055"/>
        </w:numPr>
      </w:pPr>
      <w:r>
        <w:t xml:space="preserve">privacy rights;</w:t>
      </w:r>
    </w:p>
    <w:p>
      <w:pPr>
        <w:pStyle w:val="Compact"/>
        <w:numPr>
          <w:ilvl w:val="0"/>
          <w:numId w:val="1055"/>
        </w:numPr>
      </w:pPr>
      <w:r>
        <w:t xml:space="preserve">optional consents and assent;</w:t>
      </w:r>
    </w:p>
    <w:p>
      <w:pPr>
        <w:pStyle w:val="Compact"/>
        <w:numPr>
          <w:ilvl w:val="0"/>
          <w:numId w:val="1055"/>
        </w:numPr>
      </w:pPr>
      <w:r>
        <w:t xml:space="preserve">media and publicity permissions;</w:t>
      </w:r>
    </w:p>
    <w:p>
      <w:pPr>
        <w:pStyle w:val="Compact"/>
        <w:numPr>
          <w:ilvl w:val="0"/>
          <w:numId w:val="1055"/>
        </w:numPr>
      </w:pPr>
      <w:r>
        <w:t xml:space="preserve">billing responsibility;</w:t>
      </w:r>
    </w:p>
    <w:p>
      <w:pPr>
        <w:pStyle w:val="Compact"/>
        <w:numPr>
          <w:ilvl w:val="0"/>
          <w:numId w:val="1055"/>
        </w:numPr>
      </w:pPr>
      <w:r>
        <w:t xml:space="preserve">ongoing agreements;</w:t>
      </w:r>
    </w:p>
    <w:p>
      <w:pPr>
        <w:pStyle w:val="Compact"/>
        <w:numPr>
          <w:ilvl w:val="0"/>
          <w:numId w:val="1055"/>
        </w:numPr>
      </w:pPr>
      <w:r>
        <w:t xml:space="preserve">safeguarding restrictions supported by an independent basis;</w:t>
      </w:r>
    </w:p>
    <w:p>
      <w:pPr>
        <w:pStyle w:val="Compact"/>
        <w:numPr>
          <w:ilvl w:val="0"/>
          <w:numId w:val="1055"/>
        </w:numPr>
      </w:pPr>
      <w:r>
        <w:t xml:space="preserve">confidential guardian or safeguarding information.</w:t>
      </w:r>
    </w:p>
    <w:bookmarkEnd w:id="151"/>
    <w:bookmarkStart w:id="152" w:name="historical-preservation"/>
    <w:p>
      <w:pPr>
        <w:pStyle w:val="Heading2"/>
      </w:pPr>
      <w:r>
        <w:t xml:space="preserve">83. Historical Preservation</w:t>
      </w:r>
    </w:p>
    <w:p>
      <w:pPr>
        <w:pStyle w:val="FirstParagraph"/>
      </w:pPr>
      <w:r>
        <w:t xml:space="preserve">Historical guardian actions, agreements, notices, and permissions remain preserved with their original effective periods.</w:t>
      </w:r>
    </w:p>
    <w:p>
      <w:pPr>
        <w:pStyle w:val="BodyText"/>
      </w:pPr>
      <w:r>
        <w:t xml:space="preserve">The transition must not rewrite the past or expose restricted historical records merely because the participant reaches adulthood.</w:t>
      </w:r>
    </w:p>
    <w:bookmarkEnd w:id="152"/>
    <w:bookmarkStart w:id="153" w:name="new-independent-authority"/>
    <w:p>
      <w:pPr>
        <w:pStyle w:val="Heading2"/>
      </w:pPr>
      <w:r>
        <w:t xml:space="preserve">84. New Independent Authority</w:t>
      </w:r>
    </w:p>
    <w:p>
      <w:pPr>
        <w:pStyle w:val="FirstParagraph"/>
      </w:pPr>
      <w:r>
        <w:t xml:space="preserve">The adult participant should be invited to establish or control an independent account and make new decisions for optional consents, communications, media, privacy, and participation where legally authorized.</w:t>
      </w:r>
    </w:p>
    <w:p>
      <w:pPr>
        <w:pStyle w:val="BodyText"/>
      </w:pPr>
      <w:r>
        <w:t xml:space="preserve">Payer status and financial responsibility do not change automatically.</w:t>
      </w:r>
    </w:p>
    <w:p>
      <w:pPr>
        <w:pStyle w:val="BodyText"/>
      </w:pPr>
      <w:r>
        <w:t xml:space="preserve">The minor-specific guardian-inclusion rule ends when the participant is no longer legally treated as a minor, unless another verified authority arrangement or protective restriction independently requires supported communication. Guardian or supporter inclusion for an adult must be based on current authority and the adult’s retained autonomy, not merely the historical minor record.</w:t>
      </w:r>
    </w:p>
    <w:p>
      <w:pPr>
        <w:pStyle w:val="BodyText"/>
      </w:pPr>
      <w:r>
        <w:t xml:space="preserve">Transition review must not automatically disclose confidential reports, reporter identities, third-party information, or restricted guardian records to either the new adult or former guardian. Each access question remains subject to privacy, safeguarding, record, and legal authority.</w:t>
      </w:r>
    </w:p>
    <w:bookmarkEnd w:id="153"/>
    <w:bookmarkEnd w:id="154"/>
    <w:bookmarkStart w:id="159" w:name="X0442c41f714996d45a985c3c8c35ed40763ccd0"/>
    <w:p>
      <w:pPr>
        <w:pStyle w:val="Heading1"/>
      </w:pPr>
      <w:r>
        <w:t xml:space="preserve">Part XVI - External Systems, Offline Use, and Platform Controls</w:t>
      </w:r>
    </w:p>
    <w:bookmarkStart w:id="155" w:name="external-processors-and-vendors"/>
    <w:p>
      <w:pPr>
        <w:pStyle w:val="Heading2"/>
      </w:pPr>
      <w:r>
        <w:t xml:space="preserve">85. External Processors and Vendors</w:t>
      </w:r>
    </w:p>
    <w:p>
      <w:pPr>
        <w:pStyle w:val="FirstParagraph"/>
      </w:pPr>
      <w:r>
        <w:t xml:space="preserve">A vendor, provider, plugin, integration, or embedded service may not process protected-participant or safeguarding data merely because it offers a relevant feature.</w:t>
      </w:r>
    </w:p>
    <w:p>
      <w:pPr>
        <w:pStyle w:val="BodyText"/>
      </w:pPr>
      <w:r>
        <w:t xml:space="preserve">Eligibility requires approved purpose, minimum necessary data, security and privacy controls, contractual restrictions, incident duties, retention limits, subprocessor controls, residency and cross-border treatment, exit capability, and no unauthorized training or secondary use.</w:t>
      </w:r>
    </w:p>
    <w:p>
      <w:pPr>
        <w:pStyle w:val="BodyText"/>
      </w:pPr>
      <w:r>
        <w:t xml:space="preserve">A provider must not be represented as safeguarding-compliant merely because it signs a contract or offers an age-gating, messaging, moderation, screening, or reporting feature. EquineSync remains responsible for constitutional integration and evidence.</w:t>
      </w:r>
    </w:p>
    <w:bookmarkEnd w:id="155"/>
    <w:bookmarkStart w:id="156" w:name="plugins-and-integrations"/>
    <w:p>
      <w:pPr>
        <w:pStyle w:val="Heading2"/>
      </w:pPr>
      <w:r>
        <w:t xml:space="preserve">86. Plugins and Integrations</w:t>
      </w:r>
    </w:p>
    <w:p>
      <w:pPr>
        <w:pStyle w:val="FirstParagraph"/>
      </w:pPr>
      <w:r>
        <w:t xml:space="preserve">Protected safeguarding records and communications are unavailable to plugins and ordinary integrations by default.</w:t>
      </w:r>
    </w:p>
    <w:p>
      <w:pPr>
        <w:pStyle w:val="BodyText"/>
      </w:pPr>
      <w:r>
        <w:t xml:space="preserve">No plugin may:</w:t>
      </w:r>
    </w:p>
    <w:p>
      <w:pPr>
        <w:pStyle w:val="Compact"/>
        <w:numPr>
          <w:ilvl w:val="0"/>
          <w:numId w:val="1056"/>
        </w:numPr>
      </w:pPr>
      <w:r>
        <w:t xml:space="preserve">create private adult-minor messaging;</w:t>
      </w:r>
    </w:p>
    <w:p>
      <w:pPr>
        <w:pStyle w:val="Compact"/>
        <w:numPr>
          <w:ilvl w:val="0"/>
          <w:numId w:val="1056"/>
        </w:numPr>
      </w:pPr>
      <w:r>
        <w:t xml:space="preserve">broaden minor discoverability;</w:t>
      </w:r>
    </w:p>
    <w:p>
      <w:pPr>
        <w:pStyle w:val="Compact"/>
        <w:numPr>
          <w:ilvl w:val="0"/>
          <w:numId w:val="1056"/>
        </w:numPr>
      </w:pPr>
      <w:r>
        <w:t xml:space="preserve">export safeguarding records;</w:t>
      </w:r>
    </w:p>
    <w:p>
      <w:pPr>
        <w:pStyle w:val="Compact"/>
        <w:numPr>
          <w:ilvl w:val="0"/>
          <w:numId w:val="1056"/>
        </w:numPr>
      </w:pPr>
      <w:r>
        <w:t xml:space="preserve">alter eligibility or restrictions;</w:t>
      </w:r>
    </w:p>
    <w:p>
      <w:pPr>
        <w:pStyle w:val="Compact"/>
        <w:numPr>
          <w:ilvl w:val="0"/>
          <w:numId w:val="1056"/>
        </w:numPr>
      </w:pPr>
      <w:r>
        <w:t xml:space="preserve">remove guardian participation;</w:t>
      </w:r>
    </w:p>
    <w:p>
      <w:pPr>
        <w:pStyle w:val="Compact"/>
        <w:numPr>
          <w:ilvl w:val="0"/>
          <w:numId w:val="1056"/>
        </w:numPr>
      </w:pPr>
      <w:r>
        <w:t xml:space="preserve">send data to a general model;</w:t>
      </w:r>
    </w:p>
    <w:p>
      <w:pPr>
        <w:pStyle w:val="Compact"/>
        <w:numPr>
          <w:ilvl w:val="0"/>
          <w:numId w:val="1056"/>
        </w:numPr>
      </w:pPr>
      <w:r>
        <w:t xml:space="preserve">create a public profile;</w:t>
      </w:r>
    </w:p>
    <w:p>
      <w:pPr>
        <w:pStyle w:val="Compact"/>
        <w:numPr>
          <w:ilvl w:val="0"/>
          <w:numId w:val="1056"/>
        </w:numPr>
      </w:pPr>
      <w:r>
        <w:t xml:space="preserve">bypass audit or retention;</w:t>
      </w:r>
    </w:p>
    <w:p>
      <w:pPr>
        <w:pStyle w:val="Compact"/>
        <w:numPr>
          <w:ilvl w:val="0"/>
          <w:numId w:val="1056"/>
        </w:numPr>
      </w:pPr>
      <w:r>
        <w:t xml:space="preserve">create a shadow case, alternate recipient list, hidden export, or external notification path outside governed records.</w:t>
      </w:r>
    </w:p>
    <w:bookmarkEnd w:id="156"/>
    <w:bookmarkStart w:id="157" w:name="offline-use"/>
    <w:p>
      <w:pPr>
        <w:pStyle w:val="Heading2"/>
      </w:pPr>
      <w:r>
        <w:t xml:space="preserve">87. Offline Use</w:t>
      </w:r>
    </w:p>
    <w:p>
      <w:pPr>
        <w:pStyle w:val="FirstParagraph"/>
      </w:pPr>
      <w:r>
        <w:t xml:space="preserve">Safeguarding records, guardian-conflict details, protected communications, and high-risk participant data should not be available offline by default.</w:t>
      </w:r>
    </w:p>
    <w:p>
      <w:pPr>
        <w:pStyle w:val="BodyText"/>
      </w:pPr>
      <w:r>
        <w:t xml:space="preserve">Any approved offline use requires:</w:t>
      </w:r>
    </w:p>
    <w:p>
      <w:pPr>
        <w:pStyle w:val="Compact"/>
        <w:numPr>
          <w:ilvl w:val="0"/>
          <w:numId w:val="1057"/>
        </w:numPr>
      </w:pPr>
      <w:r>
        <w:t xml:space="preserve">explicit eligibility;</w:t>
      </w:r>
    </w:p>
    <w:p>
      <w:pPr>
        <w:pStyle w:val="Compact"/>
        <w:numPr>
          <w:ilvl w:val="0"/>
          <w:numId w:val="1057"/>
        </w:numPr>
      </w:pPr>
      <w:r>
        <w:t xml:space="preserve">encryption;</w:t>
      </w:r>
    </w:p>
    <w:p>
      <w:pPr>
        <w:pStyle w:val="Compact"/>
        <w:numPr>
          <w:ilvl w:val="0"/>
          <w:numId w:val="1057"/>
        </w:numPr>
      </w:pPr>
      <w:r>
        <w:t xml:space="preserve">device trust;</w:t>
      </w:r>
    </w:p>
    <w:p>
      <w:pPr>
        <w:pStyle w:val="Compact"/>
        <w:numPr>
          <w:ilvl w:val="0"/>
          <w:numId w:val="1057"/>
        </w:numPr>
      </w:pPr>
      <w:r>
        <w:t xml:space="preserve">short-lived authorization;</w:t>
      </w:r>
    </w:p>
    <w:p>
      <w:pPr>
        <w:pStyle w:val="Compact"/>
        <w:numPr>
          <w:ilvl w:val="0"/>
          <w:numId w:val="1057"/>
        </w:numPr>
      </w:pPr>
      <w:r>
        <w:t xml:space="preserve">minimum fields;</w:t>
      </w:r>
    </w:p>
    <w:p>
      <w:pPr>
        <w:pStyle w:val="Compact"/>
        <w:numPr>
          <w:ilvl w:val="0"/>
          <w:numId w:val="1057"/>
        </w:numPr>
      </w:pPr>
      <w:r>
        <w:t xml:space="preserve">revocation and tombstone behavior;</w:t>
      </w:r>
    </w:p>
    <w:p>
      <w:pPr>
        <w:pStyle w:val="Compact"/>
        <w:numPr>
          <w:ilvl w:val="0"/>
          <w:numId w:val="1057"/>
        </w:numPr>
      </w:pPr>
      <w:r>
        <w:t xml:space="preserve">incident response;</w:t>
      </w:r>
    </w:p>
    <w:p>
      <w:pPr>
        <w:pStyle w:val="Compact"/>
        <w:numPr>
          <w:ilvl w:val="0"/>
          <w:numId w:val="1057"/>
        </w:numPr>
      </w:pPr>
      <w:r>
        <w:t xml:space="preserve">audit and reconciliation.</w:t>
      </w:r>
    </w:p>
    <w:p>
      <w:pPr>
        <w:pStyle w:val="FirstParagraph"/>
      </w:pPr>
      <w:r>
        <w:t xml:space="preserve">An offline client may not make a canonical safeguarding decision, remove a guardian, release a restriction, close a case, change a Responding Person’s status, satisfy an external reporting duty, or delete a report.</w:t>
      </w:r>
    </w:p>
    <w:p>
      <w:pPr>
        <w:pStyle w:val="BodyText"/>
      </w:pPr>
      <w:r>
        <w:t xml:space="preserve">High-risk offline authorization must expire. Device loss, account suspension, guardian change, adult restriction, or case restriction must trigger revocation and incident treatment at the earliest governed opportunity. Local notifications must avoid exposing protected case details on locked screens.</w:t>
      </w:r>
    </w:p>
    <w:bookmarkEnd w:id="157"/>
    <w:bookmarkStart w:id="158" w:name="recovery-and-restoration"/>
    <w:p>
      <w:pPr>
        <w:pStyle w:val="Heading2"/>
      </w:pPr>
      <w:r>
        <w:t xml:space="preserve">88. Recovery and Restoration</w:t>
      </w:r>
    </w:p>
    <w:p>
      <w:pPr>
        <w:pStyle w:val="FirstParagraph"/>
      </w:pPr>
      <w:r>
        <w:t xml:space="preserve">Recovery must not restore obsolete guardian authority, revoked messaging access, expired adult eligibility, removed public media authorization, or superseded protective states.</w:t>
      </w:r>
    </w:p>
    <w:p>
      <w:pPr>
        <w:pStyle w:val="BodyText"/>
      </w:pPr>
      <w:r>
        <w:t xml:space="preserve">Restored records must be reconciled against current authority before ordinary use.</w:t>
      </w:r>
    </w:p>
    <w:bookmarkEnd w:id="158"/>
    <w:bookmarkEnd w:id="159"/>
    <w:bookmarkStart w:id="168" w:name="part-xvii---roles-and-responsibilities"/>
    <w:p>
      <w:pPr>
        <w:pStyle w:val="Heading1"/>
      </w:pPr>
      <w:r>
        <w:t xml:space="preserve">Part XVII - Roles and Responsibilities</w:t>
      </w:r>
    </w:p>
    <w:bookmarkStart w:id="160" w:name="founder"/>
    <w:p>
      <w:pPr>
        <w:pStyle w:val="Heading2"/>
      </w:pPr>
      <w:r>
        <w:t xml:space="preserve">89. Founder</w:t>
      </w:r>
    </w:p>
    <w:p>
      <w:pPr>
        <w:pStyle w:val="FirstParagraph"/>
      </w:pPr>
      <w:r>
        <w:t xml:space="preserve">The Founder retains authority over adoption, lock, major constitutional exceptions, public compliance claims, new biometric use, shared-model use, cross-tenant safeguarding systems, and material weakening of protected-participant safeguards.</w:t>
      </w:r>
    </w:p>
    <w:bookmarkEnd w:id="160"/>
    <w:bookmarkStart w:id="161" w:name="constitutional-governance-steward"/>
    <w:p>
      <w:pPr>
        <w:pStyle w:val="Heading2"/>
      </w:pPr>
      <w:r>
        <w:t xml:space="preserve">90. Constitutional Governance Steward</w:t>
      </w:r>
    </w:p>
    <w:p>
      <w:pPr>
        <w:pStyle w:val="FirstParagraph"/>
      </w:pPr>
      <w:r>
        <w:t xml:space="preserve">The governance steward maintains cross-canon consistency, ownership boundaries, requirements, decision traceability, and controlled amendments without exercising operational safeguarding authority unless separately assigned.</w:t>
      </w:r>
    </w:p>
    <w:bookmarkEnd w:id="161"/>
    <w:bookmarkStart w:id="162" w:name="equinesync-safeguarding-authority"/>
    <w:p>
      <w:pPr>
        <w:pStyle w:val="Heading2"/>
      </w:pPr>
      <w:r>
        <w:t xml:space="preserve">91. EquineSync Safeguarding Authority</w:t>
      </w:r>
    </w:p>
    <w:p>
      <w:pPr>
        <w:pStyle w:val="FirstParagraph"/>
      </w:pPr>
      <w:r>
        <w:t xml:space="preserve">An EquineSync safeguarding authority may receive and route platform-related concerns, impose authorized platform restrictions, preserve evidence, coordinate qualified review, and escalate according to policy. The role does not substitute for emergency services, law enforcement, governing bodies, child-protection authorities, legal counsel, or customer responsibilities.</w:t>
      </w:r>
    </w:p>
    <w:p>
      <w:pPr>
        <w:pStyle w:val="BodyText"/>
      </w:pPr>
      <w:r>
        <w:t xml:space="preserve">The authority must be separated from ordinary support, sales, customer-success, and engineering access. Material conflicts require recusal and reassignment. EquineSync may restrict platform capabilities but must not claim to adjudicate criminal, civil, professional, employment, or governing-body responsibility unless separately authorized by the applicable process.</w:t>
      </w:r>
    </w:p>
    <w:bookmarkEnd w:id="162"/>
    <w:bookmarkStart w:id="163" w:name="customer-safeguarding-lead"/>
    <w:p>
      <w:pPr>
        <w:pStyle w:val="Heading2"/>
      </w:pPr>
      <w:r>
        <w:t xml:space="preserve">92. Customer Safeguarding Lead</w:t>
      </w:r>
    </w:p>
    <w:p>
      <w:pPr>
        <w:pStyle w:val="FirstParagraph"/>
      </w:pPr>
      <w:r>
        <w:t xml:space="preserve">A customer organization using protected-participant functions should designate a safeguarding lead or equivalent responsible role. Duties may include eligibility records, guardian evidence, training, local escalation, protective action, external reporting, and periodic review.</w:t>
      </w:r>
    </w:p>
    <w:p>
      <w:pPr>
        <w:pStyle w:val="BodyText"/>
      </w:pPr>
      <w:r>
        <w:t xml:space="preserve">A lead who is implicated, supervises a Responding Person, has a material personal or financial interest, or cannot act impartially must recuse. The organization must maintain an alternate route that does not depend on the implicated person’s approval.</w:t>
      </w:r>
    </w:p>
    <w:bookmarkEnd w:id="163"/>
    <w:bookmarkStart w:id="164" w:name="guardian-1"/>
    <w:p>
      <w:pPr>
        <w:pStyle w:val="Heading2"/>
      </w:pPr>
      <w:r>
        <w:t xml:space="preserve">93. Guardian</w:t>
      </w:r>
    </w:p>
    <w:p>
      <w:pPr>
        <w:pStyle w:val="FirstParagraph"/>
      </w:pPr>
      <w:r>
        <w:t xml:space="preserve">A guardian exercises only the authority supported by the Guardian Authority Record and remains subject to safeguarding, privacy, legal, and participant-autonomy constraints.</w:t>
      </w:r>
    </w:p>
    <w:bookmarkEnd w:id="164"/>
    <w:bookmarkStart w:id="165" w:name="minor-or-protected-participant"/>
    <w:p>
      <w:pPr>
        <w:pStyle w:val="Heading2"/>
      </w:pPr>
      <w:r>
        <w:t xml:space="preserve">94. Minor or Protected Participant</w:t>
      </w:r>
    </w:p>
    <w:p>
      <w:pPr>
        <w:pStyle w:val="FirstParagraph"/>
      </w:pPr>
      <w:r>
        <w:t xml:space="preserve">The participant may receive age-appropriate information, express assent or refusal, submit concerns, request help, challenge records, and exercise independent rights within their lawful capacity.</w:t>
      </w:r>
    </w:p>
    <w:bookmarkEnd w:id="165"/>
    <w:bookmarkStart w:id="166" w:name="Xfbf0c4e718f4fac788c998fdc56046ca27afa88"/>
    <w:p>
      <w:pPr>
        <w:pStyle w:val="Heading2"/>
      </w:pPr>
      <w:r>
        <w:t xml:space="preserve">95. Trainer, Coach, Instructor, Staff, Volunteer, or Provider</w:t>
      </w:r>
    </w:p>
    <w:p>
      <w:pPr>
        <w:pStyle w:val="FirstParagraph"/>
      </w:pPr>
      <w:r>
        <w:t xml:space="preserve">An adult third party must maintain eligibility, comply with guardian-inclusion rules, use approved communication channels, respect protected refusal, report concerns as required, preserve evidence, avoid private or retaliatory conduct, and cooperate with authorized safety measures.</w:t>
      </w:r>
    </w:p>
    <w:p>
      <w:pPr>
        <w:pStyle w:val="BodyText"/>
      </w:pPr>
      <w:r>
        <w:t xml:space="preserve">An adult must not investigate a concern privately by confronting the minor, reporter, witness, or Responding Person when doing so could increase danger, compromise evidence, or interfere with an external duty. A person who may be a Mandated Reporter remains responsible for obtaining appropriate current guidance and acting within applicable law.</w:t>
      </w:r>
    </w:p>
    <w:bookmarkEnd w:id="166"/>
    <w:bookmarkStart w:id="167" w:name="X17d5c44eaec026cbef6bd0d227bc43f941ea635"/>
    <w:p>
      <w:pPr>
        <w:pStyle w:val="Heading2"/>
      </w:pPr>
      <w:r>
        <w:t xml:space="preserve">96. Privacy, Legal, Security, Records, Claims, and Audit Roles</w:t>
      </w:r>
    </w:p>
    <w:p>
      <w:pPr>
        <w:pStyle w:val="FirstParagraph"/>
      </w:pPr>
      <w:r>
        <w:t xml:space="preserve">These roles retain their specialized authority and may access safeguarding information only within assigned purpose and scope.</w:t>
      </w:r>
    </w:p>
    <w:p>
      <w:pPr>
        <w:pStyle w:val="BodyText"/>
      </w:pPr>
      <w:r>
        <w:t xml:space="preserve">Legal or privacy review must not become a blanket prerequisite that delays an emergency or legally required report. Security and engineering may preserve systems and evidence without receiving unrestricted narrative access. Records and audit functions preserve lifecycle integrity without deciding credibility or guilt.</w:t>
      </w:r>
    </w:p>
    <w:bookmarkEnd w:id="167"/>
    <w:bookmarkEnd w:id="168"/>
    <w:bookmarkStart w:id="172" w:name="X5182a4b7256825fcc898d9b9ebac3a9c1c4b7ec"/>
    <w:p>
      <w:pPr>
        <w:pStyle w:val="Heading1"/>
      </w:pPr>
      <w:r>
        <w:t xml:space="preserve">Part XVIII - Required Registers, Standards, and Implementation Artifacts</w:t>
      </w:r>
    </w:p>
    <w:bookmarkStart w:id="169" w:name="required-governance-registers"/>
    <w:p>
      <w:pPr>
        <w:pStyle w:val="Heading2"/>
      </w:pPr>
      <w:r>
        <w:t xml:space="preserve">97. Required Governance Registers</w:t>
      </w:r>
    </w:p>
    <w:p>
      <w:pPr>
        <w:pStyle w:val="FirstParagraph"/>
      </w:pPr>
      <w:r>
        <w:t xml:space="preserve">Before implementation authorization, the following controlled registers or equivalent evidence must exist:</w:t>
      </w:r>
    </w:p>
    <w:p>
      <w:pPr>
        <w:pStyle w:val="Compact"/>
        <w:numPr>
          <w:ilvl w:val="0"/>
          <w:numId w:val="1058"/>
        </w:numPr>
      </w:pPr>
      <w:r>
        <w:t xml:space="preserve">Protected Participant Status Registry;</w:t>
      </w:r>
    </w:p>
    <w:p>
      <w:pPr>
        <w:pStyle w:val="Compact"/>
        <w:numPr>
          <w:ilvl w:val="0"/>
          <w:numId w:val="1058"/>
        </w:numPr>
      </w:pPr>
      <w:r>
        <w:t xml:space="preserve">Guardian Authority and Restriction Registry;</w:t>
      </w:r>
    </w:p>
    <w:p>
      <w:pPr>
        <w:pStyle w:val="Compact"/>
        <w:numPr>
          <w:ilvl w:val="0"/>
          <w:numId w:val="1058"/>
        </w:numPr>
      </w:pPr>
      <w:r>
        <w:t xml:space="preserve">Adult Eligibility and Training Registry;</w:t>
      </w:r>
    </w:p>
    <w:p>
      <w:pPr>
        <w:pStyle w:val="Compact"/>
        <w:numPr>
          <w:ilvl w:val="0"/>
          <w:numId w:val="1058"/>
        </w:numPr>
      </w:pPr>
      <w:r>
        <w:t xml:space="preserve">Protective Restriction Registry;</w:t>
      </w:r>
    </w:p>
    <w:p>
      <w:pPr>
        <w:pStyle w:val="Compact"/>
        <w:numPr>
          <w:ilvl w:val="0"/>
          <w:numId w:val="1058"/>
        </w:numPr>
      </w:pPr>
      <w:r>
        <w:t xml:space="preserve">Protected Communication Thread Registry;</w:t>
      </w:r>
    </w:p>
    <w:p>
      <w:pPr>
        <w:pStyle w:val="Compact"/>
        <w:numPr>
          <w:ilvl w:val="0"/>
          <w:numId w:val="1058"/>
        </w:numPr>
      </w:pPr>
      <w:r>
        <w:t xml:space="preserve">Assent and Protected Refusal Registry;</w:t>
      </w:r>
    </w:p>
    <w:p>
      <w:pPr>
        <w:pStyle w:val="Compact"/>
        <w:numPr>
          <w:ilvl w:val="0"/>
          <w:numId w:val="1058"/>
        </w:numPr>
      </w:pPr>
      <w:r>
        <w:t xml:space="preserve">Pickup and Release Authorization Registry;</w:t>
      </w:r>
    </w:p>
    <w:p>
      <w:pPr>
        <w:pStyle w:val="Compact"/>
        <w:numPr>
          <w:ilvl w:val="0"/>
          <w:numId w:val="1058"/>
        </w:numPr>
      </w:pPr>
      <w:r>
        <w:t xml:space="preserve">Transportation Authorization Registry;</w:t>
      </w:r>
    </w:p>
    <w:p>
      <w:pPr>
        <w:pStyle w:val="Compact"/>
        <w:numPr>
          <w:ilvl w:val="0"/>
          <w:numId w:val="1058"/>
        </w:numPr>
      </w:pPr>
      <w:r>
        <w:t xml:space="preserve">Safeguarding Report and Case Registry;</w:t>
      </w:r>
    </w:p>
    <w:p>
      <w:pPr>
        <w:pStyle w:val="Compact"/>
        <w:numPr>
          <w:ilvl w:val="0"/>
          <w:numId w:val="1058"/>
        </w:numPr>
      </w:pPr>
      <w:r>
        <w:t xml:space="preserve">External Referral and Reporting Registry;</w:t>
      </w:r>
    </w:p>
    <w:p>
      <w:pPr>
        <w:pStyle w:val="Compact"/>
        <w:numPr>
          <w:ilvl w:val="0"/>
          <w:numId w:val="1058"/>
        </w:numPr>
      </w:pPr>
      <w:r>
        <w:t xml:space="preserve">Public Media and Publicity Authorization Registry;</w:t>
      </w:r>
    </w:p>
    <w:p>
      <w:pPr>
        <w:pStyle w:val="Compact"/>
        <w:numPr>
          <w:ilvl w:val="0"/>
          <w:numId w:val="1058"/>
        </w:numPr>
      </w:pPr>
      <w:r>
        <w:t xml:space="preserve">Safeguarding Exception Registry;</w:t>
      </w:r>
    </w:p>
    <w:p>
      <w:pPr>
        <w:pStyle w:val="Compact"/>
        <w:numPr>
          <w:ilvl w:val="0"/>
          <w:numId w:val="1058"/>
        </w:numPr>
      </w:pPr>
      <w:r>
        <w:t xml:space="preserve">Safeguarding Conflict, Recusal, and Reassignment Registry;</w:t>
      </w:r>
    </w:p>
    <w:p>
      <w:pPr>
        <w:pStyle w:val="Compact"/>
        <w:numPr>
          <w:ilvl w:val="0"/>
          <w:numId w:val="1058"/>
        </w:numPr>
      </w:pPr>
      <w:r>
        <w:t xml:space="preserve">External Reporting Duty and Referral Registry;</w:t>
      </w:r>
    </w:p>
    <w:p>
      <w:pPr>
        <w:pStyle w:val="Compact"/>
        <w:numPr>
          <w:ilvl w:val="0"/>
          <w:numId w:val="1058"/>
        </w:numPr>
      </w:pPr>
      <w:r>
        <w:t xml:space="preserve">Safety Plan Registry;</w:t>
      </w:r>
    </w:p>
    <w:p>
      <w:pPr>
        <w:pStyle w:val="Compact"/>
        <w:numPr>
          <w:ilvl w:val="0"/>
          <w:numId w:val="1058"/>
        </w:numPr>
      </w:pPr>
      <w:r>
        <w:t xml:space="preserve">Safeguarding Access Review and Exceptional Access Registry;</w:t>
      </w:r>
    </w:p>
    <w:p>
      <w:pPr>
        <w:pStyle w:val="Compact"/>
        <w:numPr>
          <w:ilvl w:val="0"/>
          <w:numId w:val="1058"/>
        </w:numPr>
      </w:pPr>
      <w:r>
        <w:t xml:space="preserve">Safeguarding Public Claim Evidence Registry.</w:t>
      </w:r>
    </w:p>
    <w:bookmarkEnd w:id="169"/>
    <w:bookmarkStart w:id="170" w:name="required-subordinate-standards"/>
    <w:p>
      <w:pPr>
        <w:pStyle w:val="Heading2"/>
      </w:pPr>
      <w:r>
        <w:t xml:space="preserve">98. Required Subordinate Standards</w:t>
      </w:r>
    </w:p>
    <w:p>
      <w:pPr>
        <w:pStyle w:val="FirstParagraph"/>
      </w:pPr>
      <w:r>
        <w:t xml:space="preserve">At minimum:</w:t>
      </w:r>
    </w:p>
    <w:p>
      <w:pPr>
        <w:pStyle w:val="Compact"/>
        <w:numPr>
          <w:ilvl w:val="0"/>
          <w:numId w:val="1059"/>
        </w:numPr>
      </w:pPr>
      <w:r>
        <w:t xml:space="preserve">Age and Jurisdiction Determination Standard;</w:t>
      </w:r>
    </w:p>
    <w:p>
      <w:pPr>
        <w:pStyle w:val="Compact"/>
        <w:numPr>
          <w:ilvl w:val="0"/>
          <w:numId w:val="1059"/>
        </w:numPr>
      </w:pPr>
      <w:r>
        <w:t xml:space="preserve">Guardian Evidence and Conflict Standard;</w:t>
      </w:r>
    </w:p>
    <w:p>
      <w:pPr>
        <w:pStyle w:val="Compact"/>
        <w:numPr>
          <w:ilvl w:val="0"/>
          <w:numId w:val="1059"/>
        </w:numPr>
      </w:pPr>
      <w:r>
        <w:t xml:space="preserve">Minor Account and Identity Standard;</w:t>
      </w:r>
    </w:p>
    <w:p>
      <w:pPr>
        <w:pStyle w:val="Compact"/>
        <w:numPr>
          <w:ilvl w:val="0"/>
          <w:numId w:val="1059"/>
        </w:numPr>
      </w:pPr>
      <w:r>
        <w:t xml:space="preserve">Guardian-Included Communication Standard;</w:t>
      </w:r>
    </w:p>
    <w:p>
      <w:pPr>
        <w:pStyle w:val="Compact"/>
        <w:numPr>
          <w:ilvl w:val="0"/>
          <w:numId w:val="1059"/>
        </w:numPr>
      </w:pPr>
      <w:r>
        <w:t xml:space="preserve">Protected Safeguarding Intake Standard;</w:t>
      </w:r>
    </w:p>
    <w:p>
      <w:pPr>
        <w:pStyle w:val="Compact"/>
        <w:numPr>
          <w:ilvl w:val="0"/>
          <w:numId w:val="1059"/>
        </w:numPr>
      </w:pPr>
      <w:r>
        <w:t xml:space="preserve">Emergency Protective Restriction Standard;</w:t>
      </w:r>
    </w:p>
    <w:p>
      <w:pPr>
        <w:pStyle w:val="Compact"/>
        <w:numPr>
          <w:ilvl w:val="0"/>
          <w:numId w:val="1059"/>
        </w:numPr>
      </w:pPr>
      <w:r>
        <w:t xml:space="preserve">Adult Eligibility and Revalidation Standard;</w:t>
      </w:r>
    </w:p>
    <w:p>
      <w:pPr>
        <w:pStyle w:val="Compact"/>
        <w:numPr>
          <w:ilvl w:val="0"/>
          <w:numId w:val="1059"/>
        </w:numPr>
      </w:pPr>
      <w:r>
        <w:t xml:space="preserve">Training and Acknowledgment Standard;</w:t>
      </w:r>
    </w:p>
    <w:p>
      <w:pPr>
        <w:pStyle w:val="Compact"/>
        <w:numPr>
          <w:ilvl w:val="0"/>
          <w:numId w:val="1059"/>
        </w:numPr>
      </w:pPr>
      <w:r>
        <w:t xml:space="preserve">Observable and Interruptible Interaction Standard;</w:t>
      </w:r>
    </w:p>
    <w:p>
      <w:pPr>
        <w:pStyle w:val="Compact"/>
        <w:numPr>
          <w:ilvl w:val="0"/>
          <w:numId w:val="1059"/>
        </w:numPr>
      </w:pPr>
      <w:r>
        <w:t xml:space="preserve">Pickup and Release Standard;</w:t>
      </w:r>
    </w:p>
    <w:p>
      <w:pPr>
        <w:pStyle w:val="Compact"/>
        <w:numPr>
          <w:ilvl w:val="0"/>
          <w:numId w:val="1059"/>
        </w:numPr>
      </w:pPr>
      <w:r>
        <w:t xml:space="preserve">Transportation and Off-Site Participation Standard;</w:t>
      </w:r>
    </w:p>
    <w:p>
      <w:pPr>
        <w:pStyle w:val="Compact"/>
        <w:numPr>
          <w:ilvl w:val="0"/>
          <w:numId w:val="1059"/>
        </w:numPr>
      </w:pPr>
      <w:r>
        <w:t xml:space="preserve">Minor Horse-Care Task Risk Matrix;</w:t>
      </w:r>
    </w:p>
    <w:p>
      <w:pPr>
        <w:pStyle w:val="Compact"/>
        <w:numPr>
          <w:ilvl w:val="0"/>
          <w:numId w:val="1059"/>
        </w:numPr>
      </w:pPr>
      <w:r>
        <w:t xml:space="preserve">Safeguarding Classification and Handling Matrix;</w:t>
      </w:r>
    </w:p>
    <w:p>
      <w:pPr>
        <w:pStyle w:val="Compact"/>
        <w:numPr>
          <w:ilvl w:val="0"/>
          <w:numId w:val="1059"/>
        </w:numPr>
      </w:pPr>
      <w:r>
        <w:t xml:space="preserve">Safeguarding State and Transition Matrix;</w:t>
      </w:r>
    </w:p>
    <w:p>
      <w:pPr>
        <w:pStyle w:val="Compact"/>
        <w:numPr>
          <w:ilvl w:val="0"/>
          <w:numId w:val="1059"/>
        </w:numPr>
      </w:pPr>
      <w:r>
        <w:t xml:space="preserve">Safeguarding Access and Field Projection Matrix;</w:t>
      </w:r>
    </w:p>
    <w:p>
      <w:pPr>
        <w:pStyle w:val="Compact"/>
        <w:numPr>
          <w:ilvl w:val="0"/>
          <w:numId w:val="1059"/>
        </w:numPr>
      </w:pPr>
      <w:r>
        <w:t xml:space="preserve">Safeguarding Evidence and Chain-of-Custody Standard;</w:t>
      </w:r>
    </w:p>
    <w:p>
      <w:pPr>
        <w:pStyle w:val="Compact"/>
        <w:numPr>
          <w:ilvl w:val="0"/>
          <w:numId w:val="1059"/>
        </w:numPr>
      </w:pPr>
      <w:r>
        <w:t xml:space="preserve">Safeguarding Retention, Hold, and Disposition Matrix;</w:t>
      </w:r>
    </w:p>
    <w:p>
      <w:pPr>
        <w:pStyle w:val="Compact"/>
        <w:numPr>
          <w:ilvl w:val="0"/>
          <w:numId w:val="1059"/>
        </w:numPr>
      </w:pPr>
      <w:r>
        <w:t xml:space="preserve">Guardian Notice Exception Procedure;</w:t>
      </w:r>
    </w:p>
    <w:p>
      <w:pPr>
        <w:pStyle w:val="Compact"/>
        <w:numPr>
          <w:ilvl w:val="0"/>
          <w:numId w:val="1059"/>
        </w:numPr>
      </w:pPr>
      <w:r>
        <w:t xml:space="preserve">Reporter and Witness Confidentiality Standard;</w:t>
      </w:r>
    </w:p>
    <w:p>
      <w:pPr>
        <w:pStyle w:val="Compact"/>
        <w:numPr>
          <w:ilvl w:val="0"/>
          <w:numId w:val="1059"/>
        </w:numPr>
      </w:pPr>
      <w:r>
        <w:t xml:space="preserve">Non-Retaliation Detection and Response Procedure;</w:t>
      </w:r>
    </w:p>
    <w:p>
      <w:pPr>
        <w:pStyle w:val="Compact"/>
        <w:numPr>
          <w:ilvl w:val="0"/>
          <w:numId w:val="1059"/>
        </w:numPr>
      </w:pPr>
      <w:r>
        <w:t xml:space="preserve">Media, Search, and Public Exposure Matrix;</w:t>
      </w:r>
    </w:p>
    <w:p>
      <w:pPr>
        <w:pStyle w:val="Compact"/>
        <w:numPr>
          <w:ilvl w:val="0"/>
          <w:numId w:val="1059"/>
        </w:numPr>
      </w:pPr>
      <w:r>
        <w:t xml:space="preserve">AI and Automation Safeguarding Control Matrix;</w:t>
      </w:r>
    </w:p>
    <w:p>
      <w:pPr>
        <w:pStyle w:val="Compact"/>
        <w:numPr>
          <w:ilvl w:val="0"/>
          <w:numId w:val="1059"/>
        </w:numPr>
      </w:pPr>
      <w:r>
        <w:t xml:space="preserve">Vendor and Processor Eligibility Standard;</w:t>
      </w:r>
    </w:p>
    <w:p>
      <w:pPr>
        <w:pStyle w:val="Compact"/>
        <w:numPr>
          <w:ilvl w:val="0"/>
          <w:numId w:val="1059"/>
        </w:numPr>
      </w:pPr>
      <w:r>
        <w:t xml:space="preserve">Offline Protected Data Eligibility Standard;</w:t>
      </w:r>
    </w:p>
    <w:p>
      <w:pPr>
        <w:pStyle w:val="Compact"/>
        <w:numPr>
          <w:ilvl w:val="0"/>
          <w:numId w:val="1059"/>
        </w:numPr>
      </w:pPr>
      <w:r>
        <w:t xml:space="preserve">Transition-to-Adulthood Procedure;</w:t>
      </w:r>
    </w:p>
    <w:p>
      <w:pPr>
        <w:pStyle w:val="Compact"/>
        <w:numPr>
          <w:ilvl w:val="0"/>
          <w:numId w:val="1059"/>
        </w:numPr>
      </w:pPr>
      <w:r>
        <w:t xml:space="preserve">Challenge, Appeal, and Correction Procedure;</w:t>
      </w:r>
    </w:p>
    <w:p>
      <w:pPr>
        <w:pStyle w:val="Compact"/>
        <w:numPr>
          <w:ilvl w:val="0"/>
          <w:numId w:val="1059"/>
        </w:numPr>
      </w:pPr>
      <w:r>
        <w:t xml:space="preserve">Safeguarding Metrics and Monitoring Standard;</w:t>
      </w:r>
    </w:p>
    <w:p>
      <w:pPr>
        <w:pStyle w:val="Compact"/>
        <w:numPr>
          <w:ilvl w:val="0"/>
          <w:numId w:val="1059"/>
        </w:numPr>
      </w:pPr>
      <w:r>
        <w:t xml:space="preserve">Incident and Emergency Escalation Runbook;</w:t>
      </w:r>
    </w:p>
    <w:p>
      <w:pPr>
        <w:pStyle w:val="Compact"/>
        <w:numPr>
          <w:ilvl w:val="0"/>
          <w:numId w:val="1059"/>
        </w:numPr>
      </w:pPr>
      <w:r>
        <w:t xml:space="preserve">Customer Safeguarding Operations Guide;</w:t>
      </w:r>
    </w:p>
    <w:p>
      <w:pPr>
        <w:pStyle w:val="Compact"/>
        <w:numPr>
          <w:ilvl w:val="0"/>
          <w:numId w:val="1059"/>
        </w:numPr>
      </w:pPr>
      <w:r>
        <w:t xml:space="preserve">Public Claims and Compliance Evidence Standard;</w:t>
      </w:r>
    </w:p>
    <w:p>
      <w:pPr>
        <w:pStyle w:val="Compact"/>
        <w:numPr>
          <w:ilvl w:val="0"/>
          <w:numId w:val="1059"/>
        </w:numPr>
      </w:pPr>
      <w:r>
        <w:t xml:space="preserve">External Reporting and Mandated-Reporter Support Standard;</w:t>
      </w:r>
    </w:p>
    <w:p>
      <w:pPr>
        <w:pStyle w:val="Compact"/>
        <w:numPr>
          <w:ilvl w:val="0"/>
          <w:numId w:val="1059"/>
        </w:numPr>
      </w:pPr>
      <w:r>
        <w:t xml:space="preserve">Case Assignment, Conflict, and Recusal Standard;</w:t>
      </w:r>
    </w:p>
    <w:p>
      <w:pPr>
        <w:pStyle w:val="Compact"/>
        <w:numPr>
          <w:ilvl w:val="0"/>
          <w:numId w:val="1059"/>
        </w:numPr>
      </w:pPr>
      <w:r>
        <w:t xml:space="preserve">Responding-Person Notice and Procedural Fairness Standard;</w:t>
      </w:r>
    </w:p>
    <w:p>
      <w:pPr>
        <w:pStyle w:val="Compact"/>
        <w:numPr>
          <w:ilvl w:val="0"/>
          <w:numId w:val="1059"/>
        </w:numPr>
      </w:pPr>
      <w:r>
        <w:t xml:space="preserve">Good-Faith and Knowingly False Report Classification Standard;</w:t>
      </w:r>
    </w:p>
    <w:p>
      <w:pPr>
        <w:pStyle w:val="Compact"/>
        <w:numPr>
          <w:ilvl w:val="0"/>
          <w:numId w:val="1059"/>
        </w:numPr>
      </w:pPr>
      <w:r>
        <w:t xml:space="preserve">Private Spaces, Lodging, and Overnight Participation Standard;</w:t>
      </w:r>
    </w:p>
    <w:p>
      <w:pPr>
        <w:pStyle w:val="Compact"/>
        <w:numPr>
          <w:ilvl w:val="0"/>
          <w:numId w:val="1059"/>
        </w:numPr>
      </w:pPr>
      <w:r>
        <w:t xml:space="preserve">Physical Contact, Gifts, Favors, and Boundary Standard;</w:t>
      </w:r>
    </w:p>
    <w:p>
      <w:pPr>
        <w:pStyle w:val="Compact"/>
        <w:numPr>
          <w:ilvl w:val="0"/>
          <w:numId w:val="1059"/>
        </w:numPr>
      </w:pPr>
      <w:r>
        <w:t xml:space="preserve">Safeguarding Data Subject Request and Disclosure Standard;</w:t>
      </w:r>
    </w:p>
    <w:p>
      <w:pPr>
        <w:pStyle w:val="Compact"/>
        <w:numPr>
          <w:ilvl w:val="0"/>
          <w:numId w:val="1059"/>
        </w:numPr>
      </w:pPr>
      <w:r>
        <w:t xml:space="preserve">Safeguarding Case Separation and Linked-Case Standard;</w:t>
      </w:r>
    </w:p>
    <w:p>
      <w:pPr>
        <w:pStyle w:val="Compact"/>
        <w:numPr>
          <w:ilvl w:val="0"/>
          <w:numId w:val="1059"/>
        </w:numPr>
      </w:pPr>
      <w:r>
        <w:t xml:space="preserve">Guardian Delivery Failure and No-Guardian Communication Standard;</w:t>
      </w:r>
    </w:p>
    <w:p>
      <w:pPr>
        <w:pStyle w:val="Compact"/>
        <w:numPr>
          <w:ilvl w:val="0"/>
          <w:numId w:val="1059"/>
        </w:numPr>
      </w:pPr>
      <w:r>
        <w:t xml:space="preserve">Safety Plan and Protective Measure Standard.</w:t>
      </w:r>
    </w:p>
    <w:bookmarkEnd w:id="170"/>
    <w:bookmarkStart w:id="171" w:name="technical-requirements-boundary"/>
    <w:p>
      <w:pPr>
        <w:pStyle w:val="Heading2"/>
      </w:pPr>
      <w:r>
        <w:t xml:space="preserve">99. Technical Requirements Boundary</w:t>
      </w:r>
    </w:p>
    <w:p>
      <w:pPr>
        <w:pStyle w:val="FirstParagraph"/>
      </w:pPr>
      <w:r>
        <w:t xml:space="preserve">Technical specifications may define schemas, APIs, reason codes, timeouts, workflows, and interfaces only after the constitutional rule is established. They may not weaken or silently reinterpret this Model.</w:t>
      </w:r>
    </w:p>
    <w:bookmarkEnd w:id="171"/>
    <w:bookmarkEnd w:id="172"/>
    <w:bookmarkStart w:id="185" w:name="part-xix---implementation-gates"/>
    <w:p>
      <w:pPr>
        <w:pStyle w:val="Heading1"/>
      </w:pPr>
      <w:r>
        <w:t xml:space="preserve">Part XIX - Implementation Gates</w:t>
      </w:r>
    </w:p>
    <w:bookmarkStart w:id="173" w:name="X2184d545c00757eb7949471623c4dea8d0327a7"/>
    <w:p>
      <w:pPr>
        <w:pStyle w:val="Heading2"/>
      </w:pPr>
      <w:r>
        <w:t xml:space="preserve">100. Gate SG-01 - Constitutional and Source Reconciliation</w:t>
      </w:r>
    </w:p>
    <w:p>
      <w:pPr>
        <w:pStyle w:val="FirstParagraph"/>
      </w:pPr>
      <w:r>
        <w:t xml:space="preserve">The controlling canon, founder decisions, ownership boundaries, vocabulary, companion references, external-standards posture, and dedicated equine-health boundary are verified and reconciled.</w:t>
      </w:r>
    </w:p>
    <w:bookmarkEnd w:id="173"/>
    <w:bookmarkStart w:id="174" w:name="X44eca219ef502ea89e3ef4a239ea1681b1594b0"/>
    <w:p>
      <w:pPr>
        <w:pStyle w:val="Heading2"/>
      </w:pPr>
      <w:r>
        <w:t xml:space="preserve">101. Gate SG-02 - Guardian and Protected-Participant Identity</w:t>
      </w:r>
    </w:p>
    <w:p>
      <w:pPr>
        <w:pStyle w:val="FirstParagraph"/>
      </w:pPr>
      <w:r>
        <w:t xml:space="preserve">Guardian authority, protected status, identity separation, jurisdiction, and age transitions are represented without semantic collapse.</w:t>
      </w:r>
    </w:p>
    <w:bookmarkEnd w:id="174"/>
    <w:bookmarkStart w:id="175" w:name="gate-sg-03---communication-enforcement"/>
    <w:p>
      <w:pPr>
        <w:pStyle w:val="Heading2"/>
      </w:pPr>
      <w:r>
        <w:t xml:space="preserve">102. Gate SG-03 - Communication Enforcement</w:t>
      </w:r>
    </w:p>
    <w:p>
      <w:pPr>
        <w:pStyle w:val="FirstParagraph"/>
      </w:pPr>
      <w:r>
        <w:t xml:space="preserve">All covered channels prevent one-to-one adult-minor ordinary electronic communication and preserve guardian participation and thread integrity.</w:t>
      </w:r>
    </w:p>
    <w:bookmarkEnd w:id="175"/>
    <w:bookmarkStart w:id="176" w:name="X6d5b4fa68e1deae824f8f60c147894bf48939d1"/>
    <w:p>
      <w:pPr>
        <w:pStyle w:val="Heading2"/>
      </w:pPr>
      <w:r>
        <w:t xml:space="preserve">103. Gate SG-04 - Protected Intake and Confidentiality</w:t>
      </w:r>
    </w:p>
    <w:p>
      <w:pPr>
        <w:pStyle w:val="FirstParagraph"/>
      </w:pPr>
      <w:r>
        <w:t xml:space="preserve">Safeguarding intake, guardian-notice exceptions, reporter protection, case separation, conflict and recusal, external-reporting support, restricted access, and evidence preservation operate correctly.</w:t>
      </w:r>
    </w:p>
    <w:bookmarkEnd w:id="176"/>
    <w:bookmarkStart w:id="177" w:name="Xe64ac8539ccadafe8c37551b73d989e9ef49cc8"/>
    <w:p>
      <w:pPr>
        <w:pStyle w:val="Heading2"/>
      </w:pPr>
      <w:r>
        <w:t xml:space="preserve">104. Gate SG-05 - Eligibility and Protective Restrictions</w:t>
      </w:r>
    </w:p>
    <w:p>
      <w:pPr>
        <w:pStyle w:val="FirstParagraph"/>
      </w:pPr>
      <w:r>
        <w:t xml:space="preserve">Adult eligibility, suspension, emergency restriction, safety plans, assignment blocking, private-space and lodging controls, pickup, transport, and access revocation are enforceable and auditable.</w:t>
      </w:r>
    </w:p>
    <w:bookmarkEnd w:id="177"/>
    <w:bookmarkStart w:id="178" w:name="gate-sg-06---privacy-media-and-search"/>
    <w:p>
      <w:pPr>
        <w:pStyle w:val="Heading2"/>
      </w:pPr>
      <w:r>
        <w:t xml:space="preserve">105. Gate SG-06 - Privacy, Media, and Search</w:t>
      </w:r>
    </w:p>
    <w:p>
      <w:pPr>
        <w:pStyle w:val="FirstParagraph"/>
      </w:pPr>
      <w:r>
        <w:t xml:space="preserve">Publicity, discoverability, media consent, protected refusal, geolocation, search, and public-profile controls are tested.</w:t>
      </w:r>
    </w:p>
    <w:bookmarkEnd w:id="178"/>
    <w:bookmarkStart w:id="179" w:name="Xa12ff0d560734077fa226721c0fd3fc00c5dccc"/>
    <w:p>
      <w:pPr>
        <w:pStyle w:val="Heading2"/>
      </w:pPr>
      <w:r>
        <w:t xml:space="preserve">106. Gate SG-07 - Records, Evidence, Holds, and Recovery</w:t>
      </w:r>
    </w:p>
    <w:p>
      <w:pPr>
        <w:pStyle w:val="FirstParagraph"/>
      </w:pPr>
      <w:r>
        <w:t xml:space="preserve">Safeguarding records, evidence, holds, retention, correction, deletion, backup, and restoration preserve history and current authority.</w:t>
      </w:r>
    </w:p>
    <w:bookmarkEnd w:id="179"/>
    <w:bookmarkStart w:id="180" w:name="X1cf0269c956698fb28f14bc4e5854bb3e06fa4a"/>
    <w:p>
      <w:pPr>
        <w:pStyle w:val="Heading2"/>
      </w:pPr>
      <w:r>
        <w:t xml:space="preserve">107. Gate SG-08 - AI, Analytics, Vendor, and Plugin Boundaries</w:t>
      </w:r>
    </w:p>
    <w:p>
      <w:pPr>
        <w:pStyle w:val="FirstParagraph"/>
      </w:pPr>
      <w:r>
        <w:t xml:space="preserve">AI and automation remain assistive, analytics protect identity, and external systems cannot bypass safeguarding controls.</w:t>
      </w:r>
    </w:p>
    <w:bookmarkEnd w:id="180"/>
    <w:bookmarkStart w:id="181" w:name="gate-sg-09---offline-and-device-safety"/>
    <w:p>
      <w:pPr>
        <w:pStyle w:val="Heading2"/>
      </w:pPr>
      <w:r>
        <w:t xml:space="preserve">108. Gate SG-09 - Offline and Device Safety</w:t>
      </w:r>
    </w:p>
    <w:p>
      <w:pPr>
        <w:pStyle w:val="FirstParagraph"/>
      </w:pPr>
      <w:r>
        <w:t xml:space="preserve">Offline access, revocation, device loss, tombstones, and reconciliation prevent continued unauthorized access.</w:t>
      </w:r>
    </w:p>
    <w:bookmarkEnd w:id="181"/>
    <w:bookmarkStart w:id="182" w:name="Xa322d6e6e5ce7dbdd7abe35c640c00773f3d757"/>
    <w:p>
      <w:pPr>
        <w:pStyle w:val="Heading2"/>
      </w:pPr>
      <w:r>
        <w:t xml:space="preserve">109. Gate SG-10 - Customer Operational Readiness</w:t>
      </w:r>
    </w:p>
    <w:p>
      <w:pPr>
        <w:pStyle w:val="FirstParagraph"/>
      </w:pPr>
      <w:r>
        <w:t xml:space="preserve">Customer roles, training, alternate reporting routes, recusal procedures, local and external escalation, emergency contacts, mandated-reporter support, and governance responsibilities are documented and tested.</w:t>
      </w:r>
    </w:p>
    <w:bookmarkEnd w:id="182"/>
    <w:bookmarkStart w:id="183" w:name="Xaac7ff08530c4d1e5a9a859a302d2976b78345a"/>
    <w:p>
      <w:pPr>
        <w:pStyle w:val="Heading2"/>
      </w:pPr>
      <w:r>
        <w:t xml:space="preserve">110. Gate SG-11 - Verification and Adversarial Testing</w:t>
      </w:r>
    </w:p>
    <w:p>
      <w:pPr>
        <w:pStyle w:val="FirstParagraph"/>
      </w:pPr>
      <w:r>
        <w:t xml:space="preserve">Mandatory test scenarios, abuse cases, race conditions, access tests, and failure modes pass with evidence.</w:t>
      </w:r>
    </w:p>
    <w:bookmarkEnd w:id="183"/>
    <w:bookmarkStart w:id="184" w:name="X93dec94863e86e85c9a7f36cfdec980f0fe5b38"/>
    <w:p>
      <w:pPr>
        <w:pStyle w:val="Heading2"/>
      </w:pPr>
      <w:r>
        <w:t xml:space="preserve">111. Gate SG-12 - Production and Claims Authorization</w:t>
      </w:r>
    </w:p>
    <w:p>
      <w:pPr>
        <w:pStyle w:val="FirstParagraph"/>
      </w:pPr>
      <w:r>
        <w:t xml:space="preserve">Separate founder or properly delegated authority approves production activation and any public compliance or safeguarding claim based on verified evidence.</w:t>
      </w:r>
    </w:p>
    <w:p>
      <w:pPr>
        <w:pStyle w:val="BodyText"/>
      </w:pPr>
      <w:r>
        <w:rPr>
          <w:b/>
          <w:bCs/>
        </w:rPr>
        <w:t xml:space="preserve">Current Gate Status:</w:t>
      </w:r>
      <w:r>
        <w:t xml:space="preserve"> </w:t>
      </w:r>
      <w:r>
        <w:t xml:space="preserve">0 of 12 gates closed. This reviewed draft creates no implementation or production authority.</w:t>
      </w:r>
    </w:p>
    <w:bookmarkEnd w:id="184"/>
    <w:bookmarkEnd w:id="185"/>
    <w:bookmarkStart w:id="187" w:name="X0d8a42e648dfedfbd71dce63457966126316ae5"/>
    <w:p>
      <w:pPr>
        <w:pStyle w:val="Heading1"/>
      </w:pPr>
      <w:r>
        <w:t xml:space="preserve">Part XX - Mandatory Constitutional Test Scenarios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Required Result</w:t>
            </w:r>
          </w:p>
        </w:tc>
      </w:tr>
      <w:tr>
        <w:tc>
          <w:tcPr/>
          <w:p>
            <w:pPr>
              <w:pStyle w:val="Compact"/>
              <w:jc w:val="left"/>
            </w:pPr>
            <w:r>
              <w:t xml:space="preserve">MSP-T01</w:t>
            </w:r>
          </w:p>
        </w:tc>
        <w:tc>
          <w:tcPr/>
          <w:p>
            <w:pPr>
              <w:pStyle w:val="Compact"/>
              <w:jc w:val="left"/>
            </w:pPr>
            <w:r>
              <w:t xml:space="preserve">Coach starts direct in-app message to a minor without guardian</w:t>
            </w:r>
          </w:p>
        </w:tc>
        <w:tc>
          <w:tcPr/>
          <w:p>
            <w:pPr>
              <w:pStyle w:val="Compact"/>
              <w:jc w:val="left"/>
            </w:pPr>
            <w:r>
              <w:t xml:space="preserve">Message creation blocked</w:t>
            </w:r>
          </w:p>
        </w:tc>
      </w:tr>
      <w:tr>
        <w:tc>
          <w:tcPr/>
          <w:p>
            <w:pPr>
              <w:pStyle w:val="Compact"/>
              <w:jc w:val="left"/>
            </w:pPr>
            <w:r>
              <w:t xml:space="preserve">MSP-T02</w:t>
            </w:r>
          </w:p>
        </w:tc>
        <w:tc>
          <w:tcPr/>
          <w:p>
            <w:pPr>
              <w:pStyle w:val="Compact"/>
              <w:jc w:val="left"/>
            </w:pPr>
            <w:r>
              <w:t xml:space="preserve">Minor attempts to reply privately to coach from a guardian-included thread</w:t>
            </w:r>
          </w:p>
        </w:tc>
        <w:tc>
          <w:tcPr/>
          <w:p>
            <w:pPr>
              <w:pStyle w:val="Compact"/>
              <w:jc w:val="left"/>
            </w:pPr>
            <w:r>
              <w:t xml:space="preserve">Reply remains in compliant thread or is blocked</w:t>
            </w:r>
          </w:p>
        </w:tc>
      </w:tr>
      <w:tr>
        <w:tc>
          <w:tcPr/>
          <w:p>
            <w:pPr>
              <w:pStyle w:val="Compact"/>
              <w:jc w:val="left"/>
            </w:pPr>
            <w:r>
              <w:t xml:space="preserve">MSP-T03</w:t>
            </w:r>
          </w:p>
        </w:tc>
        <w:tc>
          <w:tcPr/>
          <w:p>
            <w:pPr>
              <w:pStyle w:val="Compact"/>
              <w:jc w:val="left"/>
            </w:pPr>
            <w:r>
              <w:t xml:space="preserve">Coach removes guardian from an existing thread</w:t>
            </w:r>
          </w:p>
        </w:tc>
        <w:tc>
          <w:tcPr/>
          <w:p>
            <w:pPr>
              <w:pStyle w:val="Compact"/>
              <w:jc w:val="left"/>
            </w:pPr>
            <w:r>
              <w:t xml:space="preserve">Removal denied and attempt audited</w:t>
            </w:r>
          </w:p>
        </w:tc>
      </w:tr>
      <w:tr>
        <w:tc>
          <w:tcPr/>
          <w:p>
            <w:pPr>
              <w:pStyle w:val="Compact"/>
              <w:jc w:val="left"/>
            </w:pPr>
            <w:r>
              <w:t xml:space="preserve">MSP-T04</w:t>
            </w:r>
          </w:p>
        </w:tc>
        <w:tc>
          <w:tcPr/>
          <w:p>
            <w:pPr>
              <w:pStyle w:val="Compact"/>
              <w:jc w:val="left"/>
            </w:pPr>
            <w:r>
              <w:t xml:space="preserve">Adult creates group thread with two minors but only one guardian</w:t>
            </w:r>
          </w:p>
        </w:tc>
        <w:tc>
          <w:tcPr/>
          <w:p>
            <w:pPr>
              <w:pStyle w:val="Compact"/>
              <w:jc w:val="left"/>
            </w:pPr>
            <w:r>
              <w:t xml:space="preserve">Thread blocked until each minor has required guardian inclusion</w:t>
            </w:r>
          </w:p>
        </w:tc>
      </w:tr>
      <w:tr>
        <w:tc>
          <w:tcPr/>
          <w:p>
            <w:pPr>
              <w:pStyle w:val="Compact"/>
              <w:jc w:val="left"/>
            </w:pPr>
            <w:r>
              <w:t xml:space="preserve">MSP-T05</w:t>
            </w:r>
          </w:p>
        </w:tc>
        <w:tc>
          <w:tcPr/>
          <w:p>
            <w:pPr>
              <w:pStyle w:val="Compact"/>
              <w:jc w:val="left"/>
            </w:pPr>
            <w:r>
              <w:t xml:space="preserve">SMS provider cannot maintain guardian inclusion</w:t>
            </w:r>
          </w:p>
        </w:tc>
        <w:tc>
          <w:tcPr/>
          <w:p>
            <w:pPr>
              <w:pStyle w:val="Compact"/>
              <w:jc w:val="left"/>
            </w:pPr>
            <w:r>
              <w:t xml:space="preserve">Direct adult-minor SMS feature disabled</w:t>
            </w:r>
          </w:p>
        </w:tc>
      </w:tr>
      <w:tr>
        <w:tc>
          <w:tcPr/>
          <w:p>
            <w:pPr>
              <w:pStyle w:val="Compact"/>
              <w:jc w:val="left"/>
            </w:pPr>
            <w:r>
              <w:t xml:space="preserve">MSP-T06</w:t>
            </w:r>
          </w:p>
        </w:tc>
        <w:tc>
          <w:tcPr/>
          <w:p>
            <w:pPr>
              <w:pStyle w:val="Compact"/>
              <w:jc w:val="left"/>
            </w:pPr>
            <w:r>
              <w:t xml:space="preserve">System sends one-way schedule notice to minor</w:t>
            </w:r>
          </w:p>
        </w:tc>
        <w:tc>
          <w:tcPr/>
          <w:p>
            <w:pPr>
              <w:pStyle w:val="Compact"/>
              <w:jc w:val="left"/>
            </w:pPr>
            <w:r>
              <w:t xml:space="preserve">Guardian receives equivalent visibility; reply routes to compliant thread</w:t>
            </w:r>
          </w:p>
        </w:tc>
      </w:tr>
      <w:tr>
        <w:tc>
          <w:tcPr/>
          <w:p>
            <w:pPr>
              <w:pStyle w:val="Compact"/>
              <w:jc w:val="left"/>
            </w:pPr>
            <w:r>
              <w:t xml:space="preserve">MSP-T07</w:t>
            </w:r>
          </w:p>
        </w:tc>
        <w:tc>
          <w:tcPr/>
          <w:p>
            <w:pPr>
              <w:pStyle w:val="Compact"/>
              <w:jc w:val="left"/>
            </w:pPr>
            <w:r>
              <w:t xml:space="preserve">Coach asks minor to move conversation to disappearing app</w:t>
            </w:r>
          </w:p>
        </w:tc>
        <w:tc>
          <w:tcPr/>
          <w:p>
            <w:pPr>
              <w:pStyle w:val="Compact"/>
              <w:jc w:val="left"/>
            </w:pPr>
            <w:r>
              <w:t xml:space="preserve">Reportable event can be submitted and preserved</w:t>
            </w:r>
          </w:p>
        </w:tc>
      </w:tr>
      <w:tr>
        <w:tc>
          <w:tcPr/>
          <w:p>
            <w:pPr>
              <w:pStyle w:val="Compact"/>
              <w:jc w:val="left"/>
            </w:pPr>
            <w:r>
              <w:t xml:space="preserve">MSP-T08</w:t>
            </w:r>
          </w:p>
        </w:tc>
        <w:tc>
          <w:tcPr/>
          <w:p>
            <w:pPr>
              <w:pStyle w:val="Compact"/>
              <w:jc w:val="left"/>
            </w:pPr>
            <w:r>
              <w:t xml:space="preserve">Minor reports concern about coach through safeguarding intake</w:t>
            </w:r>
          </w:p>
        </w:tc>
        <w:tc>
          <w:tcPr/>
          <w:p>
            <w:pPr>
              <w:pStyle w:val="Compact"/>
              <w:jc w:val="left"/>
            </w:pPr>
            <w:r>
              <w:t xml:space="preserve">Report accepted without coach access or ordinary messaging conversion</w:t>
            </w:r>
          </w:p>
        </w:tc>
      </w:tr>
      <w:tr>
        <w:tc>
          <w:tcPr/>
          <w:p>
            <w:pPr>
              <w:pStyle w:val="Compact"/>
              <w:jc w:val="left"/>
            </w:pPr>
            <w:r>
              <w:t xml:space="preserve">MSP-T09</w:t>
            </w:r>
          </w:p>
        </w:tc>
        <w:tc>
          <w:tcPr/>
          <w:p>
            <w:pPr>
              <w:pStyle w:val="Compact"/>
              <w:jc w:val="left"/>
            </w:pPr>
            <w:r>
              <w:t xml:space="preserve">Minor reports concern about guardian</w:t>
            </w:r>
          </w:p>
        </w:tc>
        <w:tc>
          <w:tcPr/>
          <w:p>
            <w:pPr>
              <w:pStyle w:val="Compact"/>
              <w:jc w:val="left"/>
            </w:pPr>
            <w:r>
              <w:t xml:space="preserve">Guardian notice may be restricted pending safety review</w:t>
            </w:r>
          </w:p>
        </w:tc>
      </w:tr>
      <w:tr>
        <w:tc>
          <w:tcPr/>
          <w:p>
            <w:pPr>
              <w:pStyle w:val="Compact"/>
              <w:jc w:val="left"/>
            </w:pPr>
            <w:r>
              <w:t xml:space="preserve">MSP-T10</w:t>
            </w:r>
          </w:p>
        </w:tc>
        <w:tc>
          <w:tcPr/>
          <w:p>
            <w:pPr>
              <w:pStyle w:val="Compact"/>
              <w:jc w:val="left"/>
            </w:pPr>
            <w:r>
              <w:t xml:space="preserve">Anonymous reporter submits urgent concern</w:t>
            </w:r>
          </w:p>
        </w:tc>
        <w:tc>
          <w:tcPr/>
          <w:p>
            <w:pPr>
              <w:pStyle w:val="Compact"/>
              <w:jc w:val="left"/>
            </w:pPr>
            <w:r>
              <w:t xml:space="preserve">Intake accepted; limits of anonymity disclosed appropriately</w:t>
            </w:r>
          </w:p>
        </w:tc>
      </w:tr>
      <w:tr>
        <w:tc>
          <w:tcPr/>
          <w:p>
            <w:pPr>
              <w:pStyle w:val="Compact"/>
              <w:jc w:val="left"/>
            </w:pPr>
            <w:r>
              <w:t xml:space="preserve">MSP-T11</w:t>
            </w:r>
          </w:p>
        </w:tc>
        <w:tc>
          <w:tcPr/>
          <w:p>
            <w:pPr>
              <w:pStyle w:val="Compact"/>
              <w:jc w:val="left"/>
            </w:pPr>
            <w:r>
              <w:t xml:space="preserve">Reporter withdraws participation</w:t>
            </w:r>
          </w:p>
        </w:tc>
        <w:tc>
          <w:tcPr/>
          <w:p>
            <w:pPr>
              <w:pStyle w:val="Compact"/>
              <w:jc w:val="left"/>
            </w:pPr>
            <w:r>
              <w:t xml:space="preserve">Report and required evidence remain preserved</w:t>
            </w:r>
          </w:p>
        </w:tc>
      </w:tr>
      <w:tr>
        <w:tc>
          <w:tcPr/>
          <w:p>
            <w:pPr>
              <w:pStyle w:val="Compact"/>
              <w:jc w:val="left"/>
            </w:pPr>
            <w:r>
              <w:t xml:space="preserve">MSP-T12</w:t>
            </w:r>
          </w:p>
        </w:tc>
        <w:tc>
          <w:tcPr/>
          <w:p>
            <w:pPr>
              <w:pStyle w:val="Compact"/>
              <w:jc w:val="left"/>
            </w:pPr>
            <w:r>
              <w:t xml:space="preserve">Guardian requests deletion of active safeguarding report</w:t>
            </w:r>
          </w:p>
        </w:tc>
        <w:tc>
          <w:tcPr/>
          <w:p>
            <w:pPr>
              <w:pStyle w:val="Compact"/>
              <w:jc w:val="left"/>
            </w:pPr>
            <w:r>
              <w:t xml:space="preserve">Deletion blocked pending retention and safety analysis</w:t>
            </w:r>
          </w:p>
        </w:tc>
      </w:tr>
      <w:tr>
        <w:tc>
          <w:tcPr/>
          <w:p>
            <w:pPr>
              <w:pStyle w:val="Compact"/>
              <w:jc w:val="left"/>
            </w:pPr>
            <w:r>
              <w:t xml:space="preserve">MSP-T13</w:t>
            </w:r>
          </w:p>
        </w:tc>
        <w:tc>
          <w:tcPr/>
          <w:p>
            <w:pPr>
              <w:pStyle w:val="Compact"/>
              <w:jc w:val="left"/>
            </w:pPr>
            <w:r>
              <w:t xml:space="preserve">Tenant administrator searches for safeguarding cases</w:t>
            </w:r>
          </w:p>
        </w:tc>
        <w:tc>
          <w:tcPr/>
          <w:p>
            <w:pPr>
              <w:pStyle w:val="Compact"/>
              <w:jc w:val="left"/>
            </w:pPr>
            <w:r>
              <w:t xml:space="preserve">Access limited to designated role and purpose</w:t>
            </w:r>
          </w:p>
        </w:tc>
      </w:tr>
      <w:tr>
        <w:tc>
          <w:tcPr/>
          <w:p>
            <w:pPr>
              <w:pStyle w:val="Compact"/>
              <w:jc w:val="left"/>
            </w:pPr>
            <w:r>
              <w:t xml:space="preserve">MSP-T14</w:t>
            </w:r>
          </w:p>
        </w:tc>
        <w:tc>
          <w:tcPr/>
          <w:p>
            <w:pPr>
              <w:pStyle w:val="Compact"/>
              <w:jc w:val="left"/>
            </w:pPr>
            <w:r>
              <w:t xml:space="preserve">Support engineer opens protected case without approved reason</w:t>
            </w:r>
          </w:p>
        </w:tc>
        <w:tc>
          <w:tcPr/>
          <w:p>
            <w:pPr>
              <w:pStyle w:val="Compact"/>
              <w:jc w:val="left"/>
            </w:pPr>
            <w:r>
              <w:t xml:space="preserve">Access denied or escalated; attempt audited</w:t>
            </w:r>
          </w:p>
        </w:tc>
      </w:tr>
      <w:tr>
        <w:tc>
          <w:tcPr/>
          <w:p>
            <w:pPr>
              <w:pStyle w:val="Compact"/>
              <w:jc w:val="left"/>
            </w:pPr>
            <w:r>
              <w:t xml:space="preserve">MSP-T15</w:t>
            </w:r>
          </w:p>
        </w:tc>
        <w:tc>
          <w:tcPr/>
          <w:p>
            <w:pPr>
              <w:pStyle w:val="Compact"/>
              <w:jc w:val="left"/>
            </w:pPr>
            <w:r>
              <w:t xml:space="preserve">Payer claims guardian authority</w:t>
            </w:r>
          </w:p>
        </w:tc>
        <w:tc>
          <w:tcPr/>
          <w:p>
            <w:pPr>
              <w:pStyle w:val="Compact"/>
              <w:jc w:val="left"/>
            </w:pPr>
            <w:r>
              <w:t xml:space="preserve">Authority denied without guardian evidence</w:t>
            </w:r>
          </w:p>
        </w:tc>
      </w:tr>
      <w:tr>
        <w:tc>
          <w:tcPr/>
          <w:p>
            <w:pPr>
              <w:pStyle w:val="Compact"/>
              <w:jc w:val="left"/>
            </w:pPr>
            <w:r>
              <w:t xml:space="preserve">MSP-T16</w:t>
            </w:r>
          </w:p>
        </w:tc>
        <w:tc>
          <w:tcPr/>
          <w:p>
            <w:pPr>
              <w:pStyle w:val="Compact"/>
              <w:jc w:val="left"/>
            </w:pPr>
            <w:r>
              <w:t xml:space="preserve">Two guardians provide conflicting pickup instructions</w:t>
            </w:r>
          </w:p>
        </w:tc>
        <w:tc>
          <w:tcPr/>
          <w:p>
            <w:pPr>
              <w:pStyle w:val="Compact"/>
              <w:jc w:val="left"/>
            </w:pPr>
            <w:r>
              <w:t xml:space="preserve">Release restricted pending controlled review</w:t>
            </w:r>
          </w:p>
        </w:tc>
      </w:tr>
      <w:tr>
        <w:tc>
          <w:tcPr/>
          <w:p>
            <w:pPr>
              <w:pStyle w:val="Compact"/>
              <w:jc w:val="left"/>
            </w:pPr>
            <w:r>
              <w:t xml:space="preserve">MSP-T17</w:t>
            </w:r>
          </w:p>
        </w:tc>
        <w:tc>
          <w:tcPr/>
          <w:p>
            <w:pPr>
              <w:pStyle w:val="Compact"/>
              <w:jc w:val="left"/>
            </w:pPr>
            <w:r>
              <w:t xml:space="preserve">Court restriction excludes one guardian from notice</w:t>
            </w:r>
          </w:p>
        </w:tc>
        <w:tc>
          <w:tcPr/>
          <w:p>
            <w:pPr>
              <w:pStyle w:val="Compact"/>
              <w:jc w:val="left"/>
            </w:pPr>
            <w:r>
              <w:t xml:space="preserve">Restricted guardian does not receive prohibited notice</w:t>
            </w:r>
          </w:p>
        </w:tc>
      </w:tr>
      <w:tr>
        <w:tc>
          <w:tcPr/>
          <w:p>
            <w:pPr>
              <w:pStyle w:val="Compact"/>
              <w:jc w:val="left"/>
            </w:pPr>
            <w:r>
              <w:t xml:space="preserve">MSP-T18</w:t>
            </w:r>
          </w:p>
        </w:tc>
        <w:tc>
          <w:tcPr/>
          <w:p>
            <w:pPr>
              <w:pStyle w:val="Compact"/>
              <w:jc w:val="left"/>
            </w:pPr>
            <w:r>
              <w:t xml:space="preserve">Guardian is subject of concern</w:t>
            </w:r>
          </w:p>
        </w:tc>
        <w:tc>
          <w:tcPr/>
          <w:p>
            <w:pPr>
              <w:pStyle w:val="Compact"/>
              <w:jc w:val="left"/>
            </w:pPr>
            <w:r>
              <w:t xml:space="preserve">Matter-specific access and notice restriction supported</w:t>
            </w:r>
          </w:p>
        </w:tc>
      </w:tr>
      <w:tr>
        <w:tc>
          <w:tcPr/>
          <w:p>
            <w:pPr>
              <w:pStyle w:val="Compact"/>
              <w:jc w:val="left"/>
            </w:pPr>
            <w:r>
              <w:t xml:space="preserve">MSP-T19</w:t>
            </w:r>
          </w:p>
        </w:tc>
        <w:tc>
          <w:tcPr/>
          <w:p>
            <w:pPr>
              <w:pStyle w:val="Compact"/>
              <w:jc w:val="left"/>
            </w:pPr>
            <w:r>
              <w:t xml:space="preserve">Minor refuses promotional photo despite guardian approval</w:t>
            </w:r>
          </w:p>
        </w:tc>
        <w:tc>
          <w:tcPr/>
          <w:p>
            <w:pPr>
              <w:pStyle w:val="Compact"/>
              <w:jc w:val="left"/>
            </w:pPr>
            <w:r>
              <w:t xml:space="preserve">Optional public use denied</w:t>
            </w:r>
          </w:p>
        </w:tc>
      </w:tr>
      <w:tr>
        <w:tc>
          <w:tcPr/>
          <w:p>
            <w:pPr>
              <w:pStyle w:val="Compact"/>
              <w:jc w:val="left"/>
            </w:pPr>
            <w:r>
              <w:t xml:space="preserve">MSP-T20</w:t>
            </w:r>
          </w:p>
        </w:tc>
        <w:tc>
          <w:tcPr/>
          <w:p>
            <w:pPr>
              <w:pStyle w:val="Compact"/>
              <w:jc w:val="left"/>
            </w:pPr>
            <w:r>
              <w:t xml:space="preserve">Public photo contains minor and precise barn coordinates</w:t>
            </w:r>
          </w:p>
        </w:tc>
        <w:tc>
          <w:tcPr/>
          <w:p>
            <w:pPr>
              <w:pStyle w:val="Compact"/>
              <w:jc w:val="left"/>
            </w:pPr>
            <w:r>
              <w:t xml:space="preserve">Publication blocked or metadata and consent controls completed</w:t>
            </w:r>
          </w:p>
        </w:tc>
      </w:tr>
      <w:tr>
        <w:tc>
          <w:tcPr/>
          <w:p>
            <w:pPr>
              <w:pStyle w:val="Compact"/>
              <w:jc w:val="left"/>
            </w:pPr>
            <w:r>
              <w:t xml:space="preserve">MSP-T21</w:t>
            </w:r>
          </w:p>
        </w:tc>
        <w:tc>
          <w:tcPr/>
          <w:p>
            <w:pPr>
              <w:pStyle w:val="Compact"/>
              <w:jc w:val="left"/>
            </w:pPr>
            <w:r>
              <w:t xml:space="preserve">Public media consent is withdrawn</w:t>
            </w:r>
          </w:p>
        </w:tc>
        <w:tc>
          <w:tcPr/>
          <w:p>
            <w:pPr>
              <w:pStyle w:val="Compact"/>
              <w:jc w:val="left"/>
            </w:pPr>
            <w:r>
              <w:t xml:space="preserve">Public copies, links, thumbnails, and controlled derivatives enter withdrawal workflow</w:t>
            </w:r>
          </w:p>
        </w:tc>
      </w:tr>
      <w:tr>
        <w:tc>
          <w:tcPr/>
          <w:p>
            <w:pPr>
              <w:pStyle w:val="Compact"/>
              <w:jc w:val="left"/>
            </w:pPr>
            <w:r>
              <w:t xml:space="preserve">MSP-T22</w:t>
            </w:r>
          </w:p>
        </w:tc>
        <w:tc>
          <w:tcPr/>
          <w:p>
            <w:pPr>
              <w:pStyle w:val="Compact"/>
              <w:jc w:val="left"/>
            </w:pPr>
            <w:r>
              <w:t xml:space="preserve">Search user queries minor’s name across tenants</w:t>
            </w:r>
          </w:p>
        </w:tc>
        <w:tc>
          <w:tcPr/>
          <w:p>
            <w:pPr>
              <w:pStyle w:val="Compact"/>
              <w:jc w:val="left"/>
            </w:pPr>
            <w:r>
              <w:t xml:space="preserve">Cross-tenant result prohibited</w:t>
            </w:r>
          </w:p>
        </w:tc>
      </w:tr>
      <w:tr>
        <w:tc>
          <w:tcPr/>
          <w:p>
            <w:pPr>
              <w:pStyle w:val="Compact"/>
              <w:jc w:val="left"/>
            </w:pPr>
            <w:r>
              <w:t xml:space="preserve">MSP-T23</w:t>
            </w:r>
          </w:p>
        </w:tc>
        <w:tc>
          <w:tcPr/>
          <w:p>
            <w:pPr>
              <w:pStyle w:val="Compact"/>
              <w:jc w:val="left"/>
            </w:pPr>
            <w:r>
              <w:t xml:space="preserve">Delegated horse-care task is assigned to minor</w:t>
            </w:r>
          </w:p>
        </w:tc>
        <w:tc>
          <w:tcPr/>
          <w:p>
            <w:pPr>
              <w:pStyle w:val="Compact"/>
              <w:jc w:val="left"/>
            </w:pPr>
            <w:r>
              <w:t xml:space="preserve">Only minimum task and horse information exposed</w:t>
            </w:r>
          </w:p>
        </w:tc>
      </w:tr>
      <w:tr>
        <w:tc>
          <w:tcPr/>
          <w:p>
            <w:pPr>
              <w:pStyle w:val="Compact"/>
              <w:jc w:val="left"/>
            </w:pPr>
            <w:r>
              <w:t xml:space="preserve">MSP-T24</w:t>
            </w:r>
          </w:p>
        </w:tc>
        <w:tc>
          <w:tcPr/>
          <w:p>
            <w:pPr>
              <w:pStyle w:val="Compact"/>
              <w:jc w:val="left"/>
            </w:pPr>
            <w:r>
              <w:t xml:space="preserve">Minor is assigned medication decision</w:t>
            </w:r>
          </w:p>
        </w:tc>
        <w:tc>
          <w:tcPr/>
          <w:p>
            <w:pPr>
              <w:pStyle w:val="Compact"/>
              <w:jc w:val="left"/>
            </w:pPr>
            <w:r>
              <w:t xml:space="preserve">Assignment prohibited</w:t>
            </w:r>
          </w:p>
        </w:tc>
      </w:tr>
      <w:tr>
        <w:tc>
          <w:tcPr/>
          <w:p>
            <w:pPr>
              <w:pStyle w:val="Compact"/>
              <w:jc w:val="left"/>
            </w:pPr>
            <w:r>
              <w:t xml:space="preserve">MSP-T25</w:t>
            </w:r>
          </w:p>
        </w:tc>
        <w:tc>
          <w:tcPr/>
          <w:p>
            <w:pPr>
              <w:pStyle w:val="Compact"/>
              <w:jc w:val="left"/>
            </w:pPr>
            <w:r>
              <w:t xml:space="preserve">Minor is assigned age-inappropriate high-risk task</w:t>
            </w:r>
          </w:p>
        </w:tc>
        <w:tc>
          <w:tcPr/>
          <w:p>
            <w:pPr>
              <w:pStyle w:val="Compact"/>
              <w:jc w:val="left"/>
            </w:pPr>
            <w:r>
              <w:t xml:space="preserve">Assignment blocked or requires validated supervision and eligibility</w:t>
            </w:r>
          </w:p>
        </w:tc>
      </w:tr>
      <w:tr>
        <w:tc>
          <w:tcPr/>
          <w:p>
            <w:pPr>
              <w:pStyle w:val="Compact"/>
              <w:jc w:val="left"/>
            </w:pPr>
            <w:r>
              <w:t xml:space="preserve">MSP-T26</w:t>
            </w:r>
          </w:p>
        </w:tc>
        <w:tc>
          <w:tcPr/>
          <w:p>
            <w:pPr>
              <w:pStyle w:val="Compact"/>
              <w:jc w:val="left"/>
            </w:pPr>
            <w:r>
              <w:t xml:space="preserve">Adult’s eligibility expires before lesson</w:t>
            </w:r>
          </w:p>
        </w:tc>
        <w:tc>
          <w:tcPr/>
          <w:p>
            <w:pPr>
              <w:pStyle w:val="Compact"/>
              <w:jc w:val="left"/>
            </w:pPr>
            <w:r>
              <w:t xml:space="preserve">Protected-participant assignment blocked</w:t>
            </w:r>
          </w:p>
        </w:tc>
      </w:tr>
      <w:tr>
        <w:tc>
          <w:tcPr/>
          <w:p>
            <w:pPr>
              <w:pStyle w:val="Compact"/>
              <w:jc w:val="left"/>
            </w:pPr>
            <w:r>
              <w:t xml:space="preserve">MSP-T27</w:t>
            </w:r>
          </w:p>
        </w:tc>
        <w:tc>
          <w:tcPr/>
          <w:p>
            <w:pPr>
              <w:pStyle w:val="Compact"/>
              <w:jc w:val="left"/>
            </w:pPr>
            <w:r>
              <w:t xml:space="preserve">Adult is suspended in one tenant</w:t>
            </w:r>
          </w:p>
        </w:tc>
        <w:tc>
          <w:tcPr/>
          <w:p>
            <w:pPr>
              <w:pStyle w:val="Compact"/>
              <w:jc w:val="left"/>
            </w:pPr>
            <w:r>
              <w:t xml:space="preserve">No unverified global blacklist is created automatically</w:t>
            </w:r>
          </w:p>
        </w:tc>
      </w:tr>
      <w:tr>
        <w:tc>
          <w:tcPr/>
          <w:p>
            <w:pPr>
              <w:pStyle w:val="Compact"/>
              <w:jc w:val="left"/>
            </w:pPr>
            <w:r>
              <w:t xml:space="preserve">MSP-T28</w:t>
            </w:r>
          </w:p>
        </w:tc>
        <w:tc>
          <w:tcPr/>
          <w:p>
            <w:pPr>
              <w:pStyle w:val="Compact"/>
              <w:jc w:val="left"/>
            </w:pPr>
            <w:r>
              <w:t xml:space="preserve">Restricted adult attempts to message minor through plugin</w:t>
            </w:r>
          </w:p>
        </w:tc>
        <w:tc>
          <w:tcPr/>
          <w:p>
            <w:pPr>
              <w:pStyle w:val="Compact"/>
              <w:jc w:val="left"/>
            </w:pPr>
            <w:r>
              <w:t xml:space="preserve">Plugin action denied</w:t>
            </w:r>
          </w:p>
        </w:tc>
      </w:tr>
      <w:tr>
        <w:tc>
          <w:tcPr/>
          <w:p>
            <w:pPr>
              <w:pStyle w:val="Compact"/>
              <w:jc w:val="left"/>
            </w:pPr>
            <w:r>
              <w:t xml:space="preserve">MSP-T29</w:t>
            </w:r>
          </w:p>
        </w:tc>
        <w:tc>
          <w:tcPr/>
          <w:p>
            <w:pPr>
              <w:pStyle w:val="Compact"/>
              <w:jc w:val="left"/>
            </w:pPr>
            <w:r>
              <w:t xml:space="preserve">Trainer uses shared account with guardian</w:t>
            </w:r>
          </w:p>
        </w:tc>
        <w:tc>
          <w:tcPr/>
          <w:p>
            <w:pPr>
              <w:pStyle w:val="Compact"/>
              <w:jc w:val="left"/>
            </w:pPr>
            <w:r>
              <w:t xml:space="preserve">Identity separation failure blocks protected workflow</w:t>
            </w:r>
          </w:p>
        </w:tc>
      </w:tr>
      <w:tr>
        <w:tc>
          <w:tcPr/>
          <w:p>
            <w:pPr>
              <w:pStyle w:val="Compact"/>
              <w:jc w:val="left"/>
            </w:pPr>
            <w:r>
              <w:t xml:space="preserve">MSP-T30</w:t>
            </w:r>
          </w:p>
        </w:tc>
        <w:tc>
          <w:tcPr/>
          <w:p>
            <w:pPr>
              <w:pStyle w:val="Compact"/>
              <w:jc w:val="left"/>
            </w:pPr>
            <w:r>
              <w:t xml:space="preserve">AI flags grooming language</w:t>
            </w:r>
          </w:p>
        </w:tc>
        <w:tc>
          <w:tcPr/>
          <w:p>
            <w:pPr>
              <w:pStyle w:val="Compact"/>
              <w:jc w:val="left"/>
            </w:pPr>
            <w:r>
              <w:t xml:space="preserve">Human review initiated; AI does not determine guilt</w:t>
            </w:r>
          </w:p>
        </w:tc>
      </w:tr>
      <w:tr>
        <w:tc>
          <w:tcPr/>
          <w:p>
            <w:pPr>
              <w:pStyle w:val="Compact"/>
              <w:jc w:val="left"/>
            </w:pPr>
            <w:r>
              <w:t xml:space="preserve">MSP-T31</w:t>
            </w:r>
          </w:p>
        </w:tc>
        <w:tc>
          <w:tcPr/>
          <w:p>
            <w:pPr>
              <w:pStyle w:val="Compact"/>
              <w:jc w:val="left"/>
            </w:pPr>
            <w:r>
              <w:t xml:space="preserve">AI recommends closing report as low risk</w:t>
            </w:r>
          </w:p>
        </w:tc>
        <w:tc>
          <w:tcPr/>
          <w:p>
            <w:pPr>
              <w:pStyle w:val="Compact"/>
              <w:jc w:val="left"/>
            </w:pPr>
            <w:r>
              <w:t xml:space="preserve">Recommendation cannot close case without authorized human decision</w:t>
            </w:r>
          </w:p>
        </w:tc>
      </w:tr>
      <w:tr>
        <w:tc>
          <w:tcPr/>
          <w:p>
            <w:pPr>
              <w:pStyle w:val="Compact"/>
              <w:jc w:val="left"/>
            </w:pPr>
            <w:r>
              <w:t xml:space="preserve">MSP-T32</w:t>
            </w:r>
          </w:p>
        </w:tc>
        <w:tc>
          <w:tcPr/>
          <w:p>
            <w:pPr>
              <w:pStyle w:val="Compact"/>
              <w:jc w:val="left"/>
            </w:pPr>
            <w:r>
              <w:t xml:space="preserve">AI provider contract permits training</w:t>
            </w:r>
          </w:p>
        </w:tc>
        <w:tc>
          <w:tcPr/>
          <w:p>
            <w:pPr>
              <w:pStyle w:val="Compact"/>
              <w:jc w:val="left"/>
            </w:pPr>
            <w:r>
              <w:t xml:space="preserve">Protected safeguarding use case prohibited</w:t>
            </w:r>
          </w:p>
        </w:tc>
      </w:tr>
      <w:tr>
        <w:tc>
          <w:tcPr/>
          <w:p>
            <w:pPr>
              <w:pStyle w:val="Compact"/>
              <w:jc w:val="left"/>
            </w:pPr>
            <w:r>
              <w:t xml:space="preserve">MSP-T33</w:t>
            </w:r>
          </w:p>
        </w:tc>
        <w:tc>
          <w:tcPr/>
          <w:p>
            <w:pPr>
              <w:pStyle w:val="Compact"/>
              <w:jc w:val="left"/>
            </w:pPr>
            <w:r>
              <w:t xml:space="preserve">Analytics dashboard shows cell of one minor</w:t>
            </w:r>
          </w:p>
        </w:tc>
        <w:tc>
          <w:tcPr/>
          <w:p>
            <w:pPr>
              <w:pStyle w:val="Compact"/>
              <w:jc w:val="left"/>
            </w:pPr>
            <w:r>
              <w:t xml:space="preserve">Small-cell disclosure prevented</w:t>
            </w:r>
          </w:p>
        </w:tc>
      </w:tr>
      <w:tr>
        <w:tc>
          <w:tcPr/>
          <w:p>
            <w:pPr>
              <w:pStyle w:val="Compact"/>
              <w:jc w:val="left"/>
            </w:pPr>
            <w:r>
              <w:t xml:space="preserve">MSP-T34</w:t>
            </w:r>
          </w:p>
        </w:tc>
        <w:tc>
          <w:tcPr/>
          <w:p>
            <w:pPr>
              <w:pStyle w:val="Compact"/>
              <w:jc w:val="left"/>
            </w:pPr>
            <w:r>
              <w:t xml:space="preserve">Reporter identity appears in ordinary export</w:t>
            </w:r>
          </w:p>
        </w:tc>
        <w:tc>
          <w:tcPr/>
          <w:p>
            <w:pPr>
              <w:pStyle w:val="Compact"/>
              <w:jc w:val="left"/>
            </w:pPr>
            <w:r>
              <w:t xml:space="preserve">Export denied or redacted according to authority</w:t>
            </w:r>
          </w:p>
        </w:tc>
      </w:tr>
      <w:tr>
        <w:tc>
          <w:tcPr/>
          <w:p>
            <w:pPr>
              <w:pStyle w:val="Compact"/>
              <w:jc w:val="left"/>
            </w:pPr>
            <w:r>
              <w:t xml:space="preserve">MSP-T35</w:t>
            </w:r>
          </w:p>
        </w:tc>
        <w:tc>
          <w:tcPr/>
          <w:p>
            <w:pPr>
              <w:pStyle w:val="Compact"/>
              <w:jc w:val="left"/>
            </w:pPr>
            <w:r>
              <w:t xml:space="preserve">Safeguarding evidence file is edited</w:t>
            </w:r>
          </w:p>
        </w:tc>
        <w:tc>
          <w:tcPr/>
          <w:p>
            <w:pPr>
              <w:pStyle w:val="Compact"/>
              <w:jc w:val="left"/>
            </w:pPr>
            <w:r>
              <w:t xml:space="preserve">Original preserved; derivative and lineage recorded</w:t>
            </w:r>
          </w:p>
        </w:tc>
      </w:tr>
      <w:tr>
        <w:tc>
          <w:tcPr/>
          <w:p>
            <w:pPr>
              <w:pStyle w:val="Compact"/>
              <w:jc w:val="left"/>
            </w:pPr>
            <w:r>
              <w:t xml:space="preserve">MSP-T36</w:t>
            </w:r>
          </w:p>
        </w:tc>
        <w:tc>
          <w:tcPr/>
          <w:p>
            <w:pPr>
              <w:pStyle w:val="Compact"/>
              <w:jc w:val="left"/>
            </w:pPr>
            <w:r>
              <w:t xml:space="preserve">Legal hold applies during account closure</w:t>
            </w:r>
          </w:p>
        </w:tc>
        <w:tc>
          <w:tcPr/>
          <w:p>
            <w:pPr>
              <w:pStyle w:val="Compact"/>
              <w:jc w:val="left"/>
            </w:pPr>
            <w:r>
              <w:t xml:space="preserve">Safeguarding record retained and deletion blocked</w:t>
            </w:r>
          </w:p>
        </w:tc>
      </w:tr>
      <w:tr>
        <w:tc>
          <w:tcPr/>
          <w:p>
            <w:pPr>
              <w:pStyle w:val="Compact"/>
              <w:jc w:val="left"/>
            </w:pPr>
            <w:r>
              <w:t xml:space="preserve">MSP-T37</w:t>
            </w:r>
          </w:p>
        </w:tc>
        <w:tc>
          <w:tcPr/>
          <w:p>
            <w:pPr>
              <w:pStyle w:val="Compact"/>
              <w:jc w:val="left"/>
            </w:pPr>
            <w:r>
              <w:t xml:space="preserve">Backup restores removed guardian access</w:t>
            </w:r>
          </w:p>
        </w:tc>
        <w:tc>
          <w:tcPr/>
          <w:p>
            <w:pPr>
              <w:pStyle w:val="Compact"/>
              <w:jc w:val="left"/>
            </w:pPr>
            <w:r>
              <w:t xml:space="preserve">Restored permission rejected during reconciliation</w:t>
            </w:r>
          </w:p>
        </w:tc>
      </w:tr>
      <w:tr>
        <w:tc>
          <w:tcPr/>
          <w:p>
            <w:pPr>
              <w:pStyle w:val="Compact"/>
              <w:jc w:val="left"/>
            </w:pPr>
            <w:r>
              <w:t xml:space="preserve">MSP-T38</w:t>
            </w:r>
          </w:p>
        </w:tc>
        <w:tc>
          <w:tcPr/>
          <w:p>
            <w:pPr>
              <w:pStyle w:val="Compact"/>
              <w:jc w:val="left"/>
            </w:pPr>
            <w:r>
              <w:t xml:space="preserve">Offline device retains protected data after revocation</w:t>
            </w:r>
          </w:p>
        </w:tc>
        <w:tc>
          <w:tcPr/>
          <w:p>
            <w:pPr>
              <w:pStyle w:val="Compact"/>
              <w:jc w:val="left"/>
            </w:pPr>
            <w:r>
              <w:t xml:space="preserve">Expiring authorization or tombstone removes access at governed opportunity</w:t>
            </w:r>
          </w:p>
        </w:tc>
      </w:tr>
      <w:tr>
        <w:tc>
          <w:tcPr/>
          <w:p>
            <w:pPr>
              <w:pStyle w:val="Compact"/>
              <w:jc w:val="left"/>
            </w:pPr>
            <w:r>
              <w:t xml:space="preserve">MSP-T39</w:t>
            </w:r>
          </w:p>
        </w:tc>
        <w:tc>
          <w:tcPr/>
          <w:p>
            <w:pPr>
              <w:pStyle w:val="Compact"/>
              <w:jc w:val="left"/>
            </w:pPr>
            <w:r>
              <w:t xml:space="preserve">Minor reaches adulthood</w:t>
            </w:r>
          </w:p>
        </w:tc>
        <w:tc>
          <w:tcPr/>
          <w:p>
            <w:pPr>
              <w:pStyle w:val="Compact"/>
              <w:jc w:val="left"/>
            </w:pPr>
            <w:r>
              <w:t xml:space="preserve">Guardian permissions and optional consents enter reassessment workflow</w:t>
            </w:r>
          </w:p>
        </w:tc>
      </w:tr>
      <w:tr>
        <w:tc>
          <w:tcPr/>
          <w:p>
            <w:pPr>
              <w:pStyle w:val="Compact"/>
              <w:jc w:val="left"/>
            </w:pPr>
            <w:r>
              <w:t xml:space="preserve">MSP-T40</w:t>
            </w:r>
          </w:p>
        </w:tc>
        <w:tc>
          <w:tcPr/>
          <w:p>
            <w:pPr>
              <w:pStyle w:val="Compact"/>
              <w:jc w:val="left"/>
            </w:pPr>
            <w:r>
              <w:t xml:space="preserve">Adult participant’s guardianship ends</w:t>
            </w:r>
          </w:p>
        </w:tc>
        <w:tc>
          <w:tcPr/>
          <w:p>
            <w:pPr>
              <w:pStyle w:val="Compact"/>
              <w:jc w:val="left"/>
            </w:pPr>
            <w:r>
              <w:t xml:space="preserve">Independent authority restored according to evidence and review</w:t>
            </w:r>
          </w:p>
        </w:tc>
      </w:tr>
      <w:tr>
        <w:tc>
          <w:tcPr/>
          <w:p>
            <w:pPr>
              <w:pStyle w:val="Compact"/>
              <w:jc w:val="left"/>
            </w:pPr>
            <w:r>
              <w:t xml:space="preserve">MSP-T41</w:t>
            </w:r>
          </w:p>
        </w:tc>
        <w:tc>
          <w:tcPr/>
          <w:p>
            <w:pPr>
              <w:pStyle w:val="Compact"/>
              <w:jc w:val="left"/>
            </w:pPr>
            <w:r>
              <w:t xml:space="preserve">Guardian change occurs during active message thread</w:t>
            </w:r>
          </w:p>
        </w:tc>
        <w:tc>
          <w:tcPr/>
          <w:p>
            <w:pPr>
              <w:pStyle w:val="Compact"/>
              <w:jc w:val="left"/>
            </w:pPr>
            <w:r>
              <w:t xml:space="preserve">Thread participation and access reevaluated without erasing history</w:t>
            </w:r>
          </w:p>
        </w:tc>
      </w:tr>
      <w:tr>
        <w:tc>
          <w:tcPr/>
          <w:p>
            <w:pPr>
              <w:pStyle w:val="Compact"/>
              <w:jc w:val="left"/>
            </w:pPr>
            <w:r>
              <w:t xml:space="preserve">MSP-T42</w:t>
            </w:r>
          </w:p>
        </w:tc>
        <w:tc>
          <w:tcPr/>
          <w:p>
            <w:pPr>
              <w:pStyle w:val="Compact"/>
              <w:jc w:val="left"/>
            </w:pPr>
            <w:r>
              <w:t xml:space="preserve">Emergency danger is reported</w:t>
            </w:r>
          </w:p>
        </w:tc>
        <w:tc>
          <w:tcPr/>
          <w:p>
            <w:pPr>
              <w:pStyle w:val="Compact"/>
              <w:jc w:val="left"/>
            </w:pPr>
            <w:r>
              <w:t xml:space="preserve">Immediate safety instructions and authorized escalation are displayed</w:t>
            </w:r>
          </w:p>
        </w:tc>
      </w:tr>
      <w:tr>
        <w:tc>
          <w:tcPr/>
          <w:p>
            <w:pPr>
              <w:pStyle w:val="Compact"/>
              <w:jc w:val="left"/>
            </w:pPr>
            <w:r>
              <w:t xml:space="preserve">MSP-T43</w:t>
            </w:r>
          </w:p>
        </w:tc>
        <w:tc>
          <w:tcPr/>
          <w:p>
            <w:pPr>
              <w:pStyle w:val="Compact"/>
              <w:jc w:val="left"/>
            </w:pPr>
            <w:r>
              <w:t xml:space="preserve">Emergency restriction blocks coach contact</w:t>
            </w:r>
          </w:p>
        </w:tc>
        <w:tc>
          <w:tcPr/>
          <w:p>
            <w:pPr>
              <w:pStyle w:val="Compact"/>
              <w:jc w:val="left"/>
            </w:pPr>
            <w:r>
              <w:t xml:space="preserve">Messaging, assignment, and visibility restrictions propagate</w:t>
            </w:r>
          </w:p>
        </w:tc>
      </w:tr>
      <w:tr>
        <w:tc>
          <w:tcPr/>
          <w:p>
            <w:pPr>
              <w:pStyle w:val="Compact"/>
              <w:jc w:val="left"/>
            </w:pPr>
            <w:r>
              <w:t xml:space="preserve">MSP-T44</w:t>
            </w:r>
          </w:p>
        </w:tc>
        <w:tc>
          <w:tcPr/>
          <w:p>
            <w:pPr>
              <w:pStyle w:val="Compact"/>
              <w:jc w:val="left"/>
            </w:pPr>
            <w:r>
              <w:t xml:space="preserve">Accused adult appeals temporary restriction</w:t>
            </w:r>
          </w:p>
        </w:tc>
        <w:tc>
          <w:tcPr/>
          <w:p>
            <w:pPr>
              <w:pStyle w:val="Compact"/>
              <w:jc w:val="left"/>
            </w:pPr>
            <w:r>
              <w:t xml:space="preserve">Review allowed; restriction remains unless modified by authority</w:t>
            </w:r>
          </w:p>
        </w:tc>
      </w:tr>
      <w:tr>
        <w:tc>
          <w:tcPr/>
          <w:p>
            <w:pPr>
              <w:pStyle w:val="Compact"/>
              <w:jc w:val="left"/>
            </w:pPr>
            <w:r>
              <w:t xml:space="preserve">MSP-T45</w:t>
            </w:r>
          </w:p>
        </w:tc>
        <w:tc>
          <w:tcPr/>
          <w:p>
            <w:pPr>
              <w:pStyle w:val="Compact"/>
              <w:jc w:val="left"/>
            </w:pPr>
            <w:r>
              <w:t xml:space="preserve">Accused adult requests reporter identity</w:t>
            </w:r>
          </w:p>
        </w:tc>
        <w:tc>
          <w:tcPr/>
          <w:p>
            <w:pPr>
              <w:pStyle w:val="Compact"/>
              <w:jc w:val="left"/>
            </w:pPr>
            <w:r>
              <w:t xml:space="preserve">Identity withheld absent valid disclosure authority</w:t>
            </w:r>
          </w:p>
        </w:tc>
      </w:tr>
      <w:tr>
        <w:tc>
          <w:tcPr/>
          <w:p>
            <w:pPr>
              <w:pStyle w:val="Compact"/>
              <w:jc w:val="left"/>
            </w:pPr>
            <w:r>
              <w:t xml:space="preserve">MSP-T46</w:t>
            </w:r>
          </w:p>
        </w:tc>
        <w:tc>
          <w:tcPr/>
          <w:p>
            <w:pPr>
              <w:pStyle w:val="Compact"/>
              <w:jc w:val="left"/>
            </w:pPr>
            <w:r>
              <w:t xml:space="preserve">Trainer removes minor from lessons after report</w:t>
            </w:r>
          </w:p>
        </w:tc>
        <w:tc>
          <w:tcPr/>
          <w:p>
            <w:pPr>
              <w:pStyle w:val="Compact"/>
              <w:jc w:val="left"/>
            </w:pPr>
            <w:r>
              <w:t xml:space="preserve">Potential retaliation is recordable and reviewable</w:t>
            </w:r>
          </w:p>
        </w:tc>
      </w:tr>
      <w:tr>
        <w:tc>
          <w:tcPr/>
          <w:p>
            <w:pPr>
              <w:pStyle w:val="Compact"/>
              <w:jc w:val="left"/>
            </w:pPr>
            <w:r>
              <w:t xml:space="preserve">MSP-T47</w:t>
            </w:r>
          </w:p>
        </w:tc>
        <w:tc>
          <w:tcPr/>
          <w:p>
            <w:pPr>
              <w:pStyle w:val="Compact"/>
              <w:jc w:val="left"/>
            </w:pPr>
            <w:r>
              <w:t xml:space="preserve">Organization tries to disable guardian-inclusion rule</w:t>
            </w:r>
          </w:p>
        </w:tc>
        <w:tc>
          <w:tcPr/>
          <w:p>
            <w:pPr>
              <w:pStyle w:val="Compact"/>
              <w:jc w:val="left"/>
            </w:pPr>
            <w:r>
              <w:t xml:space="preserve">Configuration denied</w:t>
            </w:r>
          </w:p>
        </w:tc>
      </w:tr>
      <w:tr>
        <w:tc>
          <w:tcPr/>
          <w:p>
            <w:pPr>
              <w:pStyle w:val="Compact"/>
              <w:jc w:val="left"/>
            </w:pPr>
            <w:r>
              <w:t xml:space="preserve">MSP-T48</w:t>
            </w:r>
          </w:p>
        </w:tc>
        <w:tc>
          <w:tcPr/>
          <w:p>
            <w:pPr>
              <w:pStyle w:val="Compact"/>
              <w:jc w:val="left"/>
            </w:pPr>
            <w:r>
              <w:t xml:space="preserve">Plugin creates alternate direct-message channel</w:t>
            </w:r>
          </w:p>
        </w:tc>
        <w:tc>
          <w:tcPr/>
          <w:p>
            <w:pPr>
              <w:pStyle w:val="Compact"/>
              <w:jc w:val="left"/>
            </w:pPr>
            <w:r>
              <w:t xml:space="preserve">Plugin is blocked or ineligible</w:t>
            </w:r>
          </w:p>
        </w:tc>
      </w:tr>
      <w:tr>
        <w:tc>
          <w:tcPr/>
          <w:p>
            <w:pPr>
              <w:pStyle w:val="Compact"/>
              <w:jc w:val="left"/>
            </w:pPr>
            <w:r>
              <w:t xml:space="preserve">MSP-T49</w:t>
            </w:r>
          </w:p>
        </w:tc>
        <w:tc>
          <w:tcPr/>
          <w:p>
            <w:pPr>
              <w:pStyle w:val="Compact"/>
              <w:jc w:val="left"/>
            </w:pPr>
            <w:r>
              <w:t xml:space="preserve">Email reply-all drops guardian due address error</w:t>
            </w:r>
          </w:p>
        </w:tc>
        <w:tc>
          <w:tcPr/>
          <w:p>
            <w:pPr>
              <w:pStyle w:val="Compact"/>
              <w:jc w:val="left"/>
            </w:pPr>
            <w:r>
              <w:t xml:space="preserve">Delivery blocked or routed for reconciliation</w:t>
            </w:r>
          </w:p>
        </w:tc>
      </w:tr>
      <w:tr>
        <w:tc>
          <w:tcPr/>
          <w:p>
            <w:pPr>
              <w:pStyle w:val="Compact"/>
              <w:jc w:val="left"/>
            </w:pPr>
            <w:r>
              <w:t xml:space="preserve">MSP-T50</w:t>
            </w:r>
          </w:p>
        </w:tc>
        <w:tc>
          <w:tcPr/>
          <w:p>
            <w:pPr>
              <w:pStyle w:val="Compact"/>
              <w:jc w:val="left"/>
            </w:pPr>
            <w:r>
              <w:t xml:space="preserve">Guardian account is unavailable</w:t>
            </w:r>
          </w:p>
        </w:tc>
        <w:tc>
          <w:tcPr/>
          <w:p>
            <w:pPr>
              <w:pStyle w:val="Compact"/>
              <w:jc w:val="left"/>
            </w:pPr>
            <w:r>
              <w:t xml:space="preserve">Ordinary adult-minor conversation does not proceed through noncompliant channel</w:t>
            </w:r>
          </w:p>
        </w:tc>
      </w:tr>
      <w:tr>
        <w:tc>
          <w:tcPr/>
          <w:p>
            <w:pPr>
              <w:pStyle w:val="Compact"/>
              <w:jc w:val="left"/>
            </w:pPr>
            <w:r>
              <w:t xml:space="preserve">MSP-T51</w:t>
            </w:r>
          </w:p>
        </w:tc>
        <w:tc>
          <w:tcPr/>
          <w:p>
            <w:pPr>
              <w:pStyle w:val="Compact"/>
              <w:jc w:val="left"/>
            </w:pPr>
            <w:r>
              <w:t xml:space="preserve">Multiple minors receive a broadcast with reply enabled</w:t>
            </w:r>
          </w:p>
        </w:tc>
        <w:tc>
          <w:tcPr/>
          <w:p>
            <w:pPr>
              <w:pStyle w:val="Compact"/>
              <w:jc w:val="left"/>
            </w:pPr>
            <w:r>
              <w:t xml:space="preserve">Required guardian participation enforced for conversational replies</w:t>
            </w:r>
          </w:p>
        </w:tc>
      </w:tr>
      <w:tr>
        <w:tc>
          <w:tcPr/>
          <w:p>
            <w:pPr>
              <w:pStyle w:val="Compact"/>
              <w:jc w:val="left"/>
            </w:pPr>
            <w:r>
              <w:t xml:space="preserve">MSP-T52</w:t>
            </w:r>
          </w:p>
        </w:tc>
        <w:tc>
          <w:tcPr/>
          <w:p>
            <w:pPr>
              <w:pStyle w:val="Compact"/>
              <w:jc w:val="left"/>
            </w:pPr>
            <w:r>
              <w:t xml:space="preserve">Staff member is also another child’s parent</w:t>
            </w:r>
          </w:p>
        </w:tc>
        <w:tc>
          <w:tcPr/>
          <w:p>
            <w:pPr>
              <w:pStyle w:val="Compact"/>
              <w:jc w:val="left"/>
            </w:pPr>
            <w:r>
              <w:t xml:space="preserve">Adult remains a third party for communications with unrelated minor</w:t>
            </w:r>
          </w:p>
        </w:tc>
      </w:tr>
      <w:tr>
        <w:tc>
          <w:tcPr/>
          <w:p>
            <w:pPr>
              <w:pStyle w:val="Compact"/>
              <w:jc w:val="left"/>
            </w:pPr>
            <w:r>
              <w:t xml:space="preserve">MSP-T53</w:t>
            </w:r>
          </w:p>
        </w:tc>
        <w:tc>
          <w:tcPr/>
          <w:p>
            <w:pPr>
              <w:pStyle w:val="Compact"/>
              <w:jc w:val="left"/>
            </w:pPr>
            <w:r>
              <w:t xml:space="preserve">Provider needs to send confidential operational information</w:t>
            </w:r>
          </w:p>
        </w:tc>
        <w:tc>
          <w:tcPr/>
          <w:p>
            <w:pPr>
              <w:pStyle w:val="Compact"/>
              <w:jc w:val="left"/>
            </w:pPr>
            <w:r>
              <w:t xml:space="preserve">Guardian-included or approved protected workflow used according to authority</w:t>
            </w:r>
          </w:p>
        </w:tc>
      </w:tr>
      <w:tr>
        <w:tc>
          <w:tcPr/>
          <w:p>
            <w:pPr>
              <w:pStyle w:val="Compact"/>
              <w:jc w:val="left"/>
            </w:pPr>
            <w:r>
              <w:t xml:space="preserve">MSP-T54</w:t>
            </w:r>
          </w:p>
        </w:tc>
        <w:tc>
          <w:tcPr/>
          <w:p>
            <w:pPr>
              <w:pStyle w:val="Compact"/>
              <w:jc w:val="left"/>
            </w:pPr>
            <w:r>
              <w:t xml:space="preserve">Safeguarding reviewer needs follow-up from minor</w:t>
            </w:r>
          </w:p>
        </w:tc>
        <w:tc>
          <w:tcPr/>
          <w:p>
            <w:pPr>
              <w:pStyle w:val="Compact"/>
              <w:jc w:val="left"/>
            </w:pPr>
            <w:r>
              <w:t xml:space="preserve">Designated protected workflow used, not ordinary coach messaging</w:t>
            </w:r>
          </w:p>
        </w:tc>
      </w:tr>
      <w:tr>
        <w:tc>
          <w:tcPr/>
          <w:p>
            <w:pPr>
              <w:pStyle w:val="Compact"/>
              <w:jc w:val="left"/>
            </w:pPr>
            <w:r>
              <w:t xml:space="preserve">MSP-T55</w:t>
            </w:r>
          </w:p>
        </w:tc>
        <w:tc>
          <w:tcPr/>
          <w:p>
            <w:pPr>
              <w:pStyle w:val="Compact"/>
              <w:jc w:val="left"/>
            </w:pPr>
            <w:r>
              <w:t xml:space="preserve">Media shows multiple minors with different consent states</w:t>
            </w:r>
          </w:p>
        </w:tc>
        <w:tc>
          <w:tcPr/>
          <w:p>
            <w:pPr>
              <w:pStyle w:val="Compact"/>
              <w:jc w:val="left"/>
            </w:pPr>
            <w:r>
              <w:t xml:space="preserve">Publication limited to fully authorized treatment or valid redaction</w:t>
            </w:r>
          </w:p>
        </w:tc>
      </w:tr>
      <w:tr>
        <w:tc>
          <w:tcPr/>
          <w:p>
            <w:pPr>
              <w:pStyle w:val="Compact"/>
              <w:jc w:val="left"/>
            </w:pPr>
            <w:r>
              <w:t xml:space="preserve">MSP-T56</w:t>
            </w:r>
          </w:p>
        </w:tc>
        <w:tc>
          <w:tcPr/>
          <w:p>
            <w:pPr>
              <w:pStyle w:val="Compact"/>
              <w:jc w:val="left"/>
            </w:pPr>
            <w:r>
              <w:t xml:space="preserve">Exact location is embedded in competition video metadata</w:t>
            </w:r>
          </w:p>
        </w:tc>
        <w:tc>
          <w:tcPr/>
          <w:p>
            <w:pPr>
              <w:pStyle w:val="Compact"/>
              <w:jc w:val="left"/>
            </w:pPr>
            <w:r>
              <w:t xml:space="preserve">Location removed or restricted before public use</w:t>
            </w:r>
          </w:p>
        </w:tc>
      </w:tr>
      <w:tr>
        <w:tc>
          <w:tcPr/>
          <w:p>
            <w:pPr>
              <w:pStyle w:val="Compact"/>
              <w:jc w:val="left"/>
            </w:pPr>
            <w:r>
              <w:t xml:space="preserve">MSP-T57</w:t>
            </w:r>
          </w:p>
        </w:tc>
        <w:tc>
          <w:tcPr/>
          <w:p>
            <w:pPr>
              <w:pStyle w:val="Compact"/>
              <w:jc w:val="left"/>
            </w:pPr>
            <w:r>
              <w:t xml:space="preserve">Customer exports participant roster</w:t>
            </w:r>
          </w:p>
        </w:tc>
        <w:tc>
          <w:tcPr/>
          <w:p>
            <w:pPr>
              <w:pStyle w:val="Compact"/>
              <w:jc w:val="left"/>
            </w:pPr>
            <w:r>
              <w:t xml:space="preserve">Minimum necessary fields and recipient authority enforced</w:t>
            </w:r>
          </w:p>
        </w:tc>
      </w:tr>
      <w:tr>
        <w:tc>
          <w:tcPr/>
          <w:p>
            <w:pPr>
              <w:pStyle w:val="Compact"/>
              <w:jc w:val="left"/>
            </w:pPr>
            <w:r>
              <w:t xml:space="preserve">MSP-T58</w:t>
            </w:r>
          </w:p>
        </w:tc>
        <w:tc>
          <w:tcPr/>
          <w:p>
            <w:pPr>
              <w:pStyle w:val="Compact"/>
              <w:jc w:val="left"/>
            </w:pPr>
            <w:r>
              <w:t xml:space="preserve">Adult requests all records because they are a tenant owner</w:t>
            </w:r>
          </w:p>
        </w:tc>
        <w:tc>
          <w:tcPr/>
          <w:p>
            <w:pPr>
              <w:pStyle w:val="Compact"/>
              <w:jc w:val="left"/>
            </w:pPr>
            <w:r>
              <w:t xml:space="preserve">Universal access denied</w:t>
            </w:r>
          </w:p>
        </w:tc>
      </w:tr>
      <w:tr>
        <w:tc>
          <w:tcPr/>
          <w:p>
            <w:pPr>
              <w:pStyle w:val="Compact"/>
              <w:jc w:val="left"/>
            </w:pPr>
            <w:r>
              <w:t xml:space="preserve">MSP-T59</w:t>
            </w:r>
          </w:p>
        </w:tc>
        <w:tc>
          <w:tcPr/>
          <w:p>
            <w:pPr>
              <w:pStyle w:val="Compact"/>
              <w:jc w:val="left"/>
            </w:pPr>
            <w:r>
              <w:t xml:space="preserve">Direct database mutation removes protection</w:t>
            </w:r>
          </w:p>
        </w:tc>
        <w:tc>
          <w:tcPr/>
          <w:p>
            <w:pPr>
              <w:pStyle w:val="Compact"/>
              <w:jc w:val="left"/>
            </w:pPr>
            <w:r>
              <w:t xml:space="preserve">Detection causes gate failure and incident review</w:t>
            </w:r>
          </w:p>
        </w:tc>
      </w:tr>
      <w:tr>
        <w:tc>
          <w:tcPr/>
          <w:p>
            <w:pPr>
              <w:pStyle w:val="Compact"/>
              <w:jc w:val="left"/>
            </w:pPr>
            <w:r>
              <w:t xml:space="preserve">MSP-T60</w:t>
            </w:r>
          </w:p>
        </w:tc>
        <w:tc>
          <w:tcPr/>
          <w:p>
            <w:pPr>
              <w:pStyle w:val="Compact"/>
              <w:jc w:val="left"/>
            </w:pPr>
            <w:r>
              <w:t xml:space="preserve">Public marketing claims SafeSport compliance without validation</w:t>
            </w:r>
          </w:p>
        </w:tc>
        <w:tc>
          <w:tcPr/>
          <w:p>
            <w:pPr>
              <w:pStyle w:val="Compact"/>
              <w:jc w:val="left"/>
            </w:pPr>
            <w:r>
              <w:t xml:space="preserve">Claim blocked pending separate evidence and authority</w:t>
            </w:r>
          </w:p>
        </w:tc>
      </w:tr>
    </w:tbl>
    <w:bookmarkStart w:id="186" w:name="X9718f3ceeeacde187f2bff6a87a7b0b474b83f6"/>
    <w:p>
      <w:pPr>
        <w:pStyle w:val="Heading2"/>
      </w:pPr>
      <w:r>
        <w:t xml:space="preserve">Additional Mandatory Scenarios Added in V1.1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Required Result</w:t>
            </w:r>
          </w:p>
        </w:tc>
      </w:tr>
      <w:tr>
        <w:tc>
          <w:tcPr/>
          <w:p>
            <w:pPr>
              <w:pStyle w:val="Compact"/>
              <w:jc w:val="left"/>
            </w:pPr>
            <w:r>
              <w:t xml:space="preserve">MSP-T61</w:t>
            </w:r>
          </w:p>
        </w:tc>
        <w:tc>
          <w:tcPr/>
          <w:p>
            <w:pPr>
              <w:pStyle w:val="Compact"/>
              <w:jc w:val="left"/>
            </w:pPr>
            <w:r>
              <w:t xml:space="preserve">Minor initiates a direct message to coach without guardian</w:t>
            </w:r>
          </w:p>
        </w:tc>
        <w:tc>
          <w:tcPr/>
          <w:p>
            <w:pPr>
              <w:pStyle w:val="Compact"/>
              <w:jc w:val="left"/>
            </w:pPr>
            <w:r>
              <w:t xml:space="preserve">Message remains blocked; initiator does not change rule</w:t>
            </w:r>
          </w:p>
        </w:tc>
      </w:tr>
      <w:tr>
        <w:tc>
          <w:tcPr/>
          <w:p>
            <w:pPr>
              <w:pStyle w:val="Compact"/>
              <w:jc w:val="left"/>
            </w:pPr>
            <w:r>
              <w:t xml:space="preserve">MSP-T62</w:t>
            </w:r>
          </w:p>
        </w:tc>
        <w:tc>
          <w:tcPr/>
          <w:p>
            <w:pPr>
              <w:pStyle w:val="Compact"/>
              <w:jc w:val="left"/>
            </w:pPr>
            <w:r>
              <w:t xml:space="preserve">Guardian is listed but email delivery permanently fails</w:t>
            </w:r>
          </w:p>
        </w:tc>
        <w:tc>
          <w:tcPr/>
          <w:p>
            <w:pPr>
              <w:pStyle w:val="Compact"/>
              <w:jc w:val="left"/>
            </w:pPr>
            <w:r>
              <w:t xml:space="preserve">Conversation suspends; nominal inclusion is not accepted</w:t>
            </w:r>
          </w:p>
        </w:tc>
      </w:tr>
      <w:tr>
        <w:tc>
          <w:tcPr/>
          <w:p>
            <w:pPr>
              <w:pStyle w:val="Compact"/>
              <w:jc w:val="left"/>
            </w:pPr>
            <w:r>
              <w:t xml:space="preserve">MSP-T63</w:t>
            </w:r>
          </w:p>
        </w:tc>
        <w:tc>
          <w:tcPr/>
          <w:p>
            <w:pPr>
              <w:pStyle w:val="Compact"/>
              <w:jc w:val="left"/>
            </w:pPr>
            <w:r>
              <w:t xml:space="preserve">Guardian authority expires during an active thread</w:t>
            </w:r>
          </w:p>
        </w:tc>
        <w:tc>
          <w:tcPr/>
          <w:p>
            <w:pPr>
              <w:pStyle w:val="Compact"/>
              <w:jc w:val="left"/>
            </w:pPr>
            <w:r>
              <w:t xml:space="preserve">New conversational messages stop pending valid guardian authority</w:t>
            </w:r>
          </w:p>
        </w:tc>
      </w:tr>
      <w:tr>
        <w:tc>
          <w:tcPr/>
          <w:p>
            <w:pPr>
              <w:pStyle w:val="Compact"/>
              <w:jc w:val="left"/>
            </w:pPr>
            <w:r>
              <w:t xml:space="preserve">MSP-T64</w:t>
            </w:r>
          </w:p>
        </w:tc>
        <w:tc>
          <w:tcPr/>
          <w:p>
            <w:pPr>
              <w:pStyle w:val="Compact"/>
              <w:jc w:val="left"/>
            </w:pPr>
            <w:r>
              <w:t xml:space="preserve">Adult parent of one child messages unrelated minor</w:t>
            </w:r>
          </w:p>
        </w:tc>
        <w:tc>
          <w:tcPr/>
          <w:p>
            <w:pPr>
              <w:pStyle w:val="Compact"/>
              <w:jc w:val="left"/>
            </w:pPr>
            <w:r>
              <w:t xml:space="preserve">Adult is treated as third party; unrelated child’s guardian required</w:t>
            </w:r>
          </w:p>
        </w:tc>
      </w:tr>
      <w:tr>
        <w:tc>
          <w:tcPr/>
          <w:p>
            <w:pPr>
              <w:pStyle w:val="Compact"/>
              <w:jc w:val="left"/>
            </w:pPr>
            <w:r>
              <w:t xml:space="preserve">MSP-T65</w:t>
            </w:r>
          </w:p>
        </w:tc>
        <w:tc>
          <w:tcPr/>
          <w:p>
            <w:pPr>
              <w:pStyle w:val="Compact"/>
              <w:jc w:val="left"/>
            </w:pPr>
            <w:r>
              <w:t xml:space="preserve">Safeguarding lead is the Responding Person’s supervisor and business partner</w:t>
            </w:r>
          </w:p>
        </w:tc>
        <w:tc>
          <w:tcPr/>
          <w:p>
            <w:pPr>
              <w:pStyle w:val="Compact"/>
              <w:jc w:val="left"/>
            </w:pPr>
            <w:r>
              <w:t xml:space="preserve">Conflict detected; case reassigned outside ordinary chain</w:t>
            </w:r>
          </w:p>
        </w:tc>
      </w:tr>
      <w:tr>
        <w:tc>
          <w:tcPr/>
          <w:p>
            <w:pPr>
              <w:pStyle w:val="Compact"/>
              <w:jc w:val="left"/>
            </w:pPr>
            <w:r>
              <w:t xml:space="preserve">MSP-T66</w:t>
            </w:r>
          </w:p>
        </w:tc>
        <w:tc>
          <w:tcPr/>
          <w:p>
            <w:pPr>
              <w:pStyle w:val="Compact"/>
              <w:jc w:val="left"/>
            </w:pPr>
            <w:r>
              <w:t xml:space="preserve">Customer requires internal approval before a mandated report</w:t>
            </w:r>
          </w:p>
        </w:tc>
        <w:tc>
          <w:tcPr/>
          <w:p>
            <w:pPr>
              <w:pStyle w:val="Compact"/>
              <w:jc w:val="left"/>
            </w:pPr>
            <w:r>
              <w:t xml:space="preserve">Workflow does not block external reporting; interference is recorded</w:t>
            </w:r>
          </w:p>
        </w:tc>
      </w:tr>
      <w:tr>
        <w:tc>
          <w:tcPr/>
          <w:p>
            <w:pPr>
              <w:pStyle w:val="Compact"/>
              <w:jc w:val="left"/>
            </w:pPr>
            <w:r>
              <w:t xml:space="preserve">MSP-T67</w:t>
            </w:r>
          </w:p>
        </w:tc>
        <w:tc>
          <w:tcPr/>
          <w:p>
            <w:pPr>
              <w:pStyle w:val="Compact"/>
              <w:jc w:val="left"/>
            </w:pPr>
            <w:r>
              <w:t xml:space="preserve">Report closes as unsubstantiated</w:t>
            </w:r>
          </w:p>
        </w:tc>
        <w:tc>
          <w:tcPr/>
          <w:p>
            <w:pPr>
              <w:pStyle w:val="Compact"/>
              <w:jc w:val="left"/>
            </w:pPr>
            <w:r>
              <w:t xml:space="preserve">System does not label reporter false or malicious</w:t>
            </w:r>
          </w:p>
        </w:tc>
      </w:tr>
      <w:tr>
        <w:tc>
          <w:tcPr/>
          <w:p>
            <w:pPr>
              <w:pStyle w:val="Compact"/>
              <w:jc w:val="left"/>
            </w:pPr>
            <w:r>
              <w:t xml:space="preserve">MSP-T68</w:t>
            </w:r>
          </w:p>
        </w:tc>
        <w:tc>
          <w:tcPr/>
          <w:p>
            <w:pPr>
              <w:pStyle w:val="Compact"/>
              <w:jc w:val="left"/>
            </w:pPr>
            <w:r>
              <w:t xml:space="preserve">Evidence supports knowingly fabricated retaliation report</w:t>
            </w:r>
          </w:p>
        </w:tc>
        <w:tc>
          <w:tcPr/>
          <w:p>
            <w:pPr>
              <w:pStyle w:val="Compact"/>
              <w:jc w:val="left"/>
            </w:pPr>
            <w:r>
              <w:t xml:space="preserve">Separate authorized malicious-report determination and appeal used</w:t>
            </w:r>
          </w:p>
        </w:tc>
      </w:tr>
      <w:tr>
        <w:tc>
          <w:tcPr/>
          <w:p>
            <w:pPr>
              <w:pStyle w:val="Compact"/>
              <w:jc w:val="left"/>
            </w:pPr>
            <w:r>
              <w:t xml:space="preserve">MSP-T69</w:t>
            </w:r>
          </w:p>
        </w:tc>
        <w:tc>
          <w:tcPr/>
          <w:p>
            <w:pPr>
              <w:pStyle w:val="Compact"/>
              <w:jc w:val="left"/>
            </w:pPr>
            <w:r>
              <w:t xml:space="preserve">Responding Person receives temporary restriction</w:t>
            </w:r>
          </w:p>
        </w:tc>
        <w:tc>
          <w:tcPr/>
          <w:p>
            <w:pPr>
              <w:pStyle w:val="Compact"/>
              <w:jc w:val="left"/>
            </w:pPr>
            <w:r>
              <w:t xml:space="preserve">Notice distinguishes interim protection from final finding</w:t>
            </w:r>
          </w:p>
        </w:tc>
      </w:tr>
      <w:tr>
        <w:tc>
          <w:tcPr/>
          <w:p>
            <w:pPr>
              <w:pStyle w:val="Compact"/>
              <w:jc w:val="left"/>
            </w:pPr>
            <w:r>
              <w:t xml:space="preserve">MSP-T70</w:t>
            </w:r>
          </w:p>
        </w:tc>
        <w:tc>
          <w:tcPr/>
          <w:p>
            <w:pPr>
              <w:pStyle w:val="Compact"/>
              <w:jc w:val="left"/>
            </w:pPr>
            <w:r>
              <w:t xml:space="preserve">Responding Person asks ordinary administrator for full case export</w:t>
            </w:r>
          </w:p>
        </w:tc>
        <w:tc>
          <w:tcPr/>
          <w:p>
            <w:pPr>
              <w:pStyle w:val="Compact"/>
              <w:jc w:val="left"/>
            </w:pPr>
            <w:r>
              <w:t xml:space="preserve">Export denied; authorized disclosure process required</w:t>
            </w:r>
          </w:p>
        </w:tc>
      </w:tr>
      <w:tr>
        <w:tc>
          <w:tcPr/>
          <w:p>
            <w:pPr>
              <w:pStyle w:val="Compact"/>
              <w:jc w:val="left"/>
            </w:pPr>
            <w:r>
              <w:t xml:space="preserve">MSP-T71</w:t>
            </w:r>
          </w:p>
        </w:tc>
        <w:tc>
          <w:tcPr/>
          <w:p>
            <w:pPr>
              <w:pStyle w:val="Compact"/>
              <w:jc w:val="left"/>
            </w:pPr>
            <w:r>
              <w:t xml:space="preserve">Case contains two minors and one allegation</w:t>
            </w:r>
          </w:p>
        </w:tc>
        <w:tc>
          <w:tcPr/>
          <w:p>
            <w:pPr>
              <w:pStyle w:val="Compact"/>
              <w:jc w:val="left"/>
            </w:pPr>
            <w:r>
              <w:t xml:space="preserve">Access and disclosure can be separated by participant and issue</w:t>
            </w:r>
          </w:p>
        </w:tc>
      </w:tr>
      <w:tr>
        <w:tc>
          <w:tcPr/>
          <w:p>
            <w:pPr>
              <w:pStyle w:val="Compact"/>
              <w:jc w:val="left"/>
            </w:pPr>
            <w:r>
              <w:t xml:space="preserve">MSP-T72</w:t>
            </w:r>
          </w:p>
        </w:tc>
        <w:tc>
          <w:tcPr/>
          <w:p>
            <w:pPr>
              <w:pStyle w:val="Compact"/>
              <w:jc w:val="left"/>
            </w:pPr>
            <w:r>
              <w:t xml:space="preserve">Customer owner is implicated and controls tenant administration</w:t>
            </w:r>
          </w:p>
        </w:tc>
        <w:tc>
          <w:tcPr/>
          <w:p>
            <w:pPr>
              <w:pStyle w:val="Compact"/>
              <w:jc w:val="left"/>
            </w:pPr>
            <w:r>
              <w:t xml:space="preserve">Owner cannot use ordinary admin rights to access or close case</w:t>
            </w:r>
          </w:p>
        </w:tc>
      </w:tr>
      <w:tr>
        <w:tc>
          <w:tcPr/>
          <w:p>
            <w:pPr>
              <w:pStyle w:val="Compact"/>
              <w:jc w:val="left"/>
            </w:pPr>
            <w:r>
              <w:t xml:space="preserve">MSP-T73</w:t>
            </w:r>
          </w:p>
        </w:tc>
        <w:tc>
          <w:tcPr/>
          <w:p>
            <w:pPr>
              <w:pStyle w:val="Compact"/>
              <w:jc w:val="left"/>
            </w:pPr>
            <w:r>
              <w:t xml:space="preserve">Overnight event is created with general lesson consent only</w:t>
            </w:r>
          </w:p>
        </w:tc>
        <w:tc>
          <w:tcPr/>
          <w:p>
            <w:pPr>
              <w:pStyle w:val="Compact"/>
              <w:jc w:val="left"/>
            </w:pPr>
            <w:r>
              <w:t xml:space="preserve">Lodging and private-space authorization remains incomplete and blocked</w:t>
            </w:r>
          </w:p>
        </w:tc>
      </w:tr>
      <w:tr>
        <w:tc>
          <w:tcPr/>
          <w:p>
            <w:pPr>
              <w:pStyle w:val="Compact"/>
              <w:jc w:val="left"/>
            </w:pPr>
            <w:r>
              <w:t xml:space="preserve">MSP-T74</w:t>
            </w:r>
          </w:p>
        </w:tc>
        <w:tc>
          <w:tcPr/>
          <w:p>
            <w:pPr>
              <w:pStyle w:val="Compact"/>
              <w:jc w:val="left"/>
            </w:pPr>
            <w:r>
              <w:t xml:space="preserve">Adult offers private discount for secret one-to-one access</w:t>
            </w:r>
          </w:p>
        </w:tc>
        <w:tc>
          <w:tcPr/>
          <w:p>
            <w:pPr>
              <w:pStyle w:val="Compact"/>
              <w:jc w:val="left"/>
            </w:pPr>
            <w:r>
              <w:t xml:space="preserve">Conduct is reportable and eligibility/protective review can begin</w:t>
            </w:r>
          </w:p>
        </w:tc>
      </w:tr>
      <w:tr>
        <w:tc>
          <w:tcPr/>
          <w:p>
            <w:pPr>
              <w:pStyle w:val="Compact"/>
              <w:jc w:val="left"/>
            </w:pPr>
            <w:r>
              <w:t xml:space="preserve">MSP-T75</w:t>
            </w:r>
          </w:p>
        </w:tc>
        <w:tc>
          <w:tcPr/>
          <w:p>
            <w:pPr>
              <w:pStyle w:val="Compact"/>
              <w:jc w:val="left"/>
            </w:pPr>
            <w:r>
              <w:t xml:space="preserve">Minor’s task record is used to create public competence ranking</w:t>
            </w:r>
          </w:p>
        </w:tc>
        <w:tc>
          <w:tcPr/>
          <w:p>
            <w:pPr>
              <w:pStyle w:val="Compact"/>
              <w:jc w:val="left"/>
            </w:pPr>
            <w:r>
              <w:t xml:space="preserve">Ranking prohibited</w:t>
            </w:r>
          </w:p>
        </w:tc>
      </w:tr>
      <w:tr>
        <w:tc>
          <w:tcPr/>
          <w:p>
            <w:pPr>
              <w:pStyle w:val="Compact"/>
              <w:jc w:val="left"/>
            </w:pPr>
            <w:r>
              <w:t xml:space="preserve">MSP-T76</w:t>
            </w:r>
          </w:p>
        </w:tc>
        <w:tc>
          <w:tcPr/>
          <w:p>
            <w:pPr>
              <w:pStyle w:val="Compact"/>
              <w:jc w:val="left"/>
            </w:pPr>
            <w:r>
              <w:t xml:space="preserve">AI assigns grooming-risk score from message style</w:t>
            </w:r>
          </w:p>
        </w:tc>
        <w:tc>
          <w:tcPr/>
          <w:p>
            <w:pPr>
              <w:pStyle w:val="Compact"/>
              <w:jc w:val="left"/>
            </w:pPr>
            <w:r>
              <w:t xml:space="preserve">Scoring prohibited; no participant or adult risk profile created</w:t>
            </w:r>
          </w:p>
        </w:tc>
      </w:tr>
      <w:tr>
        <w:tc>
          <w:tcPr/>
          <w:p>
            <w:pPr>
              <w:pStyle w:val="Compact"/>
              <w:jc w:val="left"/>
            </w:pPr>
            <w:r>
              <w:t xml:space="preserve">MSP-T77</w:t>
            </w:r>
          </w:p>
        </w:tc>
        <w:tc>
          <w:tcPr/>
          <w:p>
            <w:pPr>
              <w:pStyle w:val="Compact"/>
              <w:jc w:val="left"/>
            </w:pPr>
            <w:r>
              <w:t xml:space="preserve">AI translation omits material qualifier</w:t>
            </w:r>
          </w:p>
        </w:tc>
        <w:tc>
          <w:tcPr/>
          <w:p>
            <w:pPr>
              <w:pStyle w:val="Compact"/>
              <w:jc w:val="left"/>
            </w:pPr>
            <w:r>
              <w:t xml:space="preserve">Original preserved; human review and correction required</w:t>
            </w:r>
          </w:p>
        </w:tc>
      </w:tr>
      <w:tr>
        <w:tc>
          <w:tcPr/>
          <w:p>
            <w:pPr>
              <w:pStyle w:val="Compact"/>
              <w:jc w:val="left"/>
            </w:pPr>
            <w:r>
              <w:t xml:space="preserve">MSP-T78</w:t>
            </w:r>
          </w:p>
        </w:tc>
        <w:tc>
          <w:tcPr/>
          <w:p>
            <w:pPr>
              <w:pStyle w:val="Compact"/>
              <w:jc w:val="left"/>
            </w:pPr>
            <w:r>
              <w:t xml:space="preserve">Data subject request seeks witness identity</w:t>
            </w:r>
          </w:p>
        </w:tc>
        <w:tc>
          <w:tcPr/>
          <w:p>
            <w:pPr>
              <w:pStyle w:val="Compact"/>
              <w:jc w:val="left"/>
            </w:pPr>
            <w:r>
              <w:t xml:space="preserve">Identity withheld absent valid disclosure authority</w:t>
            </w:r>
          </w:p>
        </w:tc>
      </w:tr>
      <w:tr>
        <w:tc>
          <w:tcPr/>
          <w:p>
            <w:pPr>
              <w:pStyle w:val="Compact"/>
              <w:jc w:val="left"/>
            </w:pPr>
            <w:r>
              <w:t xml:space="preserve">MSP-T79</w:t>
            </w:r>
          </w:p>
        </w:tc>
        <w:tc>
          <w:tcPr/>
          <w:p>
            <w:pPr>
              <w:pStyle w:val="Compact"/>
              <w:jc w:val="left"/>
            </w:pPr>
            <w:r>
              <w:t xml:space="preserve">Offline device displays safeguarding subject in lock-screen notification</w:t>
            </w:r>
          </w:p>
        </w:tc>
        <w:tc>
          <w:tcPr/>
          <w:p>
            <w:pPr>
              <w:pStyle w:val="Compact"/>
              <w:jc w:val="left"/>
            </w:pPr>
            <w:r>
              <w:t xml:space="preserve">Sensitive content suppressed; incident or control failure recorded</w:t>
            </w:r>
          </w:p>
        </w:tc>
      </w:tr>
      <w:tr>
        <w:tc>
          <w:tcPr/>
          <w:p>
            <w:pPr>
              <w:pStyle w:val="Compact"/>
              <w:jc w:val="left"/>
            </w:pPr>
            <w:r>
              <w:t xml:space="preserve">MSP-T80</w:t>
            </w:r>
          </w:p>
        </w:tc>
        <w:tc>
          <w:tcPr/>
          <w:p>
            <w:pPr>
              <w:pStyle w:val="Compact"/>
              <w:jc w:val="left"/>
            </w:pPr>
            <w:r>
              <w:t xml:space="preserve">Provider advertises moderation and age-gating</w:t>
            </w:r>
          </w:p>
        </w:tc>
        <w:tc>
          <w:tcPr/>
          <w:p>
            <w:pPr>
              <w:pStyle w:val="Compact"/>
              <w:jc w:val="left"/>
            </w:pPr>
            <w:r>
              <w:t xml:space="preserve">Feature does not establish constitutional or external compliance claim</w:t>
            </w:r>
          </w:p>
        </w:tc>
      </w:tr>
    </w:tbl>
    <w:bookmarkEnd w:id="186"/>
    <w:bookmarkEnd w:id="187"/>
    <w:bookmarkStart w:id="190" w:name="X721d68e214b2738e4dffd3246b8d6d06137fd69"/>
    <w:p>
      <w:pPr>
        <w:pStyle w:val="Heading1"/>
      </w:pPr>
      <w:r>
        <w:t xml:space="preserve">Part XXI - Metrics, Monitoring, and Assurance</w:t>
      </w:r>
    </w:p>
    <w:bookmarkStart w:id="188" w:name="required-metric-families"/>
    <w:p>
      <w:pPr>
        <w:pStyle w:val="Heading2"/>
      </w:pPr>
      <w:r>
        <w:t xml:space="preserve">112. Required Metric Families</w:t>
      </w:r>
    </w:p>
    <w:p>
      <w:pPr>
        <w:pStyle w:val="FirstParagraph"/>
      </w:pPr>
      <w:r>
        <w:t xml:space="preserve">A later implementation should produce privacy-protective metrics for:</w:t>
      </w:r>
    </w:p>
    <w:p>
      <w:pPr>
        <w:pStyle w:val="Compact"/>
        <w:numPr>
          <w:ilvl w:val="0"/>
          <w:numId w:val="1060"/>
        </w:numPr>
      </w:pPr>
      <w:r>
        <w:t xml:space="preserve">blocked one-to-one adult-minor messaging attempts;</w:t>
      </w:r>
    </w:p>
    <w:p>
      <w:pPr>
        <w:pStyle w:val="Compact"/>
        <w:numPr>
          <w:ilvl w:val="0"/>
          <w:numId w:val="1060"/>
        </w:numPr>
      </w:pPr>
      <w:r>
        <w:t xml:space="preserve">guardian-inclusion failures;</w:t>
      </w:r>
    </w:p>
    <w:p>
      <w:pPr>
        <w:pStyle w:val="Compact"/>
        <w:numPr>
          <w:ilvl w:val="0"/>
          <w:numId w:val="1060"/>
        </w:numPr>
      </w:pPr>
      <w:r>
        <w:t xml:space="preserve">protected thread recipient changes;</w:t>
      </w:r>
    </w:p>
    <w:p>
      <w:pPr>
        <w:pStyle w:val="Compact"/>
        <w:numPr>
          <w:ilvl w:val="0"/>
          <w:numId w:val="1060"/>
        </w:numPr>
      </w:pPr>
      <w:r>
        <w:t xml:space="preserve">safeguarding intake volume and age;</w:t>
      </w:r>
    </w:p>
    <w:p>
      <w:pPr>
        <w:pStyle w:val="Compact"/>
        <w:numPr>
          <w:ilvl w:val="0"/>
          <w:numId w:val="1060"/>
        </w:numPr>
      </w:pPr>
      <w:r>
        <w:t xml:space="preserve">emergency escalations;</w:t>
      </w:r>
    </w:p>
    <w:p>
      <w:pPr>
        <w:pStyle w:val="Compact"/>
        <w:numPr>
          <w:ilvl w:val="0"/>
          <w:numId w:val="1060"/>
        </w:numPr>
      </w:pPr>
      <w:r>
        <w:t xml:space="preserve">protective restriction duration and review;</w:t>
      </w:r>
    </w:p>
    <w:p>
      <w:pPr>
        <w:pStyle w:val="Compact"/>
        <w:numPr>
          <w:ilvl w:val="0"/>
          <w:numId w:val="1060"/>
        </w:numPr>
      </w:pPr>
      <w:r>
        <w:t xml:space="preserve">adult eligibility expiration and revocation;</w:t>
      </w:r>
    </w:p>
    <w:p>
      <w:pPr>
        <w:pStyle w:val="Compact"/>
        <w:numPr>
          <w:ilvl w:val="0"/>
          <w:numId w:val="1060"/>
        </w:numPr>
      </w:pPr>
      <w:r>
        <w:t xml:space="preserve">pickup and transportation denial events;</w:t>
      </w:r>
    </w:p>
    <w:p>
      <w:pPr>
        <w:pStyle w:val="Compact"/>
        <w:numPr>
          <w:ilvl w:val="0"/>
          <w:numId w:val="1060"/>
        </w:numPr>
      </w:pPr>
      <w:r>
        <w:t xml:space="preserve">public-media withdrawal propagation;</w:t>
      </w:r>
    </w:p>
    <w:p>
      <w:pPr>
        <w:pStyle w:val="Compact"/>
        <w:numPr>
          <w:ilvl w:val="0"/>
          <w:numId w:val="1060"/>
        </w:numPr>
      </w:pPr>
      <w:r>
        <w:t xml:space="preserve">unauthorized access attempts;</w:t>
      </w:r>
    </w:p>
    <w:p>
      <w:pPr>
        <w:pStyle w:val="Compact"/>
        <w:numPr>
          <w:ilvl w:val="0"/>
          <w:numId w:val="1060"/>
        </w:numPr>
      </w:pPr>
      <w:r>
        <w:t xml:space="preserve">reporter-identity exposure incidents;</w:t>
      </w:r>
    </w:p>
    <w:p>
      <w:pPr>
        <w:pStyle w:val="Compact"/>
        <w:numPr>
          <w:ilvl w:val="0"/>
          <w:numId w:val="1060"/>
        </w:numPr>
      </w:pPr>
      <w:r>
        <w:t xml:space="preserve">offline revocation completion;</w:t>
      </w:r>
    </w:p>
    <w:p>
      <w:pPr>
        <w:pStyle w:val="Compact"/>
        <w:numPr>
          <w:ilvl w:val="0"/>
          <w:numId w:val="1060"/>
        </w:numPr>
      </w:pPr>
      <w:r>
        <w:t xml:space="preserve">appeal and correction timing;</w:t>
      </w:r>
    </w:p>
    <w:p>
      <w:pPr>
        <w:pStyle w:val="Compact"/>
        <w:numPr>
          <w:ilvl w:val="0"/>
          <w:numId w:val="1060"/>
        </w:numPr>
      </w:pPr>
      <w:r>
        <w:t xml:space="preserve">training and acknowledgment status;</w:t>
      </w:r>
    </w:p>
    <w:p>
      <w:pPr>
        <w:pStyle w:val="Compact"/>
        <w:numPr>
          <w:ilvl w:val="0"/>
          <w:numId w:val="1060"/>
        </w:numPr>
      </w:pPr>
      <w:r>
        <w:t xml:space="preserve">vendor and plugin access attempts;</w:t>
      </w:r>
    </w:p>
    <w:p>
      <w:pPr>
        <w:pStyle w:val="Compact"/>
        <w:numPr>
          <w:ilvl w:val="0"/>
          <w:numId w:val="1060"/>
        </w:numPr>
      </w:pPr>
      <w:r>
        <w:t xml:space="preserve">guardian delivery failures and no-guardian communication blocks;</w:t>
      </w:r>
    </w:p>
    <w:p>
      <w:pPr>
        <w:pStyle w:val="Compact"/>
        <w:numPr>
          <w:ilvl w:val="0"/>
          <w:numId w:val="1060"/>
        </w:numPr>
      </w:pPr>
      <w:r>
        <w:t xml:space="preserve">external-reporting workflow age and unresolved status;</w:t>
      </w:r>
    </w:p>
    <w:p>
      <w:pPr>
        <w:pStyle w:val="Compact"/>
        <w:numPr>
          <w:ilvl w:val="0"/>
          <w:numId w:val="1060"/>
        </w:numPr>
      </w:pPr>
      <w:r>
        <w:t xml:space="preserve">case conflict, recusal, and reassignment events;</w:t>
      </w:r>
    </w:p>
    <w:p>
      <w:pPr>
        <w:pStyle w:val="Compact"/>
        <w:numPr>
          <w:ilvl w:val="0"/>
          <w:numId w:val="1060"/>
        </w:numPr>
      </w:pPr>
      <w:r>
        <w:t xml:space="preserve">exceptional access and bulk export attempts;</w:t>
      </w:r>
    </w:p>
    <w:p>
      <w:pPr>
        <w:pStyle w:val="Compact"/>
        <w:numPr>
          <w:ilvl w:val="0"/>
          <w:numId w:val="1060"/>
        </w:numPr>
      </w:pPr>
      <w:r>
        <w:t xml:space="preserve">safety-plan age, scope, and review completion;</w:t>
      </w:r>
    </w:p>
    <w:p>
      <w:pPr>
        <w:pStyle w:val="Compact"/>
        <w:numPr>
          <w:ilvl w:val="0"/>
          <w:numId w:val="1060"/>
        </w:numPr>
      </w:pPr>
      <w:r>
        <w:t xml:space="preserve">case separation and linked-case disclosure failures.</w:t>
      </w:r>
    </w:p>
    <w:bookmarkEnd w:id="188"/>
    <w:bookmarkStart w:id="189" w:name="metric-misuse-prohibited"/>
    <w:p>
      <w:pPr>
        <w:pStyle w:val="Heading2"/>
      </w:pPr>
      <w:r>
        <w:t xml:space="preserve">113. Metric Misuse Prohibited</w:t>
      </w:r>
    </w:p>
    <w:p>
      <w:pPr>
        <w:pStyle w:val="FirstParagraph"/>
      </w:pPr>
      <w:r>
        <w:t xml:space="preserve">Metrics may not be used to:</w:t>
      </w:r>
    </w:p>
    <w:p>
      <w:pPr>
        <w:pStyle w:val="Compact"/>
        <w:numPr>
          <w:ilvl w:val="0"/>
          <w:numId w:val="1061"/>
        </w:numPr>
      </w:pPr>
      <w:r>
        <w:t xml:space="preserve">pressure reporters not to submit concerns;</w:t>
      </w:r>
    </w:p>
    <w:p>
      <w:pPr>
        <w:pStyle w:val="Compact"/>
        <w:numPr>
          <w:ilvl w:val="0"/>
          <w:numId w:val="1061"/>
        </w:numPr>
      </w:pPr>
      <w:r>
        <w:t xml:space="preserve">reward low report counts;</w:t>
      </w:r>
    </w:p>
    <w:p>
      <w:pPr>
        <w:pStyle w:val="Compact"/>
        <w:numPr>
          <w:ilvl w:val="0"/>
          <w:numId w:val="1061"/>
        </w:numPr>
      </w:pPr>
      <w:r>
        <w:t xml:space="preserve">penalize organizations merely for recording concerns;</w:t>
      </w:r>
    </w:p>
    <w:p>
      <w:pPr>
        <w:pStyle w:val="Compact"/>
        <w:numPr>
          <w:ilvl w:val="0"/>
          <w:numId w:val="1061"/>
        </w:numPr>
      </w:pPr>
      <w:r>
        <w:t xml:space="preserve">force premature closure;</w:t>
      </w:r>
    </w:p>
    <w:p>
      <w:pPr>
        <w:pStyle w:val="Compact"/>
        <w:numPr>
          <w:ilvl w:val="0"/>
          <w:numId w:val="1061"/>
        </w:numPr>
      </w:pPr>
      <w:r>
        <w:t xml:space="preserve">rank minors or reporters;</w:t>
      </w:r>
    </w:p>
    <w:p>
      <w:pPr>
        <w:pStyle w:val="Compact"/>
        <w:numPr>
          <w:ilvl w:val="0"/>
          <w:numId w:val="1061"/>
        </w:numPr>
      </w:pPr>
      <w:r>
        <w:t xml:space="preserve">infer guilt from report volume;</w:t>
      </w:r>
    </w:p>
    <w:p>
      <w:pPr>
        <w:pStyle w:val="Compact"/>
        <w:numPr>
          <w:ilvl w:val="0"/>
          <w:numId w:val="1061"/>
        </w:numPr>
      </w:pPr>
      <w:r>
        <w:t xml:space="preserve">create public safety scores without separate authority;</w:t>
      </w:r>
    </w:p>
    <w:p>
      <w:pPr>
        <w:pStyle w:val="Compact"/>
        <w:numPr>
          <w:ilvl w:val="0"/>
          <w:numId w:val="1061"/>
        </w:numPr>
      </w:pPr>
      <w:r>
        <w:t xml:space="preserve">measure staff performance by low report counts or short closure times;</w:t>
      </w:r>
    </w:p>
    <w:p>
      <w:pPr>
        <w:pStyle w:val="Compact"/>
        <w:numPr>
          <w:ilvl w:val="0"/>
          <w:numId w:val="1061"/>
        </w:numPr>
      </w:pPr>
      <w:r>
        <w:t xml:space="preserve">infer that an organization is safe because few concerns were recorded.</w:t>
      </w:r>
    </w:p>
    <w:bookmarkEnd w:id="189"/>
    <w:bookmarkEnd w:id="190"/>
    <w:bookmarkStart w:id="193" w:name="Xd88de79e62ebbb71077c6f57815f7d4495d1579"/>
    <w:p>
      <w:pPr>
        <w:pStyle w:val="Heading1"/>
      </w:pPr>
      <w:r>
        <w:t xml:space="preserve">Part XXII - Prohibited Conduct and Non-Waivable Rules</w:t>
      </w:r>
    </w:p>
    <w:bookmarkStart w:id="191" w:name="prohibited-conduct"/>
    <w:p>
      <w:pPr>
        <w:pStyle w:val="Heading2"/>
      </w:pPr>
      <w:r>
        <w:t xml:space="preserve">114. Prohibited Conduct</w:t>
      </w:r>
    </w:p>
    <w:p>
      <w:pPr>
        <w:pStyle w:val="FirstParagraph"/>
      </w:pPr>
      <w:r>
        <w:t xml:space="preserve">EquineSync and governed participants shall not:</w:t>
      </w:r>
    </w:p>
    <w:p>
      <w:pPr>
        <w:pStyle w:val="Compact"/>
        <w:numPr>
          <w:ilvl w:val="0"/>
          <w:numId w:val="1062"/>
        </w:numPr>
      </w:pPr>
      <w:r>
        <w:t xml:space="preserve">permit one-to-one ordinary adult-minor electronic messaging;</w:t>
      </w:r>
    </w:p>
    <w:p>
      <w:pPr>
        <w:pStyle w:val="Compact"/>
        <w:numPr>
          <w:ilvl w:val="0"/>
          <w:numId w:val="1062"/>
        </w:numPr>
      </w:pPr>
      <w:r>
        <w:t xml:space="preserve">allow hidden or disappearing adult-minor communication;</w:t>
      </w:r>
    </w:p>
    <w:p>
      <w:pPr>
        <w:pStyle w:val="Compact"/>
        <w:numPr>
          <w:ilvl w:val="0"/>
          <w:numId w:val="1062"/>
        </w:numPr>
      </w:pPr>
      <w:r>
        <w:t xml:space="preserve">infer guardian authority from payment or account control;</w:t>
      </w:r>
    </w:p>
    <w:p>
      <w:pPr>
        <w:pStyle w:val="Compact"/>
        <w:numPr>
          <w:ilvl w:val="0"/>
          <w:numId w:val="1062"/>
        </w:numPr>
      </w:pPr>
      <w:r>
        <w:t xml:space="preserve">create public minor profiles by default;</w:t>
      </w:r>
    </w:p>
    <w:p>
      <w:pPr>
        <w:pStyle w:val="Compact"/>
        <w:numPr>
          <w:ilvl w:val="0"/>
          <w:numId w:val="1062"/>
        </w:numPr>
      </w:pPr>
      <w:r>
        <w:t xml:space="preserve">expose precise minor location or schedules without valid authority;</w:t>
      </w:r>
    </w:p>
    <w:p>
      <w:pPr>
        <w:pStyle w:val="Compact"/>
        <w:numPr>
          <w:ilvl w:val="0"/>
          <w:numId w:val="1062"/>
        </w:numPr>
      </w:pPr>
      <w:r>
        <w:t xml:space="preserve">use protected data to train general or shared AI models;</w:t>
      </w:r>
    </w:p>
    <w:p>
      <w:pPr>
        <w:pStyle w:val="Compact"/>
        <w:numPr>
          <w:ilvl w:val="0"/>
          <w:numId w:val="1062"/>
        </w:numPr>
      </w:pPr>
      <w:r>
        <w:t xml:space="preserve">use AI as final safeguarding authority;</w:t>
      </w:r>
    </w:p>
    <w:p>
      <w:pPr>
        <w:pStyle w:val="Compact"/>
        <w:numPr>
          <w:ilvl w:val="0"/>
          <w:numId w:val="1062"/>
        </w:numPr>
      </w:pPr>
      <w:r>
        <w:t xml:space="preserve">allow administrators, plugins, or vendors to bypass protection;</w:t>
      </w:r>
    </w:p>
    <w:p>
      <w:pPr>
        <w:pStyle w:val="Compact"/>
        <w:numPr>
          <w:ilvl w:val="0"/>
          <w:numId w:val="1062"/>
        </w:numPr>
      </w:pPr>
      <w:r>
        <w:t xml:space="preserve">retaliate against reporters, witnesses, participants, or appellants;</w:t>
      </w:r>
    </w:p>
    <w:p>
      <w:pPr>
        <w:pStyle w:val="Compact"/>
        <w:numPr>
          <w:ilvl w:val="0"/>
          <w:numId w:val="1062"/>
        </w:numPr>
      </w:pPr>
      <w:r>
        <w:t xml:space="preserve">delete reports or evidence to simplify operations;</w:t>
      </w:r>
    </w:p>
    <w:p>
      <w:pPr>
        <w:pStyle w:val="Compact"/>
        <w:numPr>
          <w:ilvl w:val="0"/>
          <w:numId w:val="1062"/>
        </w:numPr>
      </w:pPr>
      <w:r>
        <w:t xml:space="preserve">represent allegations as findings or restrictions as guilt;</w:t>
      </w:r>
    </w:p>
    <w:p>
      <w:pPr>
        <w:pStyle w:val="Compact"/>
        <w:numPr>
          <w:ilvl w:val="0"/>
          <w:numId w:val="1062"/>
        </w:numPr>
      </w:pPr>
      <w:r>
        <w:t xml:space="preserve">create unverified cross-tenant blacklists;</w:t>
      </w:r>
    </w:p>
    <w:p>
      <w:pPr>
        <w:pStyle w:val="Compact"/>
        <w:numPr>
          <w:ilvl w:val="0"/>
          <w:numId w:val="1062"/>
        </w:numPr>
      </w:pPr>
      <w:r>
        <w:t xml:space="preserve">use facial recognition or biometric identification without founder-reserved authority;</w:t>
      </w:r>
    </w:p>
    <w:p>
      <w:pPr>
        <w:pStyle w:val="Compact"/>
        <w:numPr>
          <w:ilvl w:val="0"/>
          <w:numId w:val="1062"/>
        </w:numPr>
      </w:pPr>
      <w:r>
        <w:t xml:space="preserve">allow account closure to erase independent safeguarding duties;</w:t>
      </w:r>
    </w:p>
    <w:p>
      <w:pPr>
        <w:pStyle w:val="Compact"/>
        <w:numPr>
          <w:ilvl w:val="0"/>
          <w:numId w:val="1062"/>
        </w:numPr>
      </w:pPr>
      <w:r>
        <w:t xml:space="preserve">make public compliance claims without evidence and approval;</w:t>
      </w:r>
    </w:p>
    <w:p>
      <w:pPr>
        <w:pStyle w:val="Compact"/>
        <w:numPr>
          <w:ilvl w:val="0"/>
          <w:numId w:val="1062"/>
        </w:numPr>
      </w:pPr>
      <w:r>
        <w:t xml:space="preserve">delay or obstruct an applicable emergency or external reporting duty for internal approval;</w:t>
      </w:r>
    </w:p>
    <w:p>
      <w:pPr>
        <w:pStyle w:val="Compact"/>
        <w:numPr>
          <w:ilvl w:val="0"/>
          <w:numId w:val="1062"/>
        </w:numPr>
      </w:pPr>
      <w:r>
        <w:t xml:space="preserve">permit a conflicted or implicated person to control case intake, evidence, restriction, appeal, or closure;</w:t>
      </w:r>
    </w:p>
    <w:p>
      <w:pPr>
        <w:pStyle w:val="Compact"/>
        <w:numPr>
          <w:ilvl w:val="0"/>
          <w:numId w:val="1062"/>
        </w:numPr>
      </w:pPr>
      <w:r>
        <w:t xml:space="preserve">label an unsubstantiated, withdrawn, or unresolved report as false without an authorized determination;</w:t>
      </w:r>
    </w:p>
    <w:p>
      <w:pPr>
        <w:pStyle w:val="Compact"/>
        <w:numPr>
          <w:ilvl w:val="0"/>
          <w:numId w:val="1062"/>
        </w:numPr>
      </w:pPr>
      <w:r>
        <w:t xml:space="preserve">use horse care, facility access, debt, discounts, transportation, lodging, or special privileges as coercive leverage;</w:t>
      </w:r>
    </w:p>
    <w:p>
      <w:pPr>
        <w:pStyle w:val="Compact"/>
        <w:numPr>
          <w:ilvl w:val="0"/>
          <w:numId w:val="1062"/>
        </w:numPr>
      </w:pPr>
      <w:r>
        <w:t xml:space="preserve">expose safeguarding information through calendar, roster, search, export, notification, analytics, support, or backup surfaces after ordinary access is restricted;</w:t>
      </w:r>
    </w:p>
    <w:p>
      <w:pPr>
        <w:pStyle w:val="Compact"/>
        <w:numPr>
          <w:ilvl w:val="0"/>
          <w:numId w:val="1062"/>
        </w:numPr>
      </w:pPr>
      <w:r>
        <w:t xml:space="preserve">promise absolute confidentiality or anonymity that the system, law, or required process cannot guarantee.</w:t>
      </w:r>
    </w:p>
    <w:bookmarkEnd w:id="191"/>
    <w:bookmarkStart w:id="192" w:name="non-waivable-constitutional-floors"/>
    <w:p>
      <w:pPr>
        <w:pStyle w:val="Heading2"/>
      </w:pPr>
      <w:r>
        <w:t xml:space="preserve">115. Non-Waivable Constitutional Floors</w:t>
      </w:r>
    </w:p>
    <w:p>
      <w:pPr>
        <w:pStyle w:val="FirstParagraph"/>
      </w:pPr>
      <w:r>
        <w:t xml:space="preserve">No customer configuration, contract, waiver, guardian preference, role, or support action may waive:</w:t>
      </w:r>
    </w:p>
    <w:p>
      <w:pPr>
        <w:pStyle w:val="Compact"/>
        <w:numPr>
          <w:ilvl w:val="0"/>
          <w:numId w:val="1063"/>
        </w:numPr>
      </w:pPr>
      <w:r>
        <w:t xml:space="preserve">the guardian-inclusion rule for ordinary adult-minor electronic communication;</w:t>
      </w:r>
    </w:p>
    <w:p>
      <w:pPr>
        <w:pStyle w:val="Compact"/>
        <w:numPr>
          <w:ilvl w:val="0"/>
          <w:numId w:val="1063"/>
        </w:numPr>
      </w:pPr>
      <w:r>
        <w:t xml:space="preserve">protected safeguarding intake availability;</w:t>
      </w:r>
    </w:p>
    <w:p>
      <w:pPr>
        <w:pStyle w:val="Compact"/>
        <w:numPr>
          <w:ilvl w:val="0"/>
          <w:numId w:val="1063"/>
        </w:numPr>
      </w:pPr>
      <w:r>
        <w:t xml:space="preserve">non-retaliation;</w:t>
      </w:r>
    </w:p>
    <w:p>
      <w:pPr>
        <w:pStyle w:val="Compact"/>
        <w:numPr>
          <w:ilvl w:val="0"/>
          <w:numId w:val="1063"/>
        </w:numPr>
      </w:pPr>
      <w:r>
        <w:t xml:space="preserve">evidence and hold preservation;</w:t>
      </w:r>
    </w:p>
    <w:p>
      <w:pPr>
        <w:pStyle w:val="Compact"/>
        <w:numPr>
          <w:ilvl w:val="0"/>
          <w:numId w:val="1063"/>
        </w:numPr>
      </w:pPr>
      <w:r>
        <w:t xml:space="preserve">minimum necessary safeguarding access;</w:t>
      </w:r>
    </w:p>
    <w:p>
      <w:pPr>
        <w:pStyle w:val="Compact"/>
        <w:numPr>
          <w:ilvl w:val="0"/>
          <w:numId w:val="1063"/>
        </w:numPr>
      </w:pPr>
      <w:r>
        <w:t xml:space="preserve">AI final-decision prohibitions;</w:t>
      </w:r>
    </w:p>
    <w:p>
      <w:pPr>
        <w:pStyle w:val="Compact"/>
        <w:numPr>
          <w:ilvl w:val="0"/>
          <w:numId w:val="1063"/>
        </w:numPr>
      </w:pPr>
      <w:r>
        <w:t xml:space="preserve">no public-by-default treatment;</w:t>
      </w:r>
    </w:p>
    <w:p>
      <w:pPr>
        <w:pStyle w:val="Compact"/>
        <w:numPr>
          <w:ilvl w:val="0"/>
          <w:numId w:val="1063"/>
        </w:numPr>
      </w:pPr>
      <w:r>
        <w:t xml:space="preserve">no shared-model training;</w:t>
      </w:r>
    </w:p>
    <w:p>
      <w:pPr>
        <w:pStyle w:val="Compact"/>
        <w:numPr>
          <w:ilvl w:val="0"/>
          <w:numId w:val="1063"/>
        </w:numPr>
      </w:pPr>
      <w:r>
        <w:t xml:space="preserve">no authority by payment, account control, or technical capability;</w:t>
      </w:r>
    </w:p>
    <w:p>
      <w:pPr>
        <w:pStyle w:val="Compact"/>
        <w:numPr>
          <w:ilvl w:val="0"/>
          <w:numId w:val="1063"/>
        </w:numPr>
      </w:pPr>
      <w:r>
        <w:t xml:space="preserve">no internal delay or obstruction of an applicable external reporting duty;</w:t>
      </w:r>
    </w:p>
    <w:p>
      <w:pPr>
        <w:pStyle w:val="Compact"/>
        <w:numPr>
          <w:ilvl w:val="0"/>
          <w:numId w:val="1063"/>
        </w:numPr>
      </w:pPr>
      <w:r>
        <w:t xml:space="preserve">no conflicted control of a safeguarding matter;</w:t>
      </w:r>
    </w:p>
    <w:p>
      <w:pPr>
        <w:pStyle w:val="Compact"/>
        <w:numPr>
          <w:ilvl w:val="0"/>
          <w:numId w:val="1063"/>
        </w:numPr>
      </w:pPr>
      <w:r>
        <w:t xml:space="preserve">no classification of an unsubstantiated report as knowingly false without separate evidence and review.</w:t>
      </w:r>
    </w:p>
    <w:bookmarkEnd w:id="192"/>
    <w:bookmarkEnd w:id="193"/>
    <w:bookmarkStart w:id="196" w:name="X732b3732899eb80cfb818dbb25b13b9992aa1b1"/>
    <w:p>
      <w:pPr>
        <w:pStyle w:val="Heading1"/>
      </w:pPr>
      <w:r>
        <w:t xml:space="preserve">Part XXIII - Exceptions and Founder-Reserved Authority</w:t>
      </w:r>
    </w:p>
    <w:bookmarkStart w:id="194" w:name="exception-requirements"/>
    <w:p>
      <w:pPr>
        <w:pStyle w:val="Heading2"/>
      </w:pPr>
      <w:r>
        <w:t xml:space="preserve">116. Exception Requirements</w:t>
      </w:r>
    </w:p>
    <w:p>
      <w:pPr>
        <w:pStyle w:val="FirstParagraph"/>
      </w:pPr>
      <w:r>
        <w:t xml:space="preserve">No exception may authorize unlawful conduct, defeat an external reporting duty, or waive a right that cannot lawfully be waived. A valid exception requires:</w:t>
      </w:r>
    </w:p>
    <w:p>
      <w:pPr>
        <w:pStyle w:val="Compact"/>
        <w:numPr>
          <w:ilvl w:val="0"/>
          <w:numId w:val="1064"/>
        </w:numPr>
      </w:pPr>
      <w:r>
        <w:t xml:space="preserve">identified constitutional provision;</w:t>
      </w:r>
    </w:p>
    <w:p>
      <w:pPr>
        <w:pStyle w:val="Compact"/>
        <w:numPr>
          <w:ilvl w:val="0"/>
          <w:numId w:val="1064"/>
        </w:numPr>
      </w:pPr>
      <w:r>
        <w:t xml:space="preserve">necessity;</w:t>
      </w:r>
    </w:p>
    <w:p>
      <w:pPr>
        <w:pStyle w:val="Compact"/>
        <w:numPr>
          <w:ilvl w:val="0"/>
          <w:numId w:val="1064"/>
        </w:numPr>
      </w:pPr>
      <w:r>
        <w:t xml:space="preserve">legal or safety basis;</w:t>
      </w:r>
    </w:p>
    <w:p>
      <w:pPr>
        <w:pStyle w:val="Compact"/>
        <w:numPr>
          <w:ilvl w:val="0"/>
          <w:numId w:val="1064"/>
        </w:numPr>
      </w:pPr>
      <w:r>
        <w:t xml:space="preserve">scope;</w:t>
      </w:r>
    </w:p>
    <w:p>
      <w:pPr>
        <w:pStyle w:val="Compact"/>
        <w:numPr>
          <w:ilvl w:val="0"/>
          <w:numId w:val="1064"/>
        </w:numPr>
      </w:pPr>
      <w:r>
        <w:t xml:space="preserve">affected participants;</w:t>
      </w:r>
    </w:p>
    <w:p>
      <w:pPr>
        <w:pStyle w:val="Compact"/>
        <w:numPr>
          <w:ilvl w:val="0"/>
          <w:numId w:val="1064"/>
        </w:numPr>
      </w:pPr>
      <w:r>
        <w:t xml:space="preserve">duration;</w:t>
      </w:r>
    </w:p>
    <w:p>
      <w:pPr>
        <w:pStyle w:val="Compact"/>
        <w:numPr>
          <w:ilvl w:val="0"/>
          <w:numId w:val="1064"/>
        </w:numPr>
      </w:pPr>
      <w:r>
        <w:t xml:space="preserve">compensating controls;</w:t>
      </w:r>
    </w:p>
    <w:p>
      <w:pPr>
        <w:pStyle w:val="Compact"/>
        <w:numPr>
          <w:ilvl w:val="0"/>
          <w:numId w:val="1064"/>
        </w:numPr>
      </w:pPr>
      <w:r>
        <w:t xml:space="preserve">qualified approval;</w:t>
      </w:r>
    </w:p>
    <w:p>
      <w:pPr>
        <w:pStyle w:val="Compact"/>
        <w:numPr>
          <w:ilvl w:val="0"/>
          <w:numId w:val="1064"/>
        </w:numPr>
      </w:pPr>
      <w:r>
        <w:t xml:space="preserve">evidence;</w:t>
      </w:r>
    </w:p>
    <w:p>
      <w:pPr>
        <w:pStyle w:val="Compact"/>
        <w:numPr>
          <w:ilvl w:val="0"/>
          <w:numId w:val="1064"/>
        </w:numPr>
      </w:pPr>
      <w:r>
        <w:t xml:space="preserve">review and closure date.</w:t>
      </w:r>
    </w:p>
    <w:bookmarkEnd w:id="194"/>
    <w:bookmarkStart w:id="195" w:name="founder-reserved-decisions"/>
    <w:p>
      <w:pPr>
        <w:pStyle w:val="Heading2"/>
      </w:pPr>
      <w:r>
        <w:t xml:space="preserve">117. Founder-Reserved Decisions</w:t>
      </w:r>
    </w:p>
    <w:p>
      <w:pPr>
        <w:pStyle w:val="FirstParagraph"/>
      </w:pPr>
      <w:r>
        <w:t xml:space="preserve">Founder approval is required to:</w:t>
      </w:r>
    </w:p>
    <w:p>
      <w:pPr>
        <w:pStyle w:val="Compact"/>
        <w:numPr>
          <w:ilvl w:val="0"/>
          <w:numId w:val="1065"/>
        </w:numPr>
      </w:pPr>
      <w:r>
        <w:t xml:space="preserve">weaken or remove the guardian-inclusion rule;</w:t>
      </w:r>
    </w:p>
    <w:p>
      <w:pPr>
        <w:pStyle w:val="Compact"/>
        <w:numPr>
          <w:ilvl w:val="0"/>
          <w:numId w:val="1065"/>
        </w:numPr>
      </w:pPr>
      <w:r>
        <w:t xml:space="preserve">authorize a new class of one-to-one adult-minor communication;</w:t>
      </w:r>
    </w:p>
    <w:p>
      <w:pPr>
        <w:pStyle w:val="Compact"/>
        <w:numPr>
          <w:ilvl w:val="0"/>
          <w:numId w:val="1065"/>
        </w:numPr>
      </w:pPr>
      <w:r>
        <w:t xml:space="preserve">authorize biometric identification or human emotion inference;</w:t>
      </w:r>
    </w:p>
    <w:p>
      <w:pPr>
        <w:pStyle w:val="Compact"/>
        <w:numPr>
          <w:ilvl w:val="0"/>
          <w:numId w:val="1065"/>
        </w:numPr>
      </w:pPr>
      <w:r>
        <w:t xml:space="preserve">authorize shared-model training on protected data;</w:t>
      </w:r>
    </w:p>
    <w:p>
      <w:pPr>
        <w:pStyle w:val="Compact"/>
        <w:numPr>
          <w:ilvl w:val="0"/>
          <w:numId w:val="1065"/>
        </w:numPr>
      </w:pPr>
      <w:r>
        <w:t xml:space="preserve">create a cross-tenant safeguarding registry or risk list;</w:t>
      </w:r>
    </w:p>
    <w:p>
      <w:pPr>
        <w:pStyle w:val="Compact"/>
        <w:numPr>
          <w:ilvl w:val="0"/>
          <w:numId w:val="1065"/>
        </w:numPr>
      </w:pPr>
      <w:r>
        <w:t xml:space="preserve">permit public-by-default minor discoverability;</w:t>
      </w:r>
    </w:p>
    <w:p>
      <w:pPr>
        <w:pStyle w:val="Compact"/>
        <w:numPr>
          <w:ilvl w:val="0"/>
          <w:numId w:val="1065"/>
        </w:numPr>
      </w:pPr>
      <w:r>
        <w:t xml:space="preserve">remove protected-reporting access;</w:t>
      </w:r>
    </w:p>
    <w:p>
      <w:pPr>
        <w:pStyle w:val="Compact"/>
        <w:numPr>
          <w:ilvl w:val="0"/>
          <w:numId w:val="1065"/>
        </w:numPr>
      </w:pPr>
      <w:r>
        <w:t xml:space="preserve">weaken evidence preservation or non-retaliation;</w:t>
      </w:r>
    </w:p>
    <w:p>
      <w:pPr>
        <w:pStyle w:val="Compact"/>
        <w:numPr>
          <w:ilvl w:val="0"/>
          <w:numId w:val="1065"/>
        </w:numPr>
      </w:pPr>
      <w:r>
        <w:t xml:space="preserve">make a public SafeSport, safeguarding, compliance, or safety claim;</w:t>
      </w:r>
    </w:p>
    <w:p>
      <w:pPr>
        <w:pStyle w:val="Compact"/>
        <w:numPr>
          <w:ilvl w:val="0"/>
          <w:numId w:val="1065"/>
        </w:numPr>
      </w:pPr>
      <w:r>
        <w:t xml:space="preserve">adopt, lock, or authorize implementation of this Model.</w:t>
      </w:r>
    </w:p>
    <w:p>
      <w:pPr>
        <w:pStyle w:val="FirstParagraph"/>
      </w:pPr>
      <w:r>
        <w:t xml:space="preserve">Founder authority does not substitute for applicable law, emergency services, a court, a professional regulator, or a governing body acting within its jurisdiction. Founder approval cannot authorize an unlawful action or create an external certification.</w:t>
      </w:r>
    </w:p>
    <w:bookmarkEnd w:id="195"/>
    <w:bookmarkEnd w:id="196"/>
    <w:bookmarkStart w:id="202" w:name="X3a1a32fc997b04b0549fabda93c84054be2c57c"/>
    <w:p>
      <w:pPr>
        <w:pStyle w:val="Heading1"/>
      </w:pPr>
      <w:r>
        <w:t xml:space="preserve">Part XXIV - Lifecycle and Authorization Boundary</w:t>
      </w:r>
    </w:p>
    <w:bookmarkStart w:id="197" w:name="draft-status"/>
    <w:p>
      <w:pPr>
        <w:pStyle w:val="Heading2"/>
      </w:pPr>
      <w:r>
        <w:t xml:space="preserve">118. Draft Status</w:t>
      </w:r>
    </w:p>
    <w:p>
      <w:pPr>
        <w:pStyle w:val="FirstParagraph"/>
      </w:pPr>
      <w:r>
        <w:t xml:space="preserve">This V1.1 document is the reviewed and expanded controlled constitutional draft prepared under founder-approved decisions and the substantive review of V1.0. It is ready for founder review and focused cross-canon validation against the dedicated equine-health draft, controlling communication, permission, privacy, record, media, search, AI, security, and platform governance.</w:t>
      </w:r>
    </w:p>
    <w:bookmarkEnd w:id="197"/>
    <w:bookmarkStart w:id="198" w:name="no-automatic-adoption-or-lock"/>
    <w:p>
      <w:pPr>
        <w:pStyle w:val="Heading2"/>
      </w:pPr>
      <w:r>
        <w:t xml:space="preserve">119. No Automatic Adoption or Lock</w:t>
      </w:r>
    </w:p>
    <w:p>
      <w:pPr>
        <w:pStyle w:val="FirstParagraph"/>
      </w:pPr>
      <w:r>
        <w:t xml:space="preserve">Completion, review, consistency validation, or founder discussion does not independently create adoption or lock.</w:t>
      </w:r>
    </w:p>
    <w:bookmarkEnd w:id="198"/>
    <w:bookmarkStart w:id="199" w:name="no-implementation-authority"/>
    <w:p>
      <w:pPr>
        <w:pStyle w:val="Heading2"/>
      </w:pPr>
      <w:r>
        <w:t xml:space="preserve">120. No Implementation Authority</w:t>
      </w:r>
    </w:p>
    <w:p>
      <w:pPr>
        <w:pStyle w:val="FirstParagraph"/>
      </w:pPr>
      <w:r>
        <w:t xml:space="preserve">This draft authorizes only:</w:t>
      </w:r>
    </w:p>
    <w:p>
      <w:pPr>
        <w:pStyle w:val="Compact"/>
        <w:numPr>
          <w:ilvl w:val="0"/>
          <w:numId w:val="1066"/>
        </w:numPr>
      </w:pPr>
      <w:r>
        <w:t xml:space="preserve">controlled review;</w:t>
      </w:r>
    </w:p>
    <w:p>
      <w:pPr>
        <w:pStyle w:val="Compact"/>
        <w:numPr>
          <w:ilvl w:val="0"/>
          <w:numId w:val="1066"/>
        </w:numPr>
      </w:pPr>
      <w:r>
        <w:t xml:space="preserve">cross-canon reconciliation;</w:t>
      </w:r>
    </w:p>
    <w:p>
      <w:pPr>
        <w:pStyle w:val="Compact"/>
        <w:numPr>
          <w:ilvl w:val="0"/>
          <w:numId w:val="1066"/>
        </w:numPr>
      </w:pPr>
      <w:r>
        <w:t xml:space="preserve">requirement and traceability preparation;</w:t>
      </w:r>
    </w:p>
    <w:p>
      <w:pPr>
        <w:pStyle w:val="Compact"/>
        <w:numPr>
          <w:ilvl w:val="0"/>
          <w:numId w:val="1066"/>
        </w:numPr>
      </w:pPr>
      <w:r>
        <w:t xml:space="preserve">subordinate-artifact planning;</w:t>
      </w:r>
    </w:p>
    <w:p>
      <w:pPr>
        <w:pStyle w:val="Compact"/>
        <w:numPr>
          <w:ilvl w:val="0"/>
          <w:numId w:val="1066"/>
        </w:numPr>
      </w:pPr>
      <w:r>
        <w:t xml:space="preserve">non-production test planning;</w:t>
      </w:r>
    </w:p>
    <w:p>
      <w:pPr>
        <w:pStyle w:val="Compact"/>
        <w:numPr>
          <w:ilvl w:val="0"/>
          <w:numId w:val="1066"/>
        </w:numPr>
      </w:pPr>
      <w:r>
        <w:t xml:space="preserve">founder-review package preparation.</w:t>
      </w:r>
    </w:p>
    <w:p>
      <w:pPr>
        <w:pStyle w:val="FirstParagraph"/>
      </w:pPr>
      <w:r>
        <w:t xml:space="preserve">It does not authorize:</w:t>
      </w:r>
    </w:p>
    <w:p>
      <w:pPr>
        <w:pStyle w:val="Compact"/>
        <w:numPr>
          <w:ilvl w:val="0"/>
          <w:numId w:val="1067"/>
        </w:numPr>
      </w:pPr>
      <w:r>
        <w:t xml:space="preserve">schema creation;</w:t>
      </w:r>
    </w:p>
    <w:p>
      <w:pPr>
        <w:pStyle w:val="Compact"/>
        <w:numPr>
          <w:ilvl w:val="0"/>
          <w:numId w:val="1067"/>
        </w:numPr>
      </w:pPr>
      <w:r>
        <w:t xml:space="preserve">messaging enforcement deployment;</w:t>
      </w:r>
    </w:p>
    <w:p>
      <w:pPr>
        <w:pStyle w:val="Compact"/>
        <w:numPr>
          <w:ilvl w:val="0"/>
          <w:numId w:val="1067"/>
        </w:numPr>
      </w:pPr>
      <w:r>
        <w:t xml:space="preserve">safeguarding-case activation;</w:t>
      </w:r>
    </w:p>
    <w:p>
      <w:pPr>
        <w:pStyle w:val="Compact"/>
        <w:numPr>
          <w:ilvl w:val="0"/>
          <w:numId w:val="1067"/>
        </w:numPr>
      </w:pPr>
      <w:r>
        <w:t xml:space="preserve">customer-data ingestion;</w:t>
      </w:r>
    </w:p>
    <w:p>
      <w:pPr>
        <w:pStyle w:val="Compact"/>
        <w:numPr>
          <w:ilvl w:val="0"/>
          <w:numId w:val="1067"/>
        </w:numPr>
      </w:pPr>
      <w:r>
        <w:t xml:space="preserve">eligibility screening activation;</w:t>
      </w:r>
    </w:p>
    <w:p>
      <w:pPr>
        <w:pStyle w:val="Compact"/>
        <w:numPr>
          <w:ilvl w:val="0"/>
          <w:numId w:val="1067"/>
        </w:numPr>
      </w:pPr>
      <w:r>
        <w:t xml:space="preserve">vendor or processor use;</w:t>
      </w:r>
    </w:p>
    <w:p>
      <w:pPr>
        <w:pStyle w:val="Compact"/>
        <w:numPr>
          <w:ilvl w:val="0"/>
          <w:numId w:val="1067"/>
        </w:numPr>
      </w:pPr>
      <w:r>
        <w:t xml:space="preserve">AI safeguarding processing;</w:t>
      </w:r>
    </w:p>
    <w:p>
      <w:pPr>
        <w:pStyle w:val="Compact"/>
        <w:numPr>
          <w:ilvl w:val="0"/>
          <w:numId w:val="1067"/>
        </w:numPr>
      </w:pPr>
      <w:r>
        <w:t xml:space="preserve">offline access;</w:t>
      </w:r>
    </w:p>
    <w:p>
      <w:pPr>
        <w:pStyle w:val="Compact"/>
        <w:numPr>
          <w:ilvl w:val="0"/>
          <w:numId w:val="1067"/>
        </w:numPr>
      </w:pPr>
      <w:r>
        <w:t xml:space="preserve">production restriction;</w:t>
      </w:r>
    </w:p>
    <w:p>
      <w:pPr>
        <w:pStyle w:val="Compact"/>
        <w:numPr>
          <w:ilvl w:val="0"/>
          <w:numId w:val="1067"/>
        </w:numPr>
      </w:pPr>
      <w:r>
        <w:t xml:space="preserve">public compliance claims;</w:t>
      </w:r>
    </w:p>
    <w:p>
      <w:pPr>
        <w:pStyle w:val="Compact"/>
        <w:numPr>
          <w:ilvl w:val="0"/>
          <w:numId w:val="1067"/>
        </w:numPr>
      </w:pPr>
      <w:r>
        <w:t xml:space="preserve">public launch.</w:t>
      </w:r>
    </w:p>
    <w:bookmarkEnd w:id="199"/>
    <w:bookmarkStart w:id="201" w:name="review-disposition"/>
    <w:p>
      <w:pPr>
        <w:pStyle w:val="Heading2"/>
      </w:pPr>
      <w:r>
        <w:t xml:space="preserve">121. Review Disposition</w:t>
      </w:r>
    </w:p>
    <w:p>
      <w:pPr>
        <w:pStyle w:val="FirstParagraph"/>
      </w:pPr>
      <w:r>
        <w:rPr>
          <w:rStyle w:val="VerbatimChar"/>
        </w:rPr>
        <w:t xml:space="preserve">MASTER_MINOR_GUARDIANSHIP_SAFEGUARDING_AND_PROTECTED_PARTICIPANT_MODEL_V1_1_REVIEWED_DRAFT_READY_FOR_FOUNDER_REVIEW</w:t>
      </w:r>
    </w:p>
    <w:bookmarkStart w:id="200" w:name="review-finding-summary"/>
    <w:p>
      <w:pPr>
        <w:pStyle w:val="Heading3"/>
      </w:pPr>
      <w:r>
        <w:t xml:space="preserve">Review Finding Summary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Severity</w:t>
            </w:r>
          </w:p>
        </w:tc>
        <w:tc>
          <w:tcPr/>
          <w:p>
            <w:pPr>
              <w:pStyle w:val="Compact"/>
              <w:jc w:val="right"/>
            </w:pPr>
            <w:r>
              <w:t xml:space="preserve">Open After Revision</w:t>
            </w:r>
          </w:p>
        </w:tc>
        <w:tc>
          <w:tcPr/>
          <w:p>
            <w:pPr>
              <w:pStyle w:val="Compact"/>
              <w:jc w:val="left"/>
            </w:pPr>
            <w:r>
              <w:t xml:space="preserve">Disposition</w:t>
            </w:r>
          </w:p>
        </w:tc>
      </w:tr>
      <w:tr>
        <w:tc>
          <w:tcPr/>
          <w:p>
            <w:pPr>
              <w:pStyle w:val="Compact"/>
              <w:jc w:val="left"/>
            </w:pPr>
            <w:r>
              <w:t xml:space="preserve">P0 Critical Constitutional Defects</w:t>
            </w:r>
          </w:p>
        </w:tc>
        <w:tc>
          <w:tcPr/>
          <w:p>
            <w:pPr>
              <w:pStyle w:val="Compact"/>
              <w:jc w:val="right"/>
            </w:pPr>
            <w:r>
              <w:t xml:space="preserve">0</w:t>
            </w:r>
          </w:p>
        </w:tc>
        <w:tc>
          <w:tcPr/>
          <w:p>
            <w:pPr>
              <w:pStyle w:val="Compact"/>
              <w:jc w:val="left"/>
            </w:pPr>
            <w:r>
              <w:t xml:space="preserve">None identified</w:t>
            </w:r>
          </w:p>
        </w:tc>
      </w:tr>
      <w:tr>
        <w:tc>
          <w:tcPr/>
          <w:p>
            <w:pPr>
              <w:pStyle w:val="Compact"/>
              <w:jc w:val="left"/>
            </w:pPr>
            <w:r>
              <w:t xml:space="preserve">P1 Material Drafting Defects</w:t>
            </w:r>
          </w:p>
        </w:tc>
        <w:tc>
          <w:tcPr/>
          <w:p>
            <w:pPr>
              <w:pStyle w:val="Compact"/>
              <w:jc w:val="right"/>
            </w:pPr>
            <w:r>
              <w:t xml:space="preserve">0</w:t>
            </w:r>
          </w:p>
        </w:tc>
        <w:tc>
          <w:tcPr/>
          <w:p>
            <w:pPr>
              <w:pStyle w:val="Compact"/>
              <w:jc w:val="left"/>
            </w:pPr>
            <w:r>
              <w:t xml:space="preserve">Mandatory-reporting, conflict, communication-delivery, case-separation, and fairness gaps corrected in V1.1</w:t>
            </w:r>
          </w:p>
        </w:tc>
      </w:tr>
      <w:tr>
        <w:tc>
          <w:tcPr/>
          <w:p>
            <w:pPr>
              <w:pStyle w:val="Compact"/>
              <w:jc w:val="left"/>
            </w:pPr>
            <w:r>
              <w:t xml:space="preserve">P2 Pre-Implementation Handoffs</w:t>
            </w:r>
          </w:p>
        </w:tc>
        <w:tc>
          <w:tcPr/>
          <w:p>
            <w:pPr>
              <w:pStyle w:val="Compact"/>
              <w:jc w:val="right"/>
            </w:pPr>
            <w:r>
              <w:t xml:space="preserve">18</w:t>
            </w:r>
          </w:p>
        </w:tc>
        <w:tc>
          <w:tcPr/>
          <w:p>
            <w:pPr>
              <w:pStyle w:val="Compact"/>
              <w:jc w:val="left"/>
            </w:pPr>
            <w:r>
              <w:t xml:space="preserve">Retained as subordinate registers, standards, tests, and evidence requirements</w:t>
            </w:r>
          </w:p>
        </w:tc>
      </w:tr>
      <w:tr>
        <w:tc>
          <w:tcPr/>
          <w:p>
            <w:pPr>
              <w:pStyle w:val="Compact"/>
              <w:jc w:val="left"/>
            </w:pPr>
            <w:r>
              <w:t xml:space="preserve">External compliance claims</w:t>
            </w:r>
          </w:p>
        </w:tc>
        <w:tc>
          <w:tcPr/>
          <w:p>
            <w:pPr>
              <w:pStyle w:val="Compact"/>
              <w:jc w:val="right"/>
            </w:pPr>
            <w:r>
              <w:t xml:space="preserve">Not authorized</w:t>
            </w:r>
          </w:p>
        </w:tc>
        <w:tc>
          <w:tcPr/>
          <w:p>
            <w:pPr>
              <w:pStyle w:val="Compact"/>
              <w:jc w:val="left"/>
            </w:pPr>
            <w:r>
              <w:t xml:space="preserve">Separate current-law, governing-body, implementation, and founder claim review required</w:t>
            </w:r>
          </w:p>
        </w:tc>
      </w:tr>
    </w:tbl>
    <w:p>
      <w:pPr>
        <w:pStyle w:val="BodyText"/>
      </w:pPr>
      <w:r>
        <w:t xml:space="preserve">No adoption, lock, implementation, production, external certification, public safeguarding claim, or public launch authority is created by this reviewed draft.</w:t>
      </w:r>
    </w:p>
    <w:bookmarkEnd w:id="200"/>
    <w:bookmarkEnd w:id="201"/>
    <w:bookmarkEnd w:id="202"/>
    <w:bookmarkStart w:id="203" w:name="Xb12aff3c4f66db47730cbb51102b7ca0cfe238a"/>
    <w:p>
      <w:pPr>
        <w:pStyle w:val="Heading1"/>
      </w:pPr>
      <w:r>
        <w:t xml:space="preserve">Appendix A - Founder Decision Traceability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Founder Disposition</w:t>
            </w:r>
          </w:p>
        </w:tc>
        <w:tc>
          <w:tcPr/>
          <w:p>
            <w:pPr>
              <w:pStyle w:val="Compact"/>
              <w:jc w:val="left"/>
            </w:pPr>
            <w:r>
              <w:t xml:space="preserve">Principal Sections</w:t>
            </w:r>
          </w:p>
        </w:tc>
      </w:tr>
      <w:tr>
        <w:tc>
          <w:tcPr/>
          <w:p>
            <w:pPr>
              <w:pStyle w:val="Compact"/>
              <w:jc w:val="left"/>
            </w:pPr>
            <w:r>
              <w:t xml:space="preserve">FD-MSP01 Domain boundary</w:t>
            </w:r>
          </w:p>
        </w:tc>
        <w:tc>
          <w:tcPr/>
          <w:p>
            <w:pPr>
              <w:pStyle w:val="Compact"/>
              <w:jc w:val="left"/>
            </w:pPr>
            <w:r>
              <w:t xml:space="preserve">Approved as recommended</w:t>
            </w:r>
          </w:p>
        </w:tc>
        <w:tc>
          <w:tcPr/>
          <w:p>
            <w:pPr>
              <w:pStyle w:val="Compact"/>
              <w:jc w:val="left"/>
            </w:pPr>
            <w:r>
              <w:t xml:space="preserve">2-5, 54-57</w:t>
            </w:r>
          </w:p>
        </w:tc>
      </w:tr>
      <w:tr>
        <w:tc>
          <w:tcPr/>
          <w:p>
            <w:pPr>
              <w:pStyle w:val="Compact"/>
              <w:jc w:val="left"/>
            </w:pPr>
            <w:r>
              <w:t xml:space="preserve">FD-MSP02 Protected-participant definition</w:t>
            </w:r>
          </w:p>
        </w:tc>
        <w:tc>
          <w:tcPr/>
          <w:p>
            <w:pPr>
              <w:pStyle w:val="Compact"/>
              <w:jc w:val="left"/>
            </w:pPr>
            <w:r>
              <w:t xml:space="preserve">Approved as recommended</w:t>
            </w:r>
          </w:p>
        </w:tc>
        <w:tc>
          <w:tcPr/>
          <w:p>
            <w:pPr>
              <w:pStyle w:val="Compact"/>
              <w:jc w:val="left"/>
            </w:pPr>
            <w:r>
              <w:t xml:space="preserve">6.2, 9-10</w:t>
            </w:r>
          </w:p>
        </w:tc>
      </w:tr>
      <w:tr>
        <w:tc>
          <w:tcPr/>
          <w:p>
            <w:pPr>
              <w:pStyle w:val="Compact"/>
              <w:jc w:val="left"/>
            </w:pPr>
            <w:r>
              <w:t xml:space="preserve">FD-MSP03 Age and jurisdiction</w:t>
            </w:r>
          </w:p>
        </w:tc>
        <w:tc>
          <w:tcPr/>
          <w:p>
            <w:pPr>
              <w:pStyle w:val="Compact"/>
              <w:jc w:val="left"/>
            </w:pPr>
            <w:r>
              <w:t xml:space="preserve">Approved as recommended</w:t>
            </w:r>
          </w:p>
        </w:tc>
        <w:tc>
          <w:tcPr/>
          <w:p>
            <w:pPr>
              <w:pStyle w:val="Compact"/>
              <w:jc w:val="left"/>
            </w:pPr>
            <w:r>
              <w:t xml:space="preserve">6.1, 8, 81-84</w:t>
            </w:r>
          </w:p>
        </w:tc>
      </w:tr>
      <w:tr>
        <w:tc>
          <w:tcPr/>
          <w:p>
            <w:pPr>
              <w:pStyle w:val="Compact"/>
              <w:jc w:val="left"/>
            </w:pPr>
            <w:r>
              <w:t xml:space="preserve">FD-MSP04 Guardian authority and conflicts</w:t>
            </w:r>
          </w:p>
        </w:tc>
        <w:tc>
          <w:tcPr/>
          <w:p>
            <w:pPr>
              <w:pStyle w:val="Compact"/>
              <w:jc w:val="left"/>
            </w:pPr>
            <w:r>
              <w:t xml:space="preserve">Approved as recommended</w:t>
            </w:r>
          </w:p>
        </w:tc>
        <w:tc>
          <w:tcPr/>
          <w:p>
            <w:pPr>
              <w:pStyle w:val="Compact"/>
              <w:jc w:val="left"/>
            </w:pPr>
            <w:r>
              <w:t xml:space="preserve">13-18, 50</w:t>
            </w:r>
          </w:p>
        </w:tc>
      </w:tr>
      <w:tr>
        <w:tc>
          <w:tcPr/>
          <w:p>
            <w:pPr>
              <w:pStyle w:val="Compact"/>
              <w:jc w:val="left"/>
            </w:pPr>
            <w:r>
              <w:t xml:space="preserve">FD-MSP05 Assent and refusal</w:t>
            </w:r>
          </w:p>
        </w:tc>
        <w:tc>
          <w:tcPr/>
          <w:p>
            <w:pPr>
              <w:pStyle w:val="Compact"/>
              <w:jc w:val="left"/>
            </w:pPr>
            <w:r>
              <w:t xml:space="preserve">Approved as recommended</w:t>
            </w:r>
          </w:p>
        </w:tc>
        <w:tc>
          <w:tcPr/>
          <w:p>
            <w:pPr>
              <w:pStyle w:val="Compact"/>
              <w:jc w:val="left"/>
            </w:pPr>
            <w:r>
              <w:t xml:space="preserve">11-12, 61-62</w:t>
            </w:r>
          </w:p>
        </w:tc>
      </w:tr>
      <w:tr>
        <w:tc>
          <w:tcPr/>
          <w:p>
            <w:pPr>
              <w:pStyle w:val="Compact"/>
              <w:jc w:val="left"/>
            </w:pPr>
            <w:r>
              <w:t xml:space="preserve">FD-MSP06 Direct communications</w:t>
            </w:r>
          </w:p>
        </w:tc>
        <w:tc>
          <w:tcPr/>
          <w:p>
            <w:pPr>
              <w:pStyle w:val="Compact"/>
              <w:jc w:val="left"/>
            </w:pPr>
            <w:r>
              <w:t xml:space="preserve">Approved with modification</w:t>
            </w:r>
          </w:p>
        </w:tc>
        <w:tc>
          <w:tcPr/>
          <w:p>
            <w:pPr>
              <w:pStyle w:val="Compact"/>
              <w:jc w:val="left"/>
            </w:pPr>
            <w:r>
              <w:t xml:space="preserve">23-32, 115-117; guardian delivery and no-guardian rules in 18.1 and 28</w:t>
            </w:r>
          </w:p>
        </w:tc>
      </w:tr>
      <w:tr>
        <w:tc>
          <w:tcPr/>
          <w:p>
            <w:pPr>
              <w:pStyle w:val="Compact"/>
              <w:jc w:val="left"/>
            </w:pPr>
            <w:r>
              <w:t xml:space="preserve">FD-MSP07 Intake and anonymity</w:t>
            </w:r>
          </w:p>
        </w:tc>
        <w:tc>
          <w:tcPr/>
          <w:p>
            <w:pPr>
              <w:pStyle w:val="Compact"/>
              <w:jc w:val="left"/>
            </w:pPr>
            <w:r>
              <w:t xml:space="preserve">Approved as recommended</w:t>
            </w:r>
          </w:p>
        </w:tc>
        <w:tc>
          <w:tcPr/>
          <w:p>
            <w:pPr>
              <w:pStyle w:val="Compact"/>
              <w:jc w:val="left"/>
            </w:pPr>
            <w:r>
              <w:t xml:space="preserve">33-37.2</w:t>
            </w:r>
          </w:p>
        </w:tc>
      </w:tr>
      <w:tr>
        <w:tc>
          <w:tcPr/>
          <w:p>
            <w:pPr>
              <w:pStyle w:val="Compact"/>
              <w:jc w:val="left"/>
            </w:pPr>
            <w:r>
              <w:t xml:space="preserve">FD-MSP08 Guardian notification exceptions</w:t>
            </w:r>
          </w:p>
        </w:tc>
        <w:tc>
          <w:tcPr/>
          <w:p>
            <w:pPr>
              <w:pStyle w:val="Compact"/>
              <w:jc w:val="left"/>
            </w:pPr>
            <w:r>
              <w:t xml:space="preserve">Approved as recommended</w:t>
            </w:r>
          </w:p>
        </w:tc>
        <w:tc>
          <w:tcPr/>
          <w:p>
            <w:pPr>
              <w:pStyle w:val="Compact"/>
              <w:jc w:val="left"/>
            </w:pPr>
            <w:r>
              <w:t xml:space="preserve">17, 30-31, 40</w:t>
            </w:r>
          </w:p>
        </w:tc>
      </w:tr>
      <w:tr>
        <w:tc>
          <w:tcPr/>
          <w:p>
            <w:pPr>
              <w:pStyle w:val="Compact"/>
              <w:jc w:val="left"/>
            </w:pPr>
            <w:r>
              <w:t xml:space="preserve">FD-MSP09 Emergency protective authority</w:t>
            </w:r>
          </w:p>
        </w:tc>
        <w:tc>
          <w:tcPr/>
          <w:p>
            <w:pPr>
              <w:pStyle w:val="Compact"/>
              <w:jc w:val="left"/>
            </w:pPr>
            <w:r>
              <w:t xml:space="preserve">Approved as recommended</w:t>
            </w:r>
          </w:p>
        </w:tc>
        <w:tc>
          <w:tcPr/>
          <w:p>
            <w:pPr>
              <w:pStyle w:val="Compact"/>
              <w:jc w:val="left"/>
            </w:pPr>
            <w:r>
              <w:t xml:space="preserve">37-40; Safety Plan expansion</w:t>
            </w:r>
          </w:p>
        </w:tc>
      </w:tr>
      <w:tr>
        <w:tc>
          <w:tcPr/>
          <w:p>
            <w:pPr>
              <w:pStyle w:val="Compact"/>
              <w:jc w:val="left"/>
            </w:pPr>
            <w:r>
              <w:t xml:space="preserve">FD-MSP10 In-person, transport, and release</w:t>
            </w:r>
          </w:p>
        </w:tc>
        <w:tc>
          <w:tcPr/>
          <w:p>
            <w:pPr>
              <w:pStyle w:val="Compact"/>
              <w:jc w:val="left"/>
            </w:pPr>
            <w:r>
              <w:t xml:space="preserve">Approved as recommended</w:t>
            </w:r>
          </w:p>
        </w:tc>
        <w:tc>
          <w:tcPr/>
          <w:p>
            <w:pPr>
              <w:pStyle w:val="Compact"/>
              <w:jc w:val="left"/>
            </w:pPr>
            <w:r>
              <w:t xml:space="preserve">48-53</w:t>
            </w:r>
          </w:p>
        </w:tc>
      </w:tr>
      <w:tr>
        <w:tc>
          <w:tcPr/>
          <w:p>
            <w:pPr>
              <w:pStyle w:val="Compact"/>
              <w:jc w:val="left"/>
            </w:pPr>
            <w:r>
              <w:t xml:space="preserve">FD-MSP11 Delegated horse care</w:t>
            </w:r>
          </w:p>
        </w:tc>
        <w:tc>
          <w:tcPr/>
          <w:p>
            <w:pPr>
              <w:pStyle w:val="Compact"/>
              <w:jc w:val="left"/>
            </w:pPr>
            <w:r>
              <w:t xml:space="preserve">Approved as recommended</w:t>
            </w:r>
          </w:p>
        </w:tc>
        <w:tc>
          <w:tcPr/>
          <w:p>
            <w:pPr>
              <w:pStyle w:val="Compact"/>
              <w:jc w:val="left"/>
            </w:pPr>
            <w:r>
              <w:t xml:space="preserve">54-57</w:t>
            </w:r>
          </w:p>
        </w:tc>
      </w:tr>
      <w:tr>
        <w:tc>
          <w:tcPr/>
          <w:p>
            <w:pPr>
              <w:pStyle w:val="Compact"/>
              <w:jc w:val="left"/>
            </w:pPr>
            <w:r>
              <w:t xml:space="preserve">FD-MSP12 Adult eligibility</w:t>
            </w:r>
          </w:p>
        </w:tc>
        <w:tc>
          <w:tcPr/>
          <w:p>
            <w:pPr>
              <w:pStyle w:val="Compact"/>
              <w:jc w:val="left"/>
            </w:pPr>
            <w:r>
              <w:t xml:space="preserve">Approved as recommended</w:t>
            </w:r>
          </w:p>
        </w:tc>
        <w:tc>
          <w:tcPr/>
          <w:p>
            <w:pPr>
              <w:pStyle w:val="Compact"/>
              <w:jc w:val="left"/>
            </w:pPr>
            <w:r>
              <w:t xml:space="preserve">43-47; external status and appeal boundaries</w:t>
            </w:r>
          </w:p>
        </w:tc>
      </w:tr>
      <w:tr>
        <w:tc>
          <w:tcPr/>
          <w:p>
            <w:pPr>
              <w:pStyle w:val="Compact"/>
              <w:jc w:val="left"/>
            </w:pPr>
            <w:r>
              <w:t xml:space="preserve">FD-MSP13 AI and automation</w:t>
            </w:r>
          </w:p>
        </w:tc>
        <w:tc>
          <w:tcPr/>
          <w:p>
            <w:pPr>
              <w:pStyle w:val="Compact"/>
              <w:jc w:val="left"/>
            </w:pPr>
            <w:r>
              <w:t xml:space="preserve">Approved as recommended</w:t>
            </w:r>
          </w:p>
        </w:tc>
        <w:tc>
          <w:tcPr/>
          <w:p>
            <w:pPr>
              <w:pStyle w:val="Compact"/>
              <w:jc w:val="left"/>
            </w:pPr>
            <w:r>
              <w:t xml:space="preserve">65-69</w:t>
            </w:r>
          </w:p>
        </w:tc>
      </w:tr>
      <w:tr>
        <w:tc>
          <w:tcPr/>
          <w:p>
            <w:pPr>
              <w:pStyle w:val="Compact"/>
              <w:jc w:val="left"/>
            </w:pPr>
            <w:r>
              <w:t xml:space="preserve">FD-MSP14 Challenge, appeal, non-retaliation</w:t>
            </w:r>
          </w:p>
        </w:tc>
        <w:tc>
          <w:tcPr/>
          <w:p>
            <w:pPr>
              <w:pStyle w:val="Compact"/>
              <w:jc w:val="left"/>
            </w:pPr>
            <w:r>
              <w:t xml:space="preserve">Approved as recommended</w:t>
            </w:r>
          </w:p>
        </w:tc>
        <w:tc>
          <w:tcPr/>
          <w:p>
            <w:pPr>
              <w:pStyle w:val="Compact"/>
              <w:jc w:val="left"/>
            </w:pPr>
            <w:r>
              <w:t xml:space="preserve">41-42.2, 76-80</w:t>
            </w:r>
          </w:p>
        </w:tc>
      </w:tr>
      <w:tr>
        <w:tc>
          <w:tcPr/>
          <w:p>
            <w:pPr>
              <w:pStyle w:val="Compact"/>
              <w:jc w:val="left"/>
            </w:pPr>
            <w:r>
              <w:t xml:space="preserve">FD-MSP15 Transition to adulthood</w:t>
            </w:r>
          </w:p>
        </w:tc>
        <w:tc>
          <w:tcPr/>
          <w:p>
            <w:pPr>
              <w:pStyle w:val="Compact"/>
              <w:jc w:val="left"/>
            </w:pPr>
            <w:r>
              <w:t xml:space="preserve">Approved as recommended</w:t>
            </w:r>
          </w:p>
        </w:tc>
        <w:tc>
          <w:tcPr/>
          <w:p>
            <w:pPr>
              <w:pStyle w:val="Compact"/>
              <w:jc w:val="left"/>
            </w:pPr>
            <w:r>
              <w:t xml:space="preserve">81-84</w:t>
            </w:r>
          </w:p>
        </w:tc>
      </w:tr>
    </w:tbl>
    <w:bookmarkEnd w:id="203"/>
    <w:bookmarkStart w:id="204" w:name="Xb7bb4eb9ef90c315e5700caeb0ade39cd09f94a"/>
    <w:p>
      <w:pPr>
        <w:pStyle w:val="Heading1"/>
      </w:pPr>
      <w:r>
        <w:t xml:space="preserve">Appendix B - Required Cross-Canon Reading Set</w:t>
      </w:r>
    </w:p>
    <w:p>
      <w:pPr>
        <w:pStyle w:val="FirstParagraph"/>
      </w:pPr>
      <w:r>
        <w:t xml:space="preserve">This Model must be reconciled with the controlling versions of:</w:t>
      </w:r>
    </w:p>
    <w:p>
      <w:pPr>
        <w:pStyle w:val="Compact"/>
        <w:numPr>
          <w:ilvl w:val="0"/>
          <w:numId w:val="1068"/>
        </w:numPr>
      </w:pPr>
      <w:r>
        <w:t xml:space="preserve">Master Product Vision;</w:t>
      </w:r>
    </w:p>
    <w:p>
      <w:pPr>
        <w:pStyle w:val="Compact"/>
        <w:numPr>
          <w:ilvl w:val="0"/>
          <w:numId w:val="1068"/>
        </w:numPr>
      </w:pPr>
      <w:r>
        <w:t xml:space="preserve">Master Ecosystem Model;</w:t>
      </w:r>
    </w:p>
    <w:p>
      <w:pPr>
        <w:pStyle w:val="Compact"/>
        <w:numPr>
          <w:ilvl w:val="0"/>
          <w:numId w:val="1068"/>
        </w:numPr>
      </w:pPr>
      <w:r>
        <w:t xml:space="preserve">Master Identity, Account, and Actor Model;</w:t>
      </w:r>
    </w:p>
    <w:p>
      <w:pPr>
        <w:pStyle w:val="Compact"/>
        <w:numPr>
          <w:ilvl w:val="0"/>
          <w:numId w:val="1068"/>
        </w:numPr>
      </w:pPr>
      <w:r>
        <w:t xml:space="preserve">Master Relationship Model;</w:t>
      </w:r>
    </w:p>
    <w:p>
      <w:pPr>
        <w:pStyle w:val="Compact"/>
        <w:numPr>
          <w:ilvl w:val="0"/>
          <w:numId w:val="1068"/>
        </w:numPr>
      </w:pPr>
      <w:r>
        <w:t xml:space="preserve">Master Agreement, Consent, and Authorization Model;</w:t>
      </w:r>
    </w:p>
    <w:p>
      <w:pPr>
        <w:pStyle w:val="Compact"/>
        <w:numPr>
          <w:ilvl w:val="0"/>
          <w:numId w:val="1068"/>
        </w:numPr>
      </w:pPr>
      <w:r>
        <w:t xml:space="preserve">Master Permission and Access-Control Model;</w:t>
      </w:r>
    </w:p>
    <w:p>
      <w:pPr>
        <w:pStyle w:val="Compact"/>
        <w:numPr>
          <w:ilvl w:val="0"/>
          <w:numId w:val="1068"/>
        </w:numPr>
      </w:pPr>
      <w:r>
        <w:t xml:space="preserve">Master Privacy and Data Protection Model;</w:t>
      </w:r>
    </w:p>
    <w:p>
      <w:pPr>
        <w:pStyle w:val="Compact"/>
        <w:numPr>
          <w:ilvl w:val="0"/>
          <w:numId w:val="1068"/>
        </w:numPr>
      </w:pPr>
      <w:r>
        <w:t xml:space="preserve">Master Record Stewardship and Retention Model;</w:t>
      </w:r>
    </w:p>
    <w:p>
      <w:pPr>
        <w:pStyle w:val="Compact"/>
        <w:numPr>
          <w:ilvl w:val="0"/>
          <w:numId w:val="1068"/>
        </w:numPr>
      </w:pPr>
      <w:r>
        <w:t xml:space="preserve">Master Claims, Disputes, and Authority Model;</w:t>
      </w:r>
    </w:p>
    <w:p>
      <w:pPr>
        <w:pStyle w:val="Compact"/>
        <w:numPr>
          <w:ilvl w:val="0"/>
          <w:numId w:val="1068"/>
        </w:numPr>
      </w:pPr>
      <w:r>
        <w:t xml:space="preserve">Master Audit Event and Evidence Model;</w:t>
      </w:r>
    </w:p>
    <w:p>
      <w:pPr>
        <w:pStyle w:val="Compact"/>
        <w:numPr>
          <w:ilvl w:val="0"/>
          <w:numId w:val="1068"/>
        </w:numPr>
      </w:pPr>
      <w:r>
        <w:t xml:space="preserve">Master Communication, Notification, and Notice Model;</w:t>
      </w:r>
    </w:p>
    <w:p>
      <w:pPr>
        <w:pStyle w:val="Compact"/>
        <w:numPr>
          <w:ilvl w:val="0"/>
          <w:numId w:val="1068"/>
        </w:numPr>
      </w:pPr>
      <w:r>
        <w:t xml:space="preserve">Master Media, Files, and Digital Asset Governance Model V2.1;</w:t>
      </w:r>
    </w:p>
    <w:p>
      <w:pPr>
        <w:pStyle w:val="Compact"/>
        <w:numPr>
          <w:ilvl w:val="0"/>
          <w:numId w:val="1068"/>
        </w:numPr>
      </w:pPr>
      <w:r>
        <w:t xml:space="preserve">Master Search, Discovery, Ranking, and Retrieval Model;</w:t>
      </w:r>
    </w:p>
    <w:p>
      <w:pPr>
        <w:pStyle w:val="Compact"/>
        <w:numPr>
          <w:ilvl w:val="0"/>
          <w:numId w:val="1068"/>
        </w:numPr>
      </w:pPr>
      <w:r>
        <w:t xml:space="preserve">Master AI Governance and Decision Boundary Model;</w:t>
      </w:r>
    </w:p>
    <w:p>
      <w:pPr>
        <w:pStyle w:val="Compact"/>
        <w:numPr>
          <w:ilvl w:val="0"/>
          <w:numId w:val="1068"/>
        </w:numPr>
      </w:pPr>
      <w:r>
        <w:t xml:space="preserve">Master Reporting, Analytics, and Business Intelligence Model;</w:t>
      </w:r>
    </w:p>
    <w:p>
      <w:pPr>
        <w:pStyle w:val="Compact"/>
        <w:numPr>
          <w:ilvl w:val="0"/>
          <w:numId w:val="1068"/>
        </w:numPr>
      </w:pPr>
      <w:r>
        <w:t xml:space="preserve">Master Security and Trust Model;</w:t>
      </w:r>
    </w:p>
    <w:p>
      <w:pPr>
        <w:pStyle w:val="Compact"/>
        <w:numPr>
          <w:ilvl w:val="0"/>
          <w:numId w:val="1068"/>
        </w:numPr>
      </w:pPr>
      <w:r>
        <w:t xml:space="preserve">the controlling Security Foundational Models V1.0 exception package;</w:t>
      </w:r>
    </w:p>
    <w:p>
      <w:pPr>
        <w:pStyle w:val="Compact"/>
        <w:numPr>
          <w:ilvl w:val="0"/>
          <w:numId w:val="1068"/>
        </w:numPr>
      </w:pPr>
      <w:r>
        <w:t xml:space="preserve">Master External Architecture and Adapter Model;</w:t>
      </w:r>
    </w:p>
    <w:p>
      <w:pPr>
        <w:pStyle w:val="Compact"/>
        <w:numPr>
          <w:ilvl w:val="0"/>
          <w:numId w:val="1068"/>
        </w:numPr>
      </w:pPr>
      <w:r>
        <w:t xml:space="preserve">Master Developer, Platform, and Integration Governance Model;</w:t>
      </w:r>
    </w:p>
    <w:p>
      <w:pPr>
        <w:pStyle w:val="Compact"/>
        <w:numPr>
          <w:ilvl w:val="0"/>
          <w:numId w:val="1068"/>
        </w:numPr>
      </w:pPr>
      <w:r>
        <w:t xml:space="preserve">Master Platform Extensibility and Plugin Governance Model;</w:t>
      </w:r>
    </w:p>
    <w:p>
      <w:pPr>
        <w:pStyle w:val="Compact"/>
        <w:numPr>
          <w:ilvl w:val="0"/>
          <w:numId w:val="1068"/>
        </w:numPr>
      </w:pPr>
      <w:r>
        <w:t xml:space="preserve">Master Vendor Security and Supply Chain Model;</w:t>
      </w:r>
    </w:p>
    <w:p>
      <w:pPr>
        <w:pStyle w:val="Compact"/>
        <w:numPr>
          <w:ilvl w:val="0"/>
          <w:numId w:val="1068"/>
        </w:numPr>
      </w:pPr>
      <w:r>
        <w:t xml:space="preserve">Master Barn Lifecycle and Operations Canon;</w:t>
      </w:r>
    </w:p>
    <w:p>
      <w:pPr>
        <w:pStyle w:val="Compact"/>
        <w:numPr>
          <w:ilvl w:val="0"/>
          <w:numId w:val="1068"/>
        </w:numPr>
      </w:pPr>
      <w:r>
        <w:t xml:space="preserve">Master Horse Lifecycle and Passport Model;</w:t>
      </w:r>
    </w:p>
    <w:p>
      <w:pPr>
        <w:pStyle w:val="Compact"/>
        <w:numPr>
          <w:ilvl w:val="0"/>
          <w:numId w:val="1068"/>
        </w:numPr>
      </w:pPr>
      <w:r>
        <w:t xml:space="preserve">Master Horse Transfer and Continuity Policy;</w:t>
      </w:r>
    </w:p>
    <w:p>
      <w:pPr>
        <w:pStyle w:val="Compact"/>
        <w:numPr>
          <w:ilvl w:val="0"/>
          <w:numId w:val="1068"/>
        </w:numPr>
      </w:pPr>
      <w:r>
        <w:t xml:space="preserve">RF29 Calendar Domain Canon;</w:t>
      </w:r>
    </w:p>
    <w:p>
      <w:pPr>
        <w:pStyle w:val="Compact"/>
        <w:numPr>
          <w:ilvl w:val="0"/>
          <w:numId w:val="1068"/>
        </w:numPr>
      </w:pPr>
      <w:r>
        <w:t xml:space="preserve">the authorized draft of the Master Equine Health, Welfare, Medical Record, and Clinical Support Model when available.</w:t>
      </w:r>
    </w:p>
    <w:bookmarkEnd w:id="204"/>
    <w:bookmarkStart w:id="205" w:name="X64969b02a1a56da82034b8c89896a742a6cfb3e"/>
    <w:p>
      <w:pPr>
        <w:pStyle w:val="Heading1"/>
      </w:pPr>
      <w:r>
        <w:t xml:space="preserve">Appendix C - Known Pre-Implementation Handoffs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Handoff</w:t>
            </w:r>
          </w:p>
        </w:tc>
        <w:tc>
          <w:tcPr/>
          <w:p>
            <w:pPr>
              <w:pStyle w:val="Compact"/>
              <w:jc w:val="left"/>
            </w:pPr>
            <w:r>
              <w:t xml:space="preserve">Required Outcome</w:t>
            </w:r>
          </w:p>
        </w:tc>
      </w:tr>
      <w:tr>
        <w:tc>
          <w:tcPr/>
          <w:p>
            <w:pPr>
              <w:pStyle w:val="Compact"/>
              <w:jc w:val="left"/>
            </w:pPr>
            <w:r>
              <w:t xml:space="preserve">Jurisdiction and age rules</w:t>
            </w:r>
          </w:p>
        </w:tc>
        <w:tc>
          <w:tcPr/>
          <w:p>
            <w:pPr>
              <w:pStyle w:val="Compact"/>
              <w:jc w:val="left"/>
            </w:pPr>
            <w:r>
              <w:t xml:space="preserve">Controlled jurisdiction matrix without legal overclaim</w:t>
            </w:r>
          </w:p>
        </w:tc>
      </w:tr>
      <w:tr>
        <w:tc>
          <w:tcPr/>
          <w:p>
            <w:pPr>
              <w:pStyle w:val="Compact"/>
              <w:jc w:val="left"/>
            </w:pPr>
            <w:r>
              <w:t xml:space="preserve">Guardian evidence</w:t>
            </w:r>
          </w:p>
        </w:tc>
        <w:tc>
          <w:tcPr/>
          <w:p>
            <w:pPr>
              <w:pStyle w:val="Compact"/>
              <w:jc w:val="left"/>
            </w:pPr>
            <w:r>
              <w:t xml:space="preserve">Accepted evidence types, expiry, conflict, and review rules</w:t>
            </w:r>
          </w:p>
        </w:tc>
      </w:tr>
      <w:tr>
        <w:tc>
          <w:tcPr/>
          <w:p>
            <w:pPr>
              <w:pStyle w:val="Compact"/>
              <w:jc w:val="left"/>
            </w:pPr>
            <w:r>
              <w:t xml:space="preserve">Messaging architecture</w:t>
            </w:r>
          </w:p>
        </w:tc>
        <w:tc>
          <w:tcPr/>
          <w:p>
            <w:pPr>
              <w:pStyle w:val="Compact"/>
              <w:jc w:val="left"/>
            </w:pPr>
            <w:r>
              <w:t xml:space="preserve">Enforced guardian inclusion across in-app, email, SMS, and integrations</w:t>
            </w:r>
          </w:p>
        </w:tc>
      </w:tr>
      <w:tr>
        <w:tc>
          <w:tcPr/>
          <w:p>
            <w:pPr>
              <w:pStyle w:val="Compact"/>
              <w:jc w:val="left"/>
            </w:pPr>
            <w:r>
              <w:t xml:space="preserve">Protected intake</w:t>
            </w:r>
          </w:p>
        </w:tc>
        <w:tc>
          <w:tcPr/>
          <w:p>
            <w:pPr>
              <w:pStyle w:val="Compact"/>
              <w:jc w:val="left"/>
            </w:pPr>
            <w:r>
              <w:t xml:space="preserve">Confidential and anonymous reporting workflow with guardian exceptions</w:t>
            </w:r>
          </w:p>
        </w:tc>
      </w:tr>
      <w:tr>
        <w:tc>
          <w:tcPr/>
          <w:p>
            <w:pPr>
              <w:pStyle w:val="Compact"/>
              <w:jc w:val="left"/>
            </w:pPr>
            <w:r>
              <w:t xml:space="preserve">Adult eligibility</w:t>
            </w:r>
          </w:p>
        </w:tc>
        <w:tc>
          <w:tcPr/>
          <w:p>
            <w:pPr>
              <w:pStyle w:val="Compact"/>
              <w:jc w:val="left"/>
            </w:pPr>
            <w:r>
              <w:t xml:space="preserve">Identity, training, restriction, revalidation, and revocation controls</w:t>
            </w:r>
          </w:p>
        </w:tc>
      </w:tr>
      <w:tr>
        <w:tc>
          <w:tcPr/>
          <w:p>
            <w:pPr>
              <w:pStyle w:val="Compact"/>
              <w:jc w:val="left"/>
            </w:pPr>
            <w:r>
              <w:t xml:space="preserve">Pickup and transport</w:t>
            </w:r>
          </w:p>
        </w:tc>
        <w:tc>
          <w:tcPr/>
          <w:p>
            <w:pPr>
              <w:pStyle w:val="Compact"/>
              <w:jc w:val="left"/>
            </w:pPr>
            <w:r>
              <w:t xml:space="preserve">Authorization, identity verification, conflict, emergency, and evidence model</w:t>
            </w:r>
          </w:p>
        </w:tc>
      </w:tr>
      <w:tr>
        <w:tc>
          <w:tcPr/>
          <w:p>
            <w:pPr>
              <w:pStyle w:val="Compact"/>
              <w:jc w:val="left"/>
            </w:pPr>
            <w:r>
              <w:t xml:space="preserve">Task risk</w:t>
            </w:r>
          </w:p>
        </w:tc>
        <w:tc>
          <w:tcPr/>
          <w:p>
            <w:pPr>
              <w:pStyle w:val="Compact"/>
              <w:jc w:val="left"/>
            </w:pPr>
            <w:r>
              <w:t xml:space="preserve">Age, competence, horse, environment, equipment, and supervision matrix</w:t>
            </w:r>
          </w:p>
        </w:tc>
      </w:tr>
      <w:tr>
        <w:tc>
          <w:tcPr/>
          <w:p>
            <w:pPr>
              <w:pStyle w:val="Compact"/>
              <w:jc w:val="left"/>
            </w:pPr>
            <w:r>
              <w:t xml:space="preserve">Safeguarding state model</w:t>
            </w:r>
          </w:p>
        </w:tc>
        <w:tc>
          <w:tcPr/>
          <w:p>
            <w:pPr>
              <w:pStyle w:val="Compact"/>
              <w:jc w:val="left"/>
            </w:pPr>
            <w:r>
              <w:t xml:space="preserve">Case states, restrictions, evidence, appeals, and closure semantics</w:t>
            </w:r>
          </w:p>
        </w:tc>
      </w:tr>
      <w:tr>
        <w:tc>
          <w:tcPr/>
          <w:p>
            <w:pPr>
              <w:pStyle w:val="Compact"/>
              <w:jc w:val="left"/>
            </w:pPr>
            <w:r>
              <w:t xml:space="preserve">Privacy and field projection</w:t>
            </w:r>
          </w:p>
        </w:tc>
        <w:tc>
          <w:tcPr/>
          <w:p>
            <w:pPr>
              <w:pStyle w:val="Compact"/>
              <w:jc w:val="left"/>
            </w:pPr>
            <w:r>
              <w:t xml:space="preserve">Minimum necessary role, case, subject, and purpose views</w:t>
            </w:r>
          </w:p>
        </w:tc>
      </w:tr>
      <w:tr>
        <w:tc>
          <w:tcPr/>
          <w:p>
            <w:pPr>
              <w:pStyle w:val="Compact"/>
              <w:jc w:val="left"/>
            </w:pPr>
            <w:r>
              <w:t xml:space="preserve">Retention and holds</w:t>
            </w:r>
          </w:p>
        </w:tc>
        <w:tc>
          <w:tcPr/>
          <w:p>
            <w:pPr>
              <w:pStyle w:val="Compact"/>
              <w:jc w:val="left"/>
            </w:pPr>
            <w:r>
              <w:t xml:space="preserve">Record classes, legal and safeguarding holds, disposition evidence</w:t>
            </w:r>
          </w:p>
        </w:tc>
      </w:tr>
      <w:tr>
        <w:tc>
          <w:tcPr/>
          <w:p>
            <w:pPr>
              <w:pStyle w:val="Compact"/>
              <w:jc w:val="left"/>
            </w:pPr>
            <w:r>
              <w:t xml:space="preserve">Media and search</w:t>
            </w:r>
          </w:p>
        </w:tc>
        <w:tc>
          <w:tcPr/>
          <w:p>
            <w:pPr>
              <w:pStyle w:val="Compact"/>
              <w:jc w:val="left"/>
            </w:pPr>
            <w:r>
              <w:t xml:space="preserve">Consent, assent, discoverability, metadata, withdrawal, and public exposure</w:t>
            </w:r>
          </w:p>
        </w:tc>
      </w:tr>
      <w:tr>
        <w:tc>
          <w:tcPr/>
          <w:p>
            <w:pPr>
              <w:pStyle w:val="Compact"/>
              <w:jc w:val="left"/>
            </w:pPr>
            <w:r>
              <w:t xml:space="preserve">AI and analytics</w:t>
            </w:r>
          </w:p>
        </w:tc>
        <w:tc>
          <w:tcPr/>
          <w:p>
            <w:pPr>
              <w:pStyle w:val="Compact"/>
              <w:jc w:val="left"/>
            </w:pPr>
            <w:r>
              <w:t xml:space="preserve">Use-case registry, provider controls, human review, and prohibited outputs</w:t>
            </w:r>
          </w:p>
        </w:tc>
      </w:tr>
      <w:tr>
        <w:tc>
          <w:tcPr/>
          <w:p>
            <w:pPr>
              <w:pStyle w:val="Compact"/>
              <w:jc w:val="left"/>
            </w:pPr>
            <w:r>
              <w:t xml:space="preserve">Offline access</w:t>
            </w:r>
          </w:p>
        </w:tc>
        <w:tc>
          <w:tcPr/>
          <w:p>
            <w:pPr>
              <w:pStyle w:val="Compact"/>
              <w:jc w:val="left"/>
            </w:pPr>
            <w:r>
              <w:t xml:space="preserve">Eligibility, encryption, expiry, revocation, tombstones, and device loss</w:t>
            </w:r>
          </w:p>
        </w:tc>
      </w:tr>
      <w:tr>
        <w:tc>
          <w:tcPr/>
          <w:p>
            <w:pPr>
              <w:pStyle w:val="Compact"/>
              <w:jc w:val="left"/>
            </w:pPr>
            <w:r>
              <w:t xml:space="preserve">Testing</w:t>
            </w:r>
          </w:p>
        </w:tc>
        <w:tc>
          <w:tcPr/>
          <w:p>
            <w:pPr>
              <w:pStyle w:val="Compact"/>
              <w:jc w:val="left"/>
            </w:pPr>
            <w:r>
              <w:t xml:space="preserve">Adversarial, access, concurrency, integration, recovery, and claim validation</w:t>
            </w:r>
          </w:p>
        </w:tc>
      </w:tr>
      <w:tr>
        <w:tc>
          <w:tcPr/>
          <w:p>
            <w:pPr>
              <w:pStyle w:val="Compact"/>
              <w:jc w:val="left"/>
            </w:pPr>
            <w:r>
              <w:t xml:space="preserve">Public claims</w:t>
            </w:r>
          </w:p>
        </w:tc>
        <w:tc>
          <w:tcPr/>
          <w:p>
            <w:pPr>
              <w:pStyle w:val="Compact"/>
              <w:jc w:val="left"/>
            </w:pPr>
            <w:r>
              <w:t xml:space="preserve">Current external-standard verification, implementation evidence, claim register, and separate founder approval</w:t>
            </w:r>
          </w:p>
        </w:tc>
      </w:tr>
      <w:tr>
        <w:tc>
          <w:tcPr/>
          <w:p>
            <w:pPr>
              <w:pStyle w:val="Compact"/>
              <w:jc w:val="left"/>
            </w:pPr>
            <w:r>
              <w:t xml:space="preserve">External reporting</w:t>
            </w:r>
          </w:p>
        </w:tc>
        <w:tc>
          <w:tcPr/>
          <w:p>
            <w:pPr>
              <w:pStyle w:val="Compact"/>
              <w:jc w:val="left"/>
            </w:pPr>
            <w:r>
              <w:t xml:space="preserve">Jurisdiction-aware duty matrix, no-delay routing, external referral evidence, and customer responsibility</w:t>
            </w:r>
          </w:p>
        </w:tc>
      </w:tr>
      <w:tr>
        <w:tc>
          <w:tcPr/>
          <w:p>
            <w:pPr>
              <w:pStyle w:val="Compact"/>
              <w:jc w:val="left"/>
            </w:pPr>
            <w:r>
              <w:t xml:space="preserve">Case governance</w:t>
            </w:r>
          </w:p>
        </w:tc>
        <w:tc>
          <w:tcPr/>
          <w:p>
            <w:pPr>
              <w:pStyle w:val="Compact"/>
              <w:jc w:val="left"/>
            </w:pPr>
            <w:r>
              <w:t xml:space="preserve">Conflict, recusal, assignment, linked-case, responding-person notice, and disclosure controls</w:t>
            </w:r>
          </w:p>
        </w:tc>
      </w:tr>
      <w:tr>
        <w:tc>
          <w:tcPr/>
          <w:p>
            <w:pPr>
              <w:pStyle w:val="Compact"/>
              <w:jc w:val="left"/>
            </w:pPr>
            <w:r>
              <w:t xml:space="preserve">Private spaces and boundaries</w:t>
            </w:r>
          </w:p>
        </w:tc>
        <w:tc>
          <w:tcPr/>
          <w:p>
            <w:pPr>
              <w:pStyle w:val="Compact"/>
              <w:jc w:val="left"/>
            </w:pPr>
            <w:r>
              <w:t xml:space="preserve">Lodging, changing areas, physical contact, gifts, favors, and coercion controls</w:t>
            </w:r>
          </w:p>
        </w:tc>
      </w:tr>
      <w:tr>
        <w:tc>
          <w:tcPr/>
          <w:p>
            <w:pPr>
              <w:pStyle w:val="Compact"/>
              <w:jc w:val="left"/>
            </w:pPr>
            <w:r>
              <w:t xml:space="preserve">Guardian delivery failure</w:t>
            </w:r>
          </w:p>
        </w:tc>
        <w:tc>
          <w:tcPr/>
          <w:p>
            <w:pPr>
              <w:pStyle w:val="Compact"/>
              <w:jc w:val="left"/>
            </w:pPr>
            <w:r>
              <w:t xml:space="preserve">Bounce, disabled account, expired authority, no-guardian, and emergency notice handling</w:t>
            </w:r>
          </w:p>
        </w:tc>
      </w:tr>
      <w:tr>
        <w:tc>
          <w:tcPr/>
          <w:p>
            <w:pPr>
              <w:pStyle w:val="Compact"/>
              <w:jc w:val="left"/>
            </w:pPr>
            <w:r>
              <w:t xml:space="preserve">Data subject and legal requests</w:t>
            </w:r>
          </w:p>
        </w:tc>
        <w:tc>
          <w:tcPr/>
          <w:p>
            <w:pPr>
              <w:pStyle w:val="Compact"/>
              <w:jc w:val="left"/>
            </w:pPr>
            <w:r>
              <w:t xml:space="preserve">Case-specific disclosure, redaction, third-party privacy, privilege, and reporter protection</w:t>
            </w:r>
          </w:p>
        </w:tc>
      </w:tr>
    </w:tbl>
    <w:bookmarkEnd w:id="205"/>
    <w:bookmarkStart w:id="206" w:name="X669ea71f28af5cdcc9779c9b56cc2a16e81e49c"/>
    <w:p>
      <w:pPr>
        <w:pStyle w:val="Heading1"/>
      </w:pPr>
      <w:r>
        <w:t xml:space="preserve">Appendix D - Reviewed Draft Validation Focus</w:t>
      </w:r>
    </w:p>
    <w:p>
      <w:pPr>
        <w:pStyle w:val="FirstParagraph"/>
      </w:pPr>
      <w:r>
        <w:t xml:space="preserve">The next controlled review should confirm:</w:t>
      </w:r>
    </w:p>
    <w:p>
      <w:pPr>
        <w:pStyle w:val="Compact"/>
        <w:numPr>
          <w:ilvl w:val="0"/>
          <w:numId w:val="1069"/>
        </w:numPr>
      </w:pPr>
      <w:r>
        <w:t xml:space="preserve">that no covered communication surface, guardian-delivery failure, or integrated reply path can create a private adult-minor conversation;</w:t>
      </w:r>
    </w:p>
    <w:p>
      <w:pPr>
        <w:pStyle w:val="Compact"/>
        <w:numPr>
          <w:ilvl w:val="0"/>
          <w:numId w:val="1069"/>
        </w:numPr>
      </w:pPr>
      <w:r>
        <w:t xml:space="preserve">that protected intake and follow-up remain separate from ordinary coaching or social messaging;</w:t>
      </w:r>
    </w:p>
    <w:p>
      <w:pPr>
        <w:pStyle w:val="Compact"/>
        <w:numPr>
          <w:ilvl w:val="0"/>
          <w:numId w:val="1069"/>
        </w:numPr>
      </w:pPr>
      <w:r>
        <w:t xml:space="preserve">that internal workflow cannot delay an applicable emergency or external reporting duty;</w:t>
      </w:r>
    </w:p>
    <w:p>
      <w:pPr>
        <w:pStyle w:val="Compact"/>
        <w:numPr>
          <w:ilvl w:val="0"/>
          <w:numId w:val="1069"/>
        </w:numPr>
      </w:pPr>
      <w:r>
        <w:t xml:space="preserve">that case assignment, conflict, recusal, linked-case separation, and Responding Person notice preserve both safety and procedural fairness;</w:t>
      </w:r>
    </w:p>
    <w:p>
      <w:pPr>
        <w:pStyle w:val="Compact"/>
        <w:numPr>
          <w:ilvl w:val="0"/>
          <w:numId w:val="1069"/>
        </w:numPr>
      </w:pPr>
      <w:r>
        <w:t xml:space="preserve">that the Model does not duplicate the dedicated Equine Health, Welfare, Medical Record, and Clinical Support canon;</w:t>
      </w:r>
    </w:p>
    <w:p>
      <w:pPr>
        <w:pStyle w:val="Compact"/>
        <w:numPr>
          <w:ilvl w:val="0"/>
          <w:numId w:val="1069"/>
        </w:numPr>
      </w:pPr>
      <w:r>
        <w:t xml:space="preserve">that privacy, records, claims, audit, media, search, AI, communications, security, and vendor boundaries remain consistent;</w:t>
      </w:r>
    </w:p>
    <w:p>
      <w:pPr>
        <w:pStyle w:val="Compact"/>
        <w:numPr>
          <w:ilvl w:val="0"/>
          <w:numId w:val="1069"/>
        </w:numPr>
      </w:pPr>
      <w:r>
        <w:t xml:space="preserve">that all public compliance or SafeSport-related language remains claim-neutral until current external requirements and implementation evidence are separately verified;</w:t>
      </w:r>
    </w:p>
    <w:p>
      <w:pPr>
        <w:pStyle w:val="Compact"/>
        <w:numPr>
          <w:ilvl w:val="0"/>
          <w:numId w:val="1069"/>
        </w:numPr>
      </w:pPr>
      <w:r>
        <w:t xml:space="preserve">that no additional founder decision is required before preparing a final controlled candidate.</w:t>
      </w:r>
    </w:p>
    <w:bookmarkEnd w:id="206"/>
    <w:sectPr>
      <w:headerReference r:id="rId9" w:type="default"/>
      <w:footerReference r:id="rId10" w:type="default"/>
      <w:pgSz w:h="15840" w:w="12240"/>
      <w:pgMar w:bottom="979" w:footer="360" w:header="360" w:left="1123" w:right="1123" w:top="1037"/>
      <w:titlePg/>
      <w:pgBorders w:offsetFrom="page">
        <w:top w:color="D9E2F3" w:space="18" w:sz="4" w:val="single"/>
        <w:left w:color="D9E2F3" w:space="18" w:sz="4" w:val="single"/>
        <w:bottom w:color="D9E2F3" w:space="18" w:sz="4" w:val="single"/>
        <w:right w:color="D9E2F3" w:space="18" w:sz="4" w:val="single"/>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26C78"/>
        <w:sz w:val="16"/>
      </w:rPr>
      <w:t xml:space="preserve">Protected Participant Model V1.1 | Reviewed Draft | No Implementation Authority |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F3A5F"/>
        <w:sz w:val="16"/>
      </w:rPr>
      <w:t>EQUINESYNC | CONSTITUTIONAL GOVERNANCE CANON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4" w:lineRule="auto"/>
    </w:pPr>
    <w:rPr>
      <w:rFonts w:ascii="Aptos" w:hAnsi="Aptos"/>
      <w:color w:val="2C343C"/>
      <w:sz w:val="21"/>
    </w:rPr>
  </w:style>
  <w:style w:styleId="BodyText" w:type="paragraph">
    <w:name w:val="Body Text"/>
    <w:basedOn w:val="Normal"/>
    <w:link w:val="BodyTextChar"/>
    <w:qFormat/>
    <w:pPr>
      <w:spacing w:after="100" w:before="180" w:line="254" w:lineRule="auto"/>
    </w:pPr>
    <w:rPr>
      <w:rFonts w:ascii="Aptos" w:hAnsi="Aptos"/>
      <w:color w:val="2C343C"/>
      <w:sz w:val="21"/>
    </w:rPr>
  </w:style>
  <w:style w:customStyle="1" w:styleId="FirstParagraph" w:type="paragraph">
    <w:name w:val="First Paragraph"/>
    <w:basedOn w:val="BodyText"/>
    <w:next w:val="BodyText"/>
    <w:qFormat/>
    <w:pPr>
      <w:spacing w:after="100" w:line="254" w:lineRule="auto"/>
    </w:pPr>
    <w:rPr>
      <w:rFonts w:ascii="Aptos" w:hAnsi="Aptos"/>
      <w:color w:val="2C343C"/>
      <w:sz w:val="21"/>
    </w:rPr>
  </w:style>
  <w:style w:customStyle="1" w:styleId="Compact" w:type="paragraph">
    <w:name w:val="Compact"/>
    <w:basedOn w:val="BodyText"/>
    <w:qFormat/>
    <w:pPr>
      <w:spacing w:after="36" w:before="36"/>
    </w:pPr>
    <w:rPr>
      <w:rFonts w:ascii="Aptos" w:hAnsi="Aptos"/>
      <w:sz w:val="20"/>
    </w:rPr>
  </w:style>
  <w:style w:styleId="Title" w:type="paragraph">
    <w:name w:val="Title"/>
    <w:basedOn w:val="Normal"/>
    <w:next w:val="BodyText"/>
    <w:qFormat/>
    <w:pPr>
      <w:keepNext/>
      <w:keepLines/>
      <w:spacing w:after="240" w:before="1600"/>
      <w:jc w:val="center"/>
    </w:pPr>
    <w:rPr>
      <w:rFonts w:ascii="Aptos Display" w:asciiTheme="majorHAnsi" w:cstheme="majorBidi" w:eastAsiaTheme="majorEastAsia" w:hAnsi="Aptos Display" w:hAnsiTheme="majorHAnsi"/>
      <w:b/>
      <w:bCs/>
      <w:color w:val="1F3A5F"/>
      <w:sz w:val="48"/>
      <w:szCs w:val="36"/>
    </w:rPr>
  </w:style>
  <w:style w:styleId="Subtitle" w:type="paragraph">
    <w:name w:val="Subtitle"/>
    <w:basedOn w:val="Title"/>
    <w:next w:val="BodyText"/>
    <w:qFormat/>
    <w:pPr>
      <w:keepNext/>
      <w:keepLines/>
      <w:spacing w:after="280" w:before="140"/>
      <w:jc w:val="center"/>
    </w:pPr>
    <w:rPr>
      <w:rFonts w:ascii="Aptos Display" w:hAnsi="Aptos Display"/>
      <w:b w:val="0"/>
      <w:color w:val="4F81BD"/>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rPr>
      <w:rFonts w:ascii="Aptos" w:hAnsi="Aptos"/>
      <w:color w:val="626C78"/>
      <w:sz w:val="21"/>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ind w:firstLine="0" w:left="360" w:right="216"/>
    </w:pPr>
    <w:rPr>
      <w:rFonts w:ascii="Aptos" w:hAnsi="Aptos"/>
      <w:i/>
      <w:color w:val="1F3A5F"/>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tatusNotice" w:type="paragraph">
    <w:name w:val="Status Notice"/>
    <w:pPr>
      <w:spacing w:after="40"/>
      <w:jc w:val="center"/>
    </w:pPr>
    <w:rPr>
      <w:rFonts w:ascii="Aptos" w:hAnsi="Aptos"/>
      <w:b/>
      <w:color w:val="1F3A5F"/>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MASTER_MINOR_GUARDIANSHIP_SAFEGUARDING_AND_PROTECTED_PARTICIPANT_MODEL_V1_1_REVIEWED_DRAFT</dc:title>
  <dc:creator/>
  <cp:keywords>EquineSync, safeguarding, minors, guardianship, protected participants, governance</cp:keywords>
  <dcterms:created xsi:type="dcterms:W3CDTF">2026-07-15T21:08:47Z</dcterms:created>
  <dcterms:modified xsi:type="dcterms:W3CDTF">2026-07-15T21:08:47Z</dcterms:modified>
  <dc:subject>EquineSync constitutional governance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15, 2026</vt:lpwstr>
  </property>
  <property fmtid="{D5CDD505-2E9C-101B-9397-08002B2CF9AE}" pid="3" name="subtitle">
    <vt:lpwstr>REVIEWED AND EXPANDED CONTROLLED CONSTITUTIONAL DRAFT</vt:lpwstr>
  </property>
</Properties>
</file>