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305982"/>
          <w:sz w:val="36"/>
        </w:rPr>
        <w:t>EQUINESYNC</w:t>
      </w:r>
    </w:p>
    <w:p>
      <w:pPr>
        <w:pStyle w:val="Title"/>
        <w:jc w:val="center"/>
        <w:pBdr>
          <w:bottom w:val="single" w:sz="12" w:space="4" w:color="284B6F"/>
        </w:pBdr>
      </w:pPr>
      <w:r>
        <w:t>MASTER REPORTING, ANALYTICS,</w:t>
        <w:br/>
        <w:t>AND BUSINESS INTELLIGENCE</w:t>
        <w:br/>
        <w:t>MODEL V2.0</w:t>
      </w:r>
    </w:p>
    <w:p>
      <w:pPr>
        <w:jc w:val="center"/>
      </w:pPr>
      <w:r>
        <w:rPr>
          <w:b/>
        </w:rPr>
        <w:t>Founder Approved Constitutional Canon</w:t>
      </w:r>
    </w:p>
    <w:p>
      <w:pPr>
        <w:jc w:val="center"/>
      </w:pPr>
      <w:r>
        <w:rPr>
          <w:i/>
        </w:rPr>
        <w:t>July 13, 2026</w:t>
      </w:r>
    </w:p>
    <w:tbl>
      <w:tblPr>
        <w:tblW w:type="auto" w:w="0"/>
        <w:jc w:val="center"/>
        <w:tblLayout w:type="fixed"/>
        <w:tblLook w:firstColumn="1" w:firstRow="1" w:lastColumn="0" w:lastRow="0" w:noHBand="0" w:noVBand="1" w:val="04A0"/>
      </w:tblPr>
      <w:tblGrid>
        <w:gridCol w:w="4896"/>
        <w:gridCol w:w="4896"/>
      </w:tblGrid>
      <w:tr>
        <w:tc>
          <w:tcPr>
            <w:tcW w:type="dxa" w:w="3168"/>
            <w:shd w:fill="EAF0F6"/>
            <w:vAlign w:val="center"/>
          </w:tcPr>
          <w:p>
            <w:pPr>
              <w:spacing w:after="40"/>
            </w:pPr>
            <w:r>
              <w:rPr>
                <w:b/>
                <w:sz w:val="18"/>
              </w:rPr>
              <w:t>Constitutional Status</w:t>
            </w:r>
          </w:p>
        </w:tc>
        <w:tc>
          <w:tcPr>
            <w:tcW w:type="dxa" w:w="5472"/>
            <w:vAlign w:val="center"/>
          </w:tcPr>
          <w:p>
            <w:pPr>
              <w:spacing w:after="40"/>
            </w:pPr>
            <w:r>
              <w:rPr>
                <w:sz w:val="18"/>
              </w:rPr>
              <w:t>FOUNDER APPROVED; CONTROLLING CANON</w:t>
            </w:r>
          </w:p>
        </w:tc>
      </w:tr>
      <w:tr>
        <w:tc>
          <w:tcPr>
            <w:tcW w:type="dxa" w:w="3168"/>
            <w:shd w:fill="EAF0F6"/>
            <w:vAlign w:val="center"/>
          </w:tcPr>
          <w:p>
            <w:pPr>
              <w:spacing w:after="40"/>
            </w:pPr>
            <w:r>
              <w:rPr>
                <w:b/>
                <w:sz w:val="18"/>
              </w:rPr>
              <w:t>Implementation Authority</w:t>
            </w:r>
          </w:p>
        </w:tc>
        <w:tc>
          <w:tcPr>
            <w:tcW w:type="dxa" w:w="5472"/>
            <w:vAlign w:val="center"/>
          </w:tcPr>
          <w:p>
            <w:pPr>
              <w:spacing w:after="40"/>
            </w:pPr>
            <w:r>
              <w:rPr>
                <w:sz w:val="18"/>
              </w:rPr>
              <w:t>FALSE</w:t>
            </w:r>
          </w:p>
        </w:tc>
      </w:tr>
      <w:tr>
        <w:tc>
          <w:tcPr>
            <w:tcW w:type="dxa" w:w="3168"/>
            <w:shd w:fill="EAF0F6"/>
            <w:vAlign w:val="center"/>
          </w:tcPr>
          <w:p>
            <w:pPr>
              <w:spacing w:after="40"/>
            </w:pPr>
            <w:r>
              <w:rPr>
                <w:b/>
                <w:sz w:val="18"/>
              </w:rPr>
              <w:t>Production Authority</w:t>
            </w:r>
          </w:p>
        </w:tc>
        <w:tc>
          <w:tcPr>
            <w:tcW w:type="dxa" w:w="5472"/>
            <w:vAlign w:val="center"/>
          </w:tcPr>
          <w:p>
            <w:pPr>
              <w:spacing w:after="40"/>
            </w:pPr>
            <w:r>
              <w:rPr>
                <w:sz w:val="18"/>
              </w:rPr>
              <w:t>FALSE</w:t>
            </w:r>
          </w:p>
        </w:tc>
      </w:tr>
      <w:tr>
        <w:tc>
          <w:tcPr>
            <w:tcW w:type="dxa" w:w="3168"/>
            <w:shd w:fill="EAF0F6"/>
            <w:vAlign w:val="center"/>
          </w:tcPr>
          <w:p>
            <w:pPr>
              <w:spacing w:after="40"/>
            </w:pPr>
            <w:r>
              <w:rPr>
                <w:b/>
                <w:sz w:val="18"/>
              </w:rPr>
              <w:t>Public Launch Authority</w:t>
            </w:r>
          </w:p>
        </w:tc>
        <w:tc>
          <w:tcPr>
            <w:tcW w:type="dxa" w:w="5472"/>
            <w:vAlign w:val="center"/>
          </w:tcPr>
          <w:p>
            <w:pPr>
              <w:spacing w:after="40"/>
            </w:pPr>
            <w:r>
              <w:rPr>
                <w:sz w:val="18"/>
              </w:rPr>
              <w:t>FALSE</w:t>
            </w:r>
          </w:p>
        </w:tc>
      </w:tr>
    </w:tbl>
    <w:p>
      <w:r>
        <w:br w:type="page"/>
      </w:r>
    </w:p>
    <w:p>
      <w:r/>
      <w:r>
        <w:rPr>
          <w:b/>
        </w:rPr>
        <w:t>Document Class:</w:t>
      </w:r>
      <w:r>
        <w:t xml:space="preserve"> EquineSync Constitutional Governance Canon  </w:t>
      </w:r>
    </w:p>
    <w:p>
      <w:r/>
      <w:r>
        <w:rPr>
          <w:b/>
        </w:rPr>
        <w:t>Governance Domain:</w:t>
      </w:r>
      <w:r>
        <w:t xml:space="preserve"> Reporting, Analytics, Dashboards, Metrics, Business Intelligence, Forecasting, Benchmarking, Research, Exports, and AI-Assisted Reporting  </w:t>
      </w:r>
    </w:p>
    <w:p>
      <w:r/>
      <w:r>
        <w:rPr>
          <w:b/>
        </w:rPr>
        <w:t>Founder Approval Date:</w:t>
      </w:r>
      <w:r>
        <w:t xml:space="preserve"> July 13, 2026  </w:t>
      </w:r>
    </w:p>
    <w:p>
      <w:r/>
      <w:r>
        <w:rPr>
          <w:b/>
        </w:rPr>
        <w:t>Constitutional Status:</w:t>
      </w:r>
      <w:r>
        <w:t xml:space="preserve"> Founder Approved; Controlling Canon  </w:t>
      </w:r>
    </w:p>
    <w:p>
      <w:r/>
      <w:r>
        <w:rPr>
          <w:b/>
        </w:rPr>
        <w:t>Implementation Authority:</w:t>
      </w:r>
      <w:r>
        <w:t xml:space="preserve"> FALSE  </w:t>
      </w:r>
    </w:p>
    <w:p>
      <w:r/>
      <w:r>
        <w:rPr>
          <w:b/>
        </w:rPr>
        <w:t>Schema or Migration Authority:</w:t>
      </w:r>
      <w:r>
        <w:t xml:space="preserve"> FALSE  </w:t>
      </w:r>
    </w:p>
    <w:p>
      <w:r/>
      <w:r>
        <w:rPr>
          <w:b/>
        </w:rPr>
        <w:t>External Vendor Activation:</w:t>
      </w:r>
      <w:r>
        <w:t xml:space="preserve"> FALSE  </w:t>
      </w:r>
    </w:p>
    <w:p>
      <w:r/>
      <w:r>
        <w:rPr>
          <w:b/>
        </w:rPr>
        <w:t>Production-Data Access:</w:t>
      </w:r>
      <w:r>
        <w:t xml:space="preserve"> FALSE  </w:t>
      </w:r>
    </w:p>
    <w:p>
      <w:r/>
      <w:r>
        <w:rPr>
          <w:b/>
        </w:rPr>
        <w:t>Public Reporting or Trust-Claim Authority:</w:t>
      </w:r>
      <w:r>
        <w:t xml:space="preserve"> FALSE  </w:t>
      </w:r>
    </w:p>
    <w:p>
      <w:r/>
      <w:r>
        <w:rPr>
          <w:b/>
        </w:rPr>
        <w:t>Production Release Authority:</w:t>
      </w:r>
      <w:r>
        <w:t xml:space="preserve"> FALSE  </w:t>
      </w:r>
    </w:p>
    <w:p>
      <w:r/>
      <w:r>
        <w:rPr>
          <w:b/>
        </w:rPr>
        <w:t>Public Launch Authority:</w:t>
      </w:r>
      <w:r>
        <w:t xml:space="preserve"> FALSE</w:t>
      </w:r>
    </w:p>
    <w:p>
      <w:pPr>
        <w:pStyle w:val="Heading1"/>
        <w:pBdr>
          <w:bottom w:val="single" w:sz="8" w:space="4" w:color="284B6F"/>
        </w:pBdr>
      </w:pPr>
      <w:r>
        <w:t>1. Purpose</w:t>
      </w:r>
    </w:p>
    <w:p>
      <w:r>
        <w:t>This Model establishes the controlling governance framework for how EquineSync transforms canonical operational data into reports, dashboards, metrics, analyses, forecasts, benchmarks, exports, summaries, alerts, research outputs, and decision-support information.</w:t>
      </w:r>
    </w:p>
    <w:p>
      <w:r>
        <w:t>It governs reporting and analytics involving horse care and welfare; barn and facility operations; lessons, training, riding, and competition; financial and business activity; inventory, equipment, and maintenance; safety, safeguarding, and compliance; audit and security; customer-created reports and metrics; internal platform analytics; cross-facility and cross-organization reporting; AI-assisted summaries, predictions, and recommendations; de-identified benchmarking; offline analytics; historical reproducibility; research; public reporting; and external document generation.</w:t>
      </w:r>
    </w:p>
    <w:p>
      <w:r>
        <w:t>Reporting exists to illuminate governed truth without replacing, altering, expanding, or overriding the authoritative records from which it is derived.</w:t>
      </w:r>
    </w:p>
    <w:p>
      <w:pPr>
        <w:pStyle w:val="Heading1"/>
        <w:pBdr>
          <w:bottom w:val="single" w:sz="8" w:space="4" w:color="284B6F"/>
        </w:pBdr>
      </w:pPr>
      <w:r>
        <w:t>2. Constitutional Principles</w:t>
      </w:r>
    </w:p>
    <w:p>
      <w:pPr>
        <w:pStyle w:val="Heading2"/>
      </w:pPr>
      <w:r>
        <w:t>2.1 Reporting Is Interpretive</w:t>
      </w:r>
    </w:p>
    <w:p>
      <w:r>
        <w:t>Reports, dashboards, metrics, summaries, visualizations, and analytical outputs are interpretations of canonical records. They do not independently become source records, legal authority, financial authority, medical diagnoses, welfare determinations, rider-ability determinations, ownership determinations, permission grants, disciplinary findings, or substitutes for the audit trail.</w:t>
      </w:r>
    </w:p>
    <w:p>
      <w:pPr>
        <w:pStyle w:val="Heading2"/>
      </w:pPr>
      <w:r>
        <w:t>2.2 Canonical Records Remain Authoritative</w:t>
      </w:r>
    </w:p>
    <w:p>
      <w:r>
        <w:t>When a report conflicts with a canonical source record, the canonical source record controls unless a governed reconciliation process corrects the source. A report may identify a discrepancy but may not silently resolve it.</w:t>
      </w:r>
    </w:p>
    <w:p>
      <w:pPr>
        <w:pStyle w:val="Heading2"/>
      </w:pPr>
      <w:r>
        <w:t>2.3 Read-Only by Default</w:t>
      </w:r>
    </w:p>
    <w:p>
      <w:r>
        <w:t>Reporting systems shall not silently modify authoritative records. A user may initiate a separately authorized workflow from a report, but the report itself shall not mutate source data.</w:t>
      </w:r>
    </w:p>
    <w:p>
      <w:pPr>
        <w:pStyle w:val="Heading2"/>
      </w:pPr>
      <w:r>
        <w:t>2.4 Narrowest-Permission Rule</w:t>
      </w:r>
    </w:p>
    <w:p>
      <w:r>
        <w:t>Every report, dashboard, export, metric, AI summary, forecast, benchmark, alert, and analytical view shall inherit the narrowest applicable authorization and permission boundary.</w:t>
      </w:r>
    </w:p>
    <w:p>
      <w:pPr>
        <w:pStyle w:val="Heading2"/>
      </w:pPr>
      <w:r>
        <w:t>2.5 Purpose Limitation</w:t>
      </w:r>
    </w:p>
    <w:p>
      <w:r>
        <w:t>Reporting shall be created, accessed, retained, shared, and used only for an authorized purpose, including horse welfare, safety, safeguarding, operations, finance, compliance, customer service, historical reconstruction, security, reliability, business intelligence, authorized research, and assistive AI support.</w:t>
      </w:r>
    </w:p>
    <w:p>
      <w:pPr>
        <w:pStyle w:val="Heading2"/>
      </w:pPr>
      <w:r>
        <w:t>2.6 Explainability and Provenance</w:t>
      </w:r>
    </w:p>
    <w:p>
      <w:r>
        <w:t>Material outputs shall disclose what data was used, where it originated, when it was refreshed, which metric and formula versions applied, whether assumptions or estimates were used, whether conflicting information exists, whether AI contributed, and what limitations affect interpretation.</w:t>
      </w:r>
    </w:p>
    <w:p>
      <w:pPr>
        <w:pStyle w:val="Heading2"/>
      </w:pPr>
      <w:r>
        <w:t>2.7 No Analytical Supremacy</w:t>
      </w:r>
    </w:p>
    <w:p>
      <w:r>
        <w:t>No warehouse, materialized view, spreadsheet, dashboard, model, report export, or business-intelligence tool becomes constitutionally superior to governed source systems.</w:t>
      </w:r>
    </w:p>
    <w:p>
      <w:pPr>
        <w:pStyle w:val="Heading1"/>
        <w:pBdr>
          <w:bottom w:val="single" w:sz="8" w:space="4" w:color="284B6F"/>
        </w:pBdr>
      </w:pPr>
      <w:r>
        <w:t>3. Scope</w:t>
      </w:r>
    </w:p>
    <w:p>
      <w:r>
        <w:t>This Model applies to all EquineSync modules, databases, APIs, event systems, analytical stores, caches, data warehouses, mobile and offline applications, internal administrative tools, AI systems, reporting processors, external vendors, exports, scheduled reports, and future analytical capabilities.</w:t>
      </w:r>
    </w:p>
    <w:p>
      <w:r>
        <w:t>All governed systems may serve as reporting sources when the source, data classification, steward, permission model, freshness, retention, authoritative status, limitations, and transformation history are documented.</w:t>
      </w:r>
    </w:p>
    <w:p>
      <w:r>
        <w:t>Covered domains include identity, accounts, organizations, facilities, relationships, horses, ownership, custody, transfer, medical and veterinary care, farrier and dental care, medications, feed and nutrition, turnout and exercise, rehabilitation, lessons, training, riders, guardians, staff, calendars, incidents, safeguarding, communications, agreements, billing, payments, inventory, maintenance, transportation, providers, audit, claims, security, offline synchronization, resilience, and authorized external systems.</w:t>
      </w:r>
    </w:p>
    <w:p>
      <w:pPr>
        <w:pStyle w:val="Heading1"/>
        <w:pBdr>
          <w:bottom w:val="single" w:sz="8" w:space="4" w:color="284B6F"/>
        </w:pBdr>
      </w:pPr>
      <w:r>
        <w:t>4. Governance Hierarchy and Cross-Canon Reconciliation</w:t>
      </w:r>
    </w:p>
    <w:p>
      <w:r>
        <w:t>This Model shall be interpreted consistently with controlling EquineSync canon governing identity, relationships, privacy, data protection, safeguarding, records, retention, claims, audit, financial truth, agreements, authorization, ownership, communications, AI, external processors, security, encryption, resilience, offline synchronization, platform operations, and release authority.</w:t>
      </w:r>
    </w:p>
    <w:p>
      <w:r>
        <w:t>Where a conflict appears:</w:t>
      </w:r>
    </w:p>
    <w:p>
      <w:pPr>
        <w:pStyle w:val="ListNumber"/>
      </w:pPr>
      <w:r>
        <w:t>The more protective privacy, safeguarding, security, evidentiary, or permission rule controls unless expressly superseded.</w:t>
      </w:r>
    </w:p>
    <w:p>
      <w:pPr>
        <w:pStyle w:val="ListNumber"/>
      </w:pPr>
      <w:r>
        <w:t>Release shall pause when ambiguity affects a material right or safety interest.</w:t>
      </w:r>
    </w:p>
    <w:p>
      <w:pPr>
        <w:pStyle w:val="ListNumber"/>
      </w:pPr>
      <w:r>
        <w:t>The conflict shall be recorded and escalated for controlled reconciliation.</w:t>
      </w:r>
    </w:p>
    <w:p>
      <w:pPr>
        <w:pStyle w:val="ListNumber"/>
      </w:pPr>
      <w:r>
        <w:t>Implementation teams shall not independently resolve constitutional ambiguity.</w:t>
      </w:r>
    </w:p>
    <w:p>
      <w:pPr>
        <w:pStyle w:val="Heading1"/>
        <w:pBdr>
          <w:bottom w:val="single" w:sz="8" w:space="4" w:color="284B6F"/>
        </w:pBdr>
      </w:pPr>
      <w:r>
        <w:t>5. Reporting Authority and Source Hierarchy</w:t>
      </w:r>
    </w:p>
    <w:p>
      <w:pPr>
        <w:pStyle w:val="Heading2"/>
      </w:pPr>
      <w:r>
        <w:t>5.1 Source Registration</w:t>
      </w:r>
    </w:p>
    <w:p>
      <w:r>
        <w:t>A source may feed reporting only when EquineSync identifies its system, domain, steward, classification, permission model, expected freshness, retention rule, authoritative status, limitations, and transformation history.</w:t>
      </w:r>
    </w:p>
    <w:p>
      <w:pPr>
        <w:pStyle w:val="Heading2"/>
      </w:pPr>
      <w:r>
        <w:t>5.2 Multi-Domain Reporting</w:t>
      </w:r>
    </w:p>
    <w:p>
      <w:r>
        <w:t>Reports may combine domains only when the user is authorized for each included element, the combined presentation does not reveal unauthorized information, transformations are documented, conflicts are disclosed, sensitive information is minimized, and tenant isolation remains intact.</w:t>
      </w:r>
    </w:p>
    <w:p>
      <w:pPr>
        <w:pStyle w:val="Heading2"/>
      </w:pPr>
      <w:r>
        <w:t>5.3 Conflicting Data</w:t>
      </w:r>
    </w:p>
    <w:p>
      <w:r>
        <w:t>When source data conflicts, the report shall identify the conflict, identify relevant source records, show which record is newest, avoid treating recency as automatic correctness, preserve authorized conflicting values, identify supportable possible explanations, distinguish fact from inference, provide a correction or reconciliation path, and preserve evidence where required.</w:t>
      </w:r>
    </w:p>
    <w:p>
      <w:r>
        <w:t>Possible explanations include different entry times, measurement methods, delayed synchronization, duplicate records, corrections, changes in horse condition, ownership or responsibility changes, vendor discrepancies, time-zone conversion, user error, incomplete data, or legitimate contextual differences. EquineSync shall not invent an explanation where evidence is insufficient.</w:t>
      </w:r>
    </w:p>
    <w:p>
      <w:pPr>
        <w:pStyle w:val="Heading1"/>
        <w:pBdr>
          <w:bottom w:val="single" w:sz="8" w:space="4" w:color="284B6F"/>
        </w:pBdr>
      </w:pPr>
      <w:r>
        <w:t>6. Report Classification</w:t>
      </w:r>
    </w:p>
    <w:p>
      <w:r>
        <w:t>Reports shall be classified by purpose, sensitivity, audience, authority, freshness, and expected reliance.</w:t>
      </w:r>
    </w:p>
    <w:p>
      <w:pPr>
        <w:pStyle w:val="Heading2"/>
      </w:pPr>
      <w:r>
        <w:t>6.1 Official EquineSync Reports</w:t>
      </w:r>
    </w:p>
    <w:p>
      <w:r>
        <w:t>Official reports use governed definitions, documented sources, controlled formulas, versioned logic, and approved presentation standards.</w:t>
      </w:r>
    </w:p>
    <w:p>
      <w:pPr>
        <w:pStyle w:val="Heading2"/>
      </w:pPr>
      <w:r>
        <w:t>6.2 Customer-Created Reports</w:t>
      </w:r>
    </w:p>
    <w:p>
      <w:r>
        <w:t>Customers may create custom reports, dashboards, filters, calculations, and KPIs within their authorized scope. They remain local, are labeled customer-defined, preserve ownership and material formula history, do not become official EquineSync metrics, and may not circumvent permissions or create prohibited conclusions.</w:t>
      </w:r>
    </w:p>
    <w:p>
      <w:pPr>
        <w:pStyle w:val="Heading2"/>
      </w:pPr>
      <w:r>
        <w:t>6.3 Internal Platform Reports</w:t>
      </w:r>
    </w:p>
    <w:p>
      <w:r>
        <w:t>EquineSync may create internal reports for operations, security, reliability, support, compliance, business planning, aggregate usage, user counts, decommissioned-account research, and authorized product research. Internal purpose does not authorize unrestricted employee access.</w:t>
      </w:r>
    </w:p>
    <w:p>
      <w:pPr>
        <w:pStyle w:val="Heading2"/>
      </w:pPr>
      <w:r>
        <w:t>6.4 Evidentiary Reports</w:t>
      </w:r>
    </w:p>
    <w:p>
      <w:r>
        <w:t>Reports intended for disputes, audits, claims, litigation, regulatory review, insurance, formal compliance, or disciplinary processes require heightened provenance, immutability, reproducibility, and chain-of-custody controls.</w:t>
      </w:r>
    </w:p>
    <w:p>
      <w:pPr>
        <w:pStyle w:val="Heading1"/>
        <w:pBdr>
          <w:bottom w:val="single" w:sz="8" w:space="4" w:color="284B6F"/>
        </w:pBdr>
      </w:pPr>
      <w:r>
        <w:t>7. Reliability and Certification Classes</w:t>
      </w:r>
    </w:p>
    <w:p>
      <w:pPr>
        <w:pStyle w:val="Heading2"/>
      </w:pPr>
      <w:r>
        <w:t>7.1 Class A: Informational</w:t>
      </w:r>
    </w:p>
    <w:p>
      <w:r>
        <w:t>Convenience, awareness, routine summaries, and nonconsequential exploration.</w:t>
      </w:r>
    </w:p>
    <w:p>
      <w:pPr>
        <w:pStyle w:val="Heading2"/>
      </w:pPr>
      <w:r>
        <w:t>7.2 Class B: Operational</w:t>
      </w:r>
    </w:p>
    <w:p>
      <w:r>
        <w:t>Work coordination, assignments, schedules, inventory, care activities, facility operations, and routine management.</w:t>
      </w:r>
    </w:p>
    <w:p>
      <w:pPr>
        <w:pStyle w:val="Heading2"/>
      </w:pPr>
      <w:r>
        <w:t>7.3 Class C: Material Business</w:t>
      </w:r>
    </w:p>
    <w:p>
      <w:r>
        <w:t>Budgeting, staffing, pricing, forecasting, payment review, business planning, and other material commercial decisions.</w:t>
      </w:r>
    </w:p>
    <w:p>
      <w:pPr>
        <w:pStyle w:val="Heading2"/>
      </w:pPr>
      <w:r>
        <w:t>7.4 Class D: Safety or Welfare Sensitive</w:t>
      </w:r>
    </w:p>
    <w:p>
      <w:r>
        <w:t>Horse welfare, medications, emergency readiness, minors, safeguarding, incidents, and safety escalation.</w:t>
      </w:r>
    </w:p>
    <w:p>
      <w:pPr>
        <w:pStyle w:val="Heading2"/>
      </w:pPr>
      <w:r>
        <w:t>7.5 Class E: Financially Reconciled</w:t>
      </w:r>
    </w:p>
    <w:p>
      <w:r>
        <w:t>Financial statements, payment reconciliation, taxes, provider payouts, owner balances, and formal financial purposes.</w:t>
      </w:r>
    </w:p>
    <w:p>
      <w:pPr>
        <w:pStyle w:val="Heading2"/>
      </w:pPr>
      <w:r>
        <w:t>7.6 Class F: Evidentiary or Regulated</w:t>
      </w:r>
    </w:p>
    <w:p>
      <w:r>
        <w:t>Claims, disputes, litigation, legal holds, regulatory review, investigations, insurance, discipline, and formal compliance.</w:t>
      </w:r>
    </w:p>
    <w:p>
      <w:r>
        <w:t>A report may be labeled certified, reconciled, final, audited, official, regulatory, tax-ready, legally sufficient, verified, compliant, or evidentiary only through a defined certification process and authorized reviewer. Polished formatting or a PDF export does not imply certification.</w:t>
      </w:r>
    </w:p>
    <w:p>
      <w:pPr>
        <w:pStyle w:val="Heading1"/>
        <w:pBdr>
          <w:bottom w:val="single" w:sz="8" w:space="4" w:color="284B6F"/>
        </w:pBdr>
      </w:pPr>
      <w:r>
        <w:t>8. Access and Permission Governance</w:t>
      </w:r>
    </w:p>
    <w:p>
      <w:r>
        <w:t>Reports shall reflect the intersection of identity, role, organization membership, facility access, horse relationship, guardian relationship, provider assignment, financial authority, record-level controls, field-level restrictions, purpose, time limits, legal restrictions, and safeguarding controls.</w:t>
      </w:r>
    </w:p>
    <w:p>
      <w:r>
        <w:t>Hidden, sealed, privileged, restricted, or purpose-limited fields may not be exposed merely because they exist in a source. Internal access requires valid role, approved purpose, minimum-necessary disclosure, and logging.</w:t>
      </w:r>
    </w:p>
    <w:p>
      <w:r>
        <w:t>Cross-facility reporting is permitted only where access was granted by an authorized client boarding at the facility, a barn administrator, facility owner, facility manager, or another authorized representative. Scope remains limited to the authorized horses, services, records, or workflows.</w:t>
      </w:r>
    </w:p>
    <w:p>
      <w:r>
        <w:t>Users may compare horses outside their ordinary scope only through approved public sale-listing information. A sale listing does not expose private medical, ownership, financial, behavioral, safeguarding, or historical records.</w:t>
      </w:r>
    </w:p>
    <w:p>
      <w:pPr>
        <w:pStyle w:val="Heading1"/>
        <w:pBdr>
          <w:bottom w:val="single" w:sz="8" w:space="4" w:color="284B6F"/>
        </w:pBdr>
      </w:pPr>
      <w:r>
        <w:t>9. Minors, Guardians, and Safeguarding</w:t>
      </w:r>
    </w:p>
    <w:p>
      <w:r>
        <w:t>Reporting involving minors shall follow applicable law, controlling EquineSync privacy and safeguarding canon, SafeSport requirements where applicable, relevant NCMEC child-safety guidance, COPPA where legally applicable, FERPA where records are actually subject to FERPA, and applicable state, territorial, tribal, or international requirements.</w:t>
      </w:r>
    </w:p>
    <w:p>
      <w:r>
        <w:t>SafeSport principles may be adopted as a platform safeguarding baseline even when not legally mandatory, but reports shall not claim that SafeSport legally governs a customer without a valid basis.</w:t>
      </w:r>
    </w:p>
    <w:p>
      <w:r>
        <w:t>Minor-related reports shall minimize full birth dates, home addresses, school information, personal contact details, exact real-time location, routine schedules, guardian disputes, medical details, safeguarding reports, direct-message content, photographs, emergency contacts, and other information that could increase risk.</w:t>
      </w:r>
    </w:p>
    <w:p>
      <w:r>
        <w:t>Safeguarding, abuse, exploitation, grooming, missing-child, or trafficking information shall not appear in ordinary dashboards and shall be confined to a purpose-limited safeguarding workflow.</w:t>
      </w:r>
    </w:p>
    <w:p>
      <w:pPr>
        <w:pStyle w:val="Heading1"/>
        <w:pBdr>
          <w:bottom w:val="single" w:sz="8" w:space="4" w:color="284B6F"/>
        </w:pBdr>
      </w:pPr>
      <w:r>
        <w:t>10. Deleted, Decommissioned, and Retained Data</w:t>
      </w:r>
    </w:p>
    <w:p>
      <w:r>
        <w:t>Deleted or deactivated records may appear only where necessary for legal hold, claims, audit, financial reconciliation, security, fraud prevention, regulation, historical reconstruction, authorized business metrics, user counts, decommissioned-account research, or another approved retention purpose.</w:t>
      </w:r>
    </w:p>
    <w:p>
      <w:r>
        <w:t>Business-metric retention shall be minimized, aggregated or de-identified where possible, discarded when no longer relevant, protected from operational reuse, excluded from unrelated marketing or profiling, and periodically reviewed.</w:t>
      </w:r>
    </w:p>
    <w:p>
      <w:r>
        <w:t>Retained deleted data shall not silently reappear in active workflows or become an active source record.</w:t>
      </w:r>
    </w:p>
    <w:p>
      <w:pPr>
        <w:pStyle w:val="Heading1"/>
        <w:pBdr>
          <w:bottom w:val="single" w:sz="8" w:space="4" w:color="284B6F"/>
        </w:pBdr>
      </w:pPr>
      <w:r>
        <w:t>11. Data-Quality Governance</w:t>
      </w:r>
    </w:p>
    <w:p>
      <w:r>
        <w:t>A report is not reliable merely because a calculation completed. Material reports shall evaluate completeness, accuracy, validity, consistency, timeliness, uniqueness, reconciliation, provenance, representativeness, synchronization status, source availability, and known bias.</w:t>
      </w:r>
    </w:p>
    <w:p>
      <w:r>
        <w:t>Quality states are:</w:t>
      </w:r>
    </w:p>
    <w:p>
      <w:pPr>
        <w:pStyle w:val="ListBullet"/>
      </w:pPr>
      <w:r/>
      <w:r>
        <w:rPr>
          <w:b/>
        </w:rPr>
        <w:t>Verified:</w:t>
      </w:r>
      <w:r>
        <w:t xml:space="preserve"> Required validation and reconciliation passed.</w:t>
      </w:r>
    </w:p>
    <w:p>
      <w:pPr>
        <w:pStyle w:val="ListBullet"/>
      </w:pPr>
      <w:r/>
      <w:r>
        <w:rPr>
          <w:b/>
        </w:rPr>
        <w:t>Qualified:</w:t>
      </w:r>
      <w:r>
        <w:t xml:space="preserve"> Usable, but known limitations materially affect interpretation.</w:t>
      </w:r>
    </w:p>
    <w:p>
      <w:pPr>
        <w:pStyle w:val="ListBullet"/>
      </w:pPr>
      <w:r/>
      <w:r>
        <w:rPr>
          <w:b/>
        </w:rPr>
        <w:t>Preliminary:</w:t>
      </w:r>
      <w:r>
        <w:t xml:space="preserve"> Based on incomplete, provisional, recently synchronized, or unreconciled information.</w:t>
      </w:r>
    </w:p>
    <w:p>
      <w:pPr>
        <w:pStyle w:val="ListBullet"/>
      </w:pPr>
      <w:r/>
      <w:r>
        <w:rPr>
          <w:b/>
        </w:rPr>
        <w:t>Disputed:</w:t>
      </w:r>
      <w:r>
        <w:t xml:space="preserve"> Material underlying data or calculation is under active dispute.</w:t>
      </w:r>
    </w:p>
    <w:p>
      <w:pPr>
        <w:pStyle w:val="ListBullet"/>
      </w:pPr>
      <w:r/>
      <w:r>
        <w:rPr>
          <w:b/>
        </w:rPr>
        <w:t>Degraded:</w:t>
      </w:r>
      <w:r>
        <w:t xml:space="preserve"> Outage, delay, migration defect, or processing failure materially reduces reliability.</w:t>
      </w:r>
    </w:p>
    <w:p>
      <w:pPr>
        <w:pStyle w:val="ListBullet"/>
      </w:pPr>
      <w:r/>
      <w:r>
        <w:rPr>
          <w:b/>
        </w:rPr>
        <w:t>Withdrawn:</w:t>
      </w:r>
      <w:r>
        <w:t xml:space="preserve"> The report shall no longer be relied upon.</w:t>
      </w:r>
    </w:p>
    <w:p>
      <w:r>
        <w:t>Reports shall disclose missing sources, exclusions, duplicate treatment, conflict treatment, reconciliation status, manual adjustments, sample completeness, estimates, and known reasons the result may mislead.</w:t>
      </w:r>
    </w:p>
    <w:p>
      <w:r>
        <w:t>Missing data shall not automatically mean zero, no, complete, normal, healthy, paid, absent, compliant, or not applicable.</w:t>
      </w:r>
    </w:p>
    <w:p>
      <w:pPr>
        <w:pStyle w:val="Heading1"/>
        <w:pBdr>
          <w:bottom w:val="single" w:sz="8" w:space="4" w:color="284B6F"/>
        </w:pBdr>
      </w:pPr>
      <w:r>
        <w:t>12. Data Freshness and Time</w:t>
      </w:r>
    </w:p>
    <w:p>
      <w:r>
        <w:t>EquineSync adopts four freshness tiers:</w:t>
      </w:r>
    </w:p>
    <w:p>
      <w:pPr>
        <w:pStyle w:val="ListBullet"/>
      </w:pPr>
      <w:r/>
      <w:r>
        <w:rPr>
          <w:b/>
        </w:rPr>
        <w:t>Live:</w:t>
      </w:r>
      <w:r>
        <w:t xml:space="preserve"> Reflects committed or received events subject to processing limitations.</w:t>
      </w:r>
    </w:p>
    <w:p>
      <w:pPr>
        <w:pStyle w:val="ListBullet"/>
      </w:pPr>
      <w:r/>
      <w:r>
        <w:rPr>
          <w:b/>
        </w:rPr>
        <w:t>Near Real-Time:</w:t>
      </w:r>
      <w:r>
        <w:t xml:space="preserve"> Designed to update within approximately five minutes under normal conditions.</w:t>
      </w:r>
    </w:p>
    <w:p>
      <w:pPr>
        <w:pStyle w:val="ListBullet"/>
      </w:pPr>
      <w:r/>
      <w:r>
        <w:rPr>
          <w:b/>
        </w:rPr>
        <w:t>Operational:</w:t>
      </w:r>
      <w:r>
        <w:t xml:space="preserve"> Periodic refresh, commonly hourly or at another disclosed interval.</w:t>
      </w:r>
    </w:p>
    <w:p>
      <w:pPr>
        <w:pStyle w:val="ListBullet"/>
      </w:pPr>
      <w:r/>
      <w:r>
        <w:rPr>
          <w:b/>
        </w:rPr>
        <w:t>Historical:</w:t>
      </w:r>
      <w:r>
        <w:t xml:space="preserve"> Scheduled snapshots or analytical stores, commonly nightly or at another disclosed interval.</w:t>
      </w:r>
    </w:p>
    <w:p>
      <w:r>
        <w:t>Material reports shall disclose generation time, last refresh, freshness tier, applicable time zone, synchronization delay, offline limitations, source completeness, and whether sources refresh at different intervals.</w:t>
      </w:r>
    </w:p>
    <w:p>
      <w:r>
        <w:t>Canonical events shall preserve UTC, originating time zone where known, originating local time where material, daylight-saving context, and source timing metadata. Users, facilities, organizations, and reports may have distinct display settings. Changing a display preference shall not alter historical event time.</w:t>
      </w:r>
    </w:p>
    <w:p>
      <w:pPr>
        <w:pStyle w:val="Heading1"/>
        <w:pBdr>
          <w:bottom w:val="single" w:sz="8" w:space="4" w:color="284B6F"/>
        </w:pBdr>
      </w:pPr>
      <w:r>
        <w:t>13. Metric and KPI Governance</w:t>
      </w:r>
    </w:p>
    <w:p>
      <w:r>
        <w:t>Official EquineSync KPIs require controlled governance. No employee, customer, vendor, AI system, or implementation team may independently declare a metric official.</w:t>
      </w:r>
    </w:p>
    <w:p>
      <w:r>
        <w:t>Each official KPI shall define its name, purpose, question, numerator, denominator, inclusion and exclusion criteria, sources, classifications, permissions, interval, time-zone rule, missing-data treatment, duplicate treatment, conflict treatment, formula version, effective date, steward, approved uses, prohibited interpretations, limitations, and deprecation rule.</w:t>
      </w:r>
    </w:p>
    <w:p>
      <w:r>
        <w:t>Customers may create local KPIs, but they must remain labeled customer-defined, preserve formula and owner, avoid misleading official branding, and avoid prohibited medical, legal, welfare, financial, safeguarding, employment, or eligibility conclusions.</w:t>
      </w:r>
    </w:p>
    <w:p>
      <w:r>
        <w:t>Formula changes require version number, effective date, author, approver, reason, affected reports, comparability impact, migration rule, historical treatment, and deprecation status. New formulas shall not silently rewrite historical reports.</w:t>
      </w:r>
    </w:p>
    <w:p>
      <w:pPr>
        <w:pStyle w:val="Heading1"/>
        <w:pBdr>
          <w:bottom w:val="single" w:sz="8" w:space="4" w:color="284B6F"/>
        </w:pBdr>
      </w:pPr>
      <w:r>
        <w:t>14. Reproducibility and Historical Reporting</w:t>
      </w:r>
    </w:p>
    <w:p>
      <w:r>
        <w:t>Material reports shall be reproducible to the extent technically and legally feasible, considering source versions, formula versions, filters, permissions, time zone, currency, exchange rate, AI model, data freshness, snapshot, exclusions, manual overrides, corrections, and external dependencies.</w:t>
      </w:r>
    </w:p>
    <w:p>
      <w:r>
        <w:t>Historical calculations shall be preserved where required for finance, claims, legal hold, audit, compliance, horse-welfare continuity, material decisions, customer reliance, disputes, and evidence.</w:t>
      </w:r>
    </w:p>
    <w:p>
      <w:r>
        <w:t>Regenerated reports are separate versions when underlying data, formula, filter, permissions, time zone, AI output, or user inputs changed.</w:t>
      </w:r>
    </w:p>
    <w:p>
      <w:pPr>
        <w:pStyle w:val="Heading1"/>
        <w:pBdr>
          <w:bottom w:val="single" w:sz="8" w:space="4" w:color="284B6F"/>
        </w:pBdr>
      </w:pPr>
      <w:r>
        <w:t>15. Statistical Integrity</w:t>
      </w:r>
    </w:p>
    <w:p>
      <w:r>
        <w:t>Reports shall not cherry-pick periods, suppress unfavorable results without disclosure, use inappropriate denominators, present correlation as causation, generalize beyond the observed population, hide sample size, compare materially dissimilar groups without qualification, use unstable percentages from tiny counts, conceal skew, mix incompatible metric versions, hide seasonality, conceal data gaps, or imply false precision.</w:t>
      </w:r>
    </w:p>
    <w:p>
      <w:r>
        <w:t>Comparative, predictive, benchmark, and research reports shall disclose sample size where meaningful. Where appropriate, they shall include ranges, confidence intervals, prediction intervals, sensitivity analyses, scenario assumptions, error margins, or qualitative uncertainty.</w:t>
      </w:r>
    </w:p>
    <w:p>
      <w:r>
        <w:t>Outliers shall not be silently removed. The governing definition shall explain what counts as an outlier, whether it is excluded, why, whether an unfiltered result exists, and how exclusion affects the output.</w:t>
      </w:r>
    </w:p>
    <w:p>
      <w:r>
        <w:t>Causal language requires methodology capable of supporting causation. Otherwise use terms such as associated with, correlated with, occurred alongside, followed by, may have contributed to, or warrants further investigation.</w:t>
      </w:r>
    </w:p>
    <w:p>
      <w:pPr>
        <w:pStyle w:val="Heading1"/>
        <w:pBdr>
          <w:bottom w:val="single" w:sz="8" w:space="4" w:color="284B6F"/>
        </w:pBdr>
      </w:pPr>
      <w:r>
        <w:t>16. Small-Cell and Re-Identification Protection</w:t>
      </w:r>
    </w:p>
    <w:p>
      <w:r>
        <w:t>Benchmarks, aggregates, and research shall suppress or combine cells too small to prevent reasonable re-identification. Thresholds shall account for sensitivity, population size, geography, dimensions, uniqueness, outside information, risk to minors, competitive sensitivity, and potential harm.</w:t>
      </w:r>
    </w:p>
    <w:p>
      <w:r>
        <w:t>Complementary suppression shall prevent deduction from totals or neighboring cells. EquineSync shall assess mosaic risk across repeated filters, exports, and queries.</w:t>
      </w:r>
    </w:p>
    <w:p>
      <w:r>
        <w:t>Controls may include minimum cohort sizes, query-rate limits, dimension limits, time delays, privacy-preserving techniques, rounding, ranges, caching, export restrictions, and manual approval.</w:t>
      </w:r>
    </w:p>
    <w:p>
      <w:r>
        <w:t>Attempted re-identification is prohibited.</w:t>
      </w:r>
    </w:p>
    <w:p>
      <w:pPr>
        <w:pStyle w:val="Heading1"/>
        <w:pBdr>
          <w:bottom w:val="single" w:sz="8" w:space="4" w:color="284B6F"/>
        </w:pBdr>
      </w:pPr>
      <w:r>
        <w:t>17. Dashboard Governance</w:t>
      </w:r>
    </w:p>
    <w:p>
      <w:r>
        <w:t>Approved dashboard classes include horse owner, rider, guardian, trainer, barn staff, barn manager, facility owner, organization administrator, veterinarian, farrier, dentist, nutrition professional, rehabilitation provider, breeding, rescue, foster, transport, finance, executive, AI insights, compliance, audit, inventory, maintenance, safety, lesson program, competition, mobile, offline, and internal operations.</w:t>
      </w:r>
    </w:p>
    <w:p>
      <w:r>
        <w:t>Dashboards shall prioritize information appropriate to the role and may be customized through widget selection, order, saved filters, date ranges, display preferences, authorized metrics, notification preferences, and layout. Customization shall not expand access.</w:t>
      </w:r>
    </w:p>
    <w:p>
      <w:r>
        <w:t>Widgets and extensions must use registered sources, respect permissions, identify freshness, avoid prohibited conclusions, meet accessibility requirements, preserve reliability, avoid unapproved processors, and complete security and privacy review.</w:t>
      </w:r>
    </w:p>
    <w:p>
      <w:pPr>
        <w:pStyle w:val="Heading1"/>
        <w:pBdr>
          <w:bottom w:val="single" w:sz="8" w:space="4" w:color="284B6F"/>
        </w:pBdr>
      </w:pPr>
      <w:r>
        <w:t>18. AI-Assisted Reporting and Predictive Analytics</w:t>
      </w:r>
    </w:p>
    <w:p>
      <w:r>
        <w:t>AI may summarize reports, explain trends, identify anomalies, detect patterns, draft narratives, suggest questions, forecast authorized outcomes, recommend nonbinding actions, identify missing information, compare periods, describe visuals, translate content, and assist configuration.</w:t>
      </w:r>
    </w:p>
    <w:p>
      <w:r>
        <w:t>AI outputs shall be labeled, distinguish fact from inference, identify material sources, disclose uncertainty and estimates, identify missing information, avoid unsupported certainty, preserve permissions, permit challenge, and direct users to authoritative records where appropriate.</w:t>
      </w:r>
    </w:p>
    <w:p>
      <w:r>
        <w:t>Predictive analytics may support vaccination, farrier and dental timing, medication supply, feed consumption, water trends, workload, recovery, rest, occupancy, lesson demand, revenue, cash flow, receivables, staffing, payroll, inventory depletion, maintenance, rider time, training volume, and schedule balance.</w:t>
      </w:r>
    </w:p>
    <w:p>
      <w:r>
        <w:t>AI may not independently diagnose illness or lameness; determine treatment, rider ability, eligibility, abuse, misconduct, liability, ownership, custody, financial responsibility, payment approval, discipline, account suspension, minor removal, fault, or professional judgment; or execute consequential decisions without separate authority.</w:t>
      </w:r>
    </w:p>
    <w:p>
      <w:pPr>
        <w:pStyle w:val="Heading1"/>
        <w:pBdr>
          <w:bottom w:val="single" w:sz="8" w:space="4" w:color="284B6F"/>
        </w:pBdr>
      </w:pPr>
      <w:r>
        <w:t>19. High-Risk Analytics Validation</w:t>
      </w:r>
    </w:p>
    <w:p>
      <w:r>
        <w:t>High-risk functions include welfare scoring, care-risk prediction, medication-compliance prediction, injury or lameness pattern detection, minor workload analytics, safeguarding pattern detection, fraud detection, payment-risk scoring, employee-performance scoring, provider-quality scoring, public benchmarking, automated anomaly escalation, legal analytics, and any model likely to influence a consequential decision.</w:t>
      </w:r>
    </w:p>
    <w:p>
      <w:r>
        <w:t>Before activation, high-risk analytics require validation of purpose, data quality, accuracy, error rates, false positives, false negatives, population coverage, bias, explainability, stability, security, privacy, human review, appeal, failure behavior, monitoring, rollback, and prohibited-use enforcement.</w:t>
      </w:r>
    </w:p>
    <w:p>
      <w:r>
        <w:t>Validation is context-specific and should receive independent review. Production-approved models require monitoring for performance drift, data drift, concept drift, disparate impact, unintended use, user overreliance, source changes, and legal or canonical change. EquineSync shall be able to suspend the model without disabling authoritative records.</w:t>
      </w:r>
    </w:p>
    <w:p>
      <w:pPr>
        <w:pStyle w:val="Heading1"/>
        <w:pBdr>
          <w:bottom w:val="single" w:sz="8" w:space="4" w:color="284B6F"/>
        </w:pBdr>
      </w:pPr>
      <w:r>
        <w:t>20. Benchmarking</w:t>
      </w:r>
    </w:p>
    <w:p>
      <w:r>
        <w:t>Internal benchmarking is permitted for reliability, support, security, product improvement, capacity planning, strategy, adoption, and authorized research, subject to purpose limitation and employee-access controls.</w:t>
      </w:r>
    </w:p>
    <w:p>
      <w:r>
        <w:t>Customer-facing benchmarking requires opt-in participation, aggregation, de-identification, small-cell suppression, prohibition on re-identification, future withdrawal, methodology disclosure, and exclusion of prohibited profiling or consequential uses.</w:t>
      </w:r>
    </w:p>
    <w:p>
      <w:r>
        <w:t>Permitted areas may include occupancy, lesson utilization, staffing ratios, feed costs, inventory turnover, medication-completion rates, farrier intervals, task completion, maintenance response, cancellation rates, and revenue distribution.</w:t>
      </w:r>
    </w:p>
    <w:p>
      <w:r>
        <w:t>Benchmarking may not publicly rank identifiable barns, trainers, riders, or welfare; infer abuse, misconduct, or medical quality; shame customers; unlawfully price discriminate; deny service automatically; reveal trade secrets; expose private finances; or circumvent tenant isolation.</w:t>
      </w:r>
    </w:p>
    <w:p>
      <w:pPr>
        <w:pStyle w:val="Heading1"/>
        <w:pBdr>
          <w:bottom w:val="single" w:sz="8" w:space="4" w:color="284B6F"/>
        </w:pBdr>
      </w:pPr>
      <w:r>
        <w:t>21. Financial Reporting</w:t>
      </w:r>
    </w:p>
    <w:p>
      <w:r>
        <w:t>EquineSync may support profit and loss, balance sheet, cash flow, receivables, payables, invoice aging, payments, credits, refunds, deposits, chargebacks, disputes, provider payouts, contractor payments, payroll-related reports, sales tax, 1099 support, budget versus actual, forecasts, revenue by service, horse, rider, trainer, and facility, boarding, lessons, training, clinics, competition, occupancy, delinquencies, cancellations, instructor utilization, feed, medication, tack, equipment, shrinkage, veterinary expense, farrier expense, total horse cost, capital expenditure, and maintenance expense.</w:t>
      </w:r>
    </w:p>
    <w:p>
      <w:r>
        <w:t>Identifiable cross-organization financial reporting is permitted only for authorized internal purposes or where each organization has validly granted access. User-level financial views shall mask bank data, payment credentials, payroll, unrelated balances, margins, tax identifiers, and other information beyond role authority.</w:t>
      </w:r>
    </w:p>
    <w:p>
      <w:r>
        <w:t>Financial reports shall reconcile to controlling Financial Truth canon and may not independently create, discharge, transfer, or determine obligations.</w:t>
      </w:r>
    </w:p>
    <w:p>
      <w:pPr>
        <w:pStyle w:val="Heading1"/>
        <w:pBdr>
          <w:bottom w:val="single" w:sz="8" w:space="4" w:color="284B6F"/>
        </w:pBdr>
      </w:pPr>
      <w:r>
        <w:t>22. Horse Welfare and Care Reporting</w:t>
      </w:r>
    </w:p>
    <w:p>
      <w:r>
        <w:t>Permitted indicators include preventive care, vaccination, deworming, fecal testing, dental, farrier, Coggins, health certificates, insurance, weight, body condition, temperature, pulse, respiration, hydration, swelling, wounds, lameness observations, hoof and coat condition, feed, hay, water, appetite, supplements, turnout, exercise, riding, lessons, training, competition, rehabilitation, rest, stall-rest compliance, travel, medication adherence, treatments, injury history, restrictions, follow-up, behavior, stress, stable vices, herd behavior, sleep, stall cleanliness, bedding, ventilation, heat index, cold exposure, mud, pasture, shelter, insects, equipment safety, and hazards.</w:t>
      </w:r>
    </w:p>
    <w:p>
      <w:r>
        <w:t>Welfare scoring is opt-in, component-based, inspectable, non-diagnostic, prominently disclaimed, unable to declare abuse, neglect, fitness, or suitability, unable to trigger automatic enforcement, and subject to validation. Missing material data shall produce insufficient information rather than false reassurance or adverse scoring.</w:t>
      </w:r>
    </w:p>
    <w:p>
      <w:r>
        <w:t>Known emergencies, missed critical medications, dangerous environmental conditions, and explicit professional instructions shall be presented directly and not hidden inside a composite score.</w:t>
      </w:r>
    </w:p>
    <w:p>
      <w:pPr>
        <w:pStyle w:val="Heading1"/>
        <w:pBdr>
          <w:bottom w:val="single" w:sz="8" w:space="4" w:color="284B6F"/>
        </w:pBdr>
      </w:pPr>
      <w:r>
        <w:t>23. Operational Reporting and Alerts</w:t>
      </w:r>
    </w:p>
    <w:p>
      <w:r>
        <w:t>Operational reporting may cover daily feeding, water, medications, supplements, turnout, blanketing, stalls, bedding, grooming, exercise, lessons, training, rehabilitation, horse checks, assignments, shifts, tasks, handoffs, and exceptions; weekly inventory, supplies, cleaning, pasture rotation, maintenance, scheduling, workload, utilization, provider schedules, and service requests; periodic safety, fire, equipment, trailer, arena, fence, water, electrical, pest, insurance, permit, waiver, certification, credential, and document checks; and business occupancy, turnover, growth, churn, workload, demand, revenue, balances, service volume, capacity, waitlists, costs, and seasonality.</w:t>
      </w:r>
    </w:p>
    <w:p>
      <w:r>
        <w:t>Alert levels are informational, advisory, action required, urgent, and emergency. Alerts shall disclose whether based on fact, missed task, rule, threshold, trend, prediction, AI inference, external source, conflict, or missing information.</w:t>
      </w:r>
    </w:p>
    <w:p>
      <w:r>
        <w:t>Escalation considers severity, time sensitivity, horse welfare, minor safety, recipient availability, role, facility protocol, acknowledgement, repetition, offline state, failed delivery, and emergency contacts. Predictive alerts are not proof. EquineSync shall control duplicate, stale, low-value, unactionable, conflicting, or unauthorized alerts.</w:t>
      </w:r>
    </w:p>
    <w:p>
      <w:pPr>
        <w:pStyle w:val="Heading1"/>
        <w:pBdr>
          <w:bottom w:val="single" w:sz="8" w:space="4" w:color="284B6F"/>
        </w:pBdr>
      </w:pPr>
      <w:r>
        <w:t>24. Audit and Security Reporting</w:t>
      </w:r>
    </w:p>
    <w:p>
      <w:r>
        <w:t>Audit reporting may include authentication, failed logins, recovery, sessions, permissions, roles, relationships, creation, edits, deletion, restoration, exports, AI interactions, administrative actions, financial approvals, payment events, ownership and custody transfer, agreements, consent, guardian changes, safeguarding access, legal hold, security incidents, vendor access, integrations, offline changes, conflicts, restoration, key and secret events, and privileged access.</w:t>
      </w:r>
    </w:p>
    <w:p>
      <w:r>
        <w:t>Audit reports are summaries and do not replace the underlying audit trail.</w:t>
      </w:r>
    </w:p>
    <w:p>
      <w:r>
        <w:t>Access remains role-, relationship-, tenant-, and purpose-scoped for owners, riders, guardians, staff, trainers, managers, facility owners, organization administrators, compliance, security, finance, EquineSync personnel, government, courts, regulators, and legal recipients.</w:t>
      </w:r>
    </w:p>
    <w:p>
      <w:r>
        <w:t>Audit reporting shall not automatically disclose privileged communications, work product, safeguarding investigation details, security secrets, credentials, encryption keys, reporter identities, confidential employment records, sealed records, or law-enforcement-sensitive information.</w:t>
      </w:r>
    </w:p>
    <w:p>
      <w:pPr>
        <w:pStyle w:val="Heading1"/>
        <w:pBdr>
          <w:bottom w:val="single" w:sz="8" w:space="4" w:color="284B6F"/>
        </w:pBdr>
      </w:pPr>
      <w:r>
        <w:t>25. Export, Sharing, and Recipient Governance</w:t>
      </w:r>
    </w:p>
    <w:p>
      <w:r>
        <w:t>Approved export formats include PDF, CSV, Microsoft Excel, and Microsoft Word/DOCX.</w:t>
      </w:r>
    </w:p>
    <w:p>
      <w:r>
        <w:t>View, share, print, email, publish, embed, schedule, delegate, and export are distinct authorities. An export contains only information the requester was authorized to access and may require separate export authority.</w:t>
      </w:r>
    </w:p>
    <w:p>
      <w:r>
        <w:t>Material exports shall preserve title, exporter, organization, generation time, time zone, data-through date, freshness, sources, filters, metric versions, AI involvement, confidentiality, identifier, disclaimer, version, and integrity information.</w:t>
      </w:r>
    </w:p>
    <w:p>
      <w:r>
        <w:t>Controls may include watermarking, password protection, encryption, expiration, download limits, redaction, field masking, recipient restriction, logging, secure links, device restrictions, and revocation where technically feasible.</w:t>
      </w:r>
    </w:p>
    <w:p>
      <w:r>
        <w:t>Delegated report access is limited by the delegator's authority, recipient identity, purpose, duration, classification, fields, download rights, revocation, relationship, and safeguarding rules. Sensitive reports shall not use unrestricted public links.</w:t>
      </w:r>
    </w:p>
    <w:p>
      <w:r>
        <w:t>Scheduled delivery shall revalidate recipient authority at each generation or delivery. Role, employment, ownership, guardianship, facility access, and relationship changes trigger reevaluation.</w:t>
      </w:r>
    </w:p>
    <w:p>
      <w:pPr>
        <w:pStyle w:val="Heading1"/>
        <w:pBdr>
          <w:bottom w:val="single" w:sz="8" w:space="4" w:color="284B6F"/>
        </w:pBdr>
      </w:pPr>
      <w:r>
        <w:t>26. Report Correction, Withdrawal, and Supersession</w:t>
      </w:r>
    </w:p>
    <w:p>
      <w:r>
        <w:t>Authorized users may challenge reports for incorrect data, permissions, formulas, classification, duplicates, missing information, time zone, currency, synchronization, AI hallucination, misleading visualization, attribution, unfair comparison, unsupported inference, or another material defect.</w:t>
      </w:r>
    </w:p>
    <w:p>
      <w:r>
        <w:t>Correction records shall preserve the challenged report, challenger, basis, evidence, review actions, reviewer, resolution, date, recipients, exports, downstream reports, affected decisions, and broader remediation.</w:t>
      </w:r>
    </w:p>
    <w:p>
      <w:r>
        <w:t>Material errors affecting horse care, medication, safety, safeguarding, payment, ownership, legal rights, access, discipline, compliance, insurance, tax, or material business decisions require assessment of correction notice obligations.</w:t>
      </w:r>
    </w:p>
    <w:p>
      <w:r>
        <w:t>Withdrawn reports shall be preserved where required, display withdrawal status and reason, identify replacements, prevent ordinary reuse where feasible, preserve audit history, and trigger downstream impact review. Supersession shall not erase prior versions when retention duties apply.</w:t>
      </w:r>
    </w:p>
    <w:p>
      <w:pPr>
        <w:pStyle w:val="Heading1"/>
        <w:pBdr>
          <w:bottom w:val="single" w:sz="8" w:space="4" w:color="284B6F"/>
        </w:pBdr>
      </w:pPr>
      <w:r>
        <w:t>27. Manual Adjustments and Segregation of Duties</w:t>
      </w:r>
    </w:p>
    <w:p>
      <w:r>
        <w:t>Material manual adjustments require original value, adjusted value, reason, evidence, adjuster, approver where required, date, effective period, affected reports, source correction status, and reversal requirement.</w:t>
      </w:r>
    </w:p>
    <w:p>
      <w:r>
        <w:t>Official reporting shall not rely on undocumented private spreadsheets, hidden formulas, replaced cells, or unreviewed calculations.</w:t>
      </w:r>
    </w:p>
    <w:p>
      <w:r>
        <w:t>Where risk warrants, EquineSync shall separate authority to define, implement, approve, adjust, certify, export, publish, delete, and resolve challenges. Financial creators or adjusters shall not automatically be sole certifiers. Subjects of investigations shall not be able to alter or suppress the report.</w:t>
      </w:r>
    </w:p>
    <w:p>
      <w:pPr>
        <w:pStyle w:val="Heading1"/>
        <w:pBdr>
          <w:bottom w:val="single" w:sz="8" w:space="4" w:color="284B6F"/>
        </w:pBdr>
      </w:pPr>
      <w:r>
        <w:t>28. Currency, Units, and Comparative Periods</w:t>
      </w:r>
    </w:p>
    <w:p>
      <w:r>
        <w:t>Reports shall preserve original currency, unit, measurement method, time, source value, and conversion context.</w:t>
      </w:r>
    </w:p>
    <w:p>
      <w:r>
        <w:t>Currency conversion shall identify original and converted currency, exchange-rate source and time, method, rounding, and estimated status. Measurement conversion shall preserve the original value where material.</w:t>
      </w:r>
    </w:p>
    <w:p>
      <w:r>
        <w:t>Reports shall not silently mix incompatible currencies, units, dosage bases, time periods, or methods.</w:t>
      </w:r>
    </w:p>
    <w:p>
      <w:r>
        <w:t>Period comparisons shall disclose differences in days, seasonality, holidays, closures, horse or customer population, staffing, pricing, metric versions, missing data, acquisitions, dispositions, migration, outage, extraordinary events, and currency. Partial periods require disclosure or normalization. Reports shall distinguish same-horse, same-customer, same-facility, constant-population, and total-population analysis.</w:t>
      </w:r>
    </w:p>
    <w:p>
      <w:pPr>
        <w:pStyle w:val="Heading1"/>
        <w:pBdr>
          <w:bottom w:val="single" w:sz="8" w:space="4" w:color="284B6F"/>
        </w:pBdr>
      </w:pPr>
      <w:r>
        <w:t>29. Visualization Integrity and Accessibility</w:t>
      </w:r>
    </w:p>
    <w:p>
      <w:r>
        <w:t>Charts shall not mislead through undisclosed truncated axes, distorted ratios, unequal intervals, unrelated area effects, manipulative ordering, inaccessible color, hidden categories, deceptive dual axes, inconsistent scales, unlabeled smoothing, excessive precision, or selective omission.</w:t>
      </w:r>
    </w:p>
    <w:p>
      <w:r>
        <w:t>Material charts shall provide title, period, unit, source, sample size where relevant, metric version, freshness, missing-data indication, legend, disclaimer, and text alternative.</w:t>
      </w:r>
    </w:p>
    <w:p>
      <w:r>
        <w:t>Critical information shall not depend only on color, shape, hover, animation, sound, or fine visual distinctions. Reports shall remain usable on small screens, in grayscale, in PDF, with assistive technology, and under reduced connectivity.</w:t>
      </w:r>
    </w:p>
    <w:p>
      <w:pPr>
        <w:pStyle w:val="Heading1"/>
        <w:pBdr>
          <w:bottom w:val="single" w:sz="8" w:space="4" w:color="284B6F"/>
        </w:pBdr>
      </w:pPr>
      <w:r>
        <w:t>30. Public Reporting and Trust Claims</w:t>
      </w:r>
    </w:p>
    <w:p>
      <w:r>
        <w:t>Public reports require privacy, re-identification, accuracy, methodology, legal, financial, competitive, intellectual-property, confidentiality, safeguarding, accessibility, and trust-claim review.</w:t>
      </w:r>
    </w:p>
    <w:p>
      <w:r>
        <w:t>EquineSync shall not claim that a report or model is accurate, complete, real-time, audited, secure, SafeSport compliant, COPPA compliant, FERPA compliant, legally compliant, veterinary validated, clinically validated, industry standard, predictive, unbiased, anonymous, de-identified, tamper-proof, or evidentiary without substantiation and approval.</w:t>
      </w:r>
    </w:p>
    <w:p>
      <w:r>
        <w:t>Customer public reports may not disclose unauthorized personal information, make misleading welfare claims, defame, harass, shame, unlawfully discriminate, expose minors, reveal private financial information, falsely certify, or imply EquineSync endorsement.</w:t>
      </w:r>
    </w:p>
    <w:p>
      <w:pPr>
        <w:pStyle w:val="Heading1"/>
        <w:pBdr>
          <w:bottom w:val="single" w:sz="8" w:space="4" w:color="284B6F"/>
        </w:pBdr>
      </w:pPr>
      <w:r>
        <w:t>31. Research and Secondary Use</w:t>
      </w:r>
    </w:p>
    <w:p>
      <w:r>
        <w:t>Research may include internal operations, product improvement, safety, security, customer-authorized research, de-identified population research, academic or institutional research, commercial market research, user-count analysis, and decommissioned-account analysis.</w:t>
      </w:r>
    </w:p>
    <w:p>
      <w:r>
        <w:t>Research involving minors, safeguarding, health observations, precise location, cross-tenant data, external researchers, or public publication requires heightened review.</w:t>
      </w:r>
    </w:p>
    <w:p>
      <w:r>
        <w:t>Research shall use an appropriate basis such as consent, notice, opt-in, opt-out, contract, operational authority, de-identification, or another lawful basis. Labeling an activity analytics, product improvement, or research does not exempt it from privacy, retention, permission, AI-training, or tenant-isolation rules.</w:t>
      </w:r>
    </w:p>
    <w:p>
      <w:r>
        <w:t>Research datasets should be separated from production where appropriate. External publication requires methodology, statistical, re-identification, confidentiality, safeguarding, legal, and conflict-of-interest review.</w:t>
      </w:r>
    </w:p>
    <w:p>
      <w:r>
        <w:t>Customer operational data shall not be used to train general or shared AI models.</w:t>
      </w:r>
    </w:p>
    <w:p>
      <w:pPr>
        <w:pStyle w:val="Heading1"/>
        <w:pBdr>
          <w:bottom w:val="single" w:sz="8" w:space="4" w:color="284B6F"/>
        </w:pBdr>
      </w:pPr>
      <w:r>
        <w:t>32. External Processors and Analytics Vendors</w:t>
      </w:r>
    </w:p>
    <w:p>
      <w:r>
        <w:t>External vendors may be used only when approved, disclosure is minimum necessary, contractual restrictions are appropriate, retention is controlled, subprocessors are governed, security and regional transfer requirements are satisfied, tenant isolation is preserved, access is logged, deletion and exit are supported, reports remain reproducible where required, and the vendor does not become an ungoverned source of truth.</w:t>
      </w:r>
    </w:p>
    <w:p>
      <w:pPr>
        <w:pStyle w:val="Heading1"/>
        <w:pBdr>
          <w:bottom w:val="single" w:sz="8" w:space="4" w:color="284B6F"/>
        </w:pBdr>
      </w:pPr>
      <w:r>
        <w:t>33. Report Retention and Storage</w:t>
      </w:r>
    </w:p>
    <w:p>
      <w:r>
        <w:t>Generated reports default to one-year retention unless a shorter period applies, the user deletes the report, storage limits require removal, legal hold applies, financial or evidentiary rules require longer retention, or the user receives additional storage.</w:t>
      </w:r>
    </w:p>
    <w:p>
      <w:r>
        <w:t>Storage caps should include notice, export opportunity, management tools, retention information, and upgrade options where applicable.</w:t>
      </w:r>
    </w:p>
    <w:p>
      <w:r>
        <w:t>A regenerated report shall not silently replace the original. Legal hold may suspend ordinary deletion, expiration, or storage-cap removal.</w:t>
      </w:r>
    </w:p>
    <w:p>
      <w:pPr>
        <w:pStyle w:val="Heading1"/>
        <w:pBdr>
          <w:bottom w:val="single" w:sz="8" w:space="4" w:color="284B6F"/>
        </w:pBdr>
      </w:pPr>
      <w:r>
        <w:t>34. Offline Reporting and Safe Degradation</w:t>
      </w:r>
    </w:p>
    <w:p>
      <w:r>
        <w:t>Limited offline content may include recently synchronized horse-care summaries, assigned tasks, medication and feeding instructions, emergency contacts, daily schedules, limited operational dashboards, and previously generated reports.</w:t>
      </w:r>
    </w:p>
    <w:p>
      <w:r>
        <w:t>Offline reports shall disclose last synchronization, staleness, missing sources, pending changes, conflict risk, and intended-use limitations. They shall follow device security and encryption controls and shall not silently become authoritative or overwrite newer records after reconnection.</w:t>
      </w:r>
    </w:p>
    <w:p>
      <w:r>
        <w:t>During degradation, priority is horse welfare and safety, medications and care continuity, emergency contacts, critical operations, financial integrity, audit preservation, user communication, and then lower-priority analytics.</w:t>
      </w:r>
    </w:p>
    <w:p>
      <w:pPr>
        <w:pStyle w:val="Heading1"/>
        <w:pBdr>
          <w:bottom w:val="single" w:sz="8" w:space="4" w:color="284B6F"/>
        </w:pBdr>
      </w:pPr>
      <w:r>
        <w:t>35. Analytics Incident Management</w:t>
      </w:r>
    </w:p>
    <w:p>
      <w:r>
        <w:t>A reporting incident includes unauthorized disclosure, cross-tenant exposure, incorrect financial calculation, incorrect care or medication information, misleading welfare output, KPI defect, corrupt export, missing legal-hold data, time-zone error, permission-filtering failure, benchmark re-identification, AI falsehood, unauthorized publication, stale-data misrepresentation, lineage failure, version failure, or widespread inconsistency.</w:t>
      </w:r>
    </w:p>
    <w:p>
      <w:r>
        <w:t>Response may require suspension, dashboard disabling, export blocking, link revocation, cache invalidation, recipient identification, correction notice, customer communication, evidence preservation, security, privacy, legal, safeguarding, financial reconciliation, and rollback.</w:t>
      </w:r>
    </w:p>
    <w:p>
      <w:r>
        <w:t>Remediation shall not destroy evidence. Material incidents require root-cause analysis and controlled corrective action.</w:t>
      </w:r>
    </w:p>
    <w:p>
      <w:pPr>
        <w:pStyle w:val="Heading1"/>
        <w:pBdr>
          <w:bottom w:val="single" w:sz="8" w:space="4" w:color="284B6F"/>
        </w:pBdr>
      </w:pPr>
      <w:r>
        <w:t>36. Report Lifecycle and Deprecation</w:t>
      </w:r>
    </w:p>
    <w:p>
      <w:r>
        <w:t>Lifecycle states are proposed, draft, testing, approved, active, qualified, deprecated, suspended, withdrawn, archived, and retired.</w:t>
      </w:r>
    </w:p>
    <w:p>
      <w:r>
        <w:t>Deprecation shall identify replacement, effective date, affected customers, historical access, formula differences, migration, export, integration dependencies, and notice.</w:t>
      </w:r>
    </w:p>
    <w:p>
      <w:r>
        <w:t>Retired reports shall not silently disappear where customers, claims, legal holds, financial obligations, audits, or history require access.</w:t>
      </w:r>
    </w:p>
    <w:p>
      <w:r>
        <w:t>Reports owned by departed employees, closed facilities, deactivated organizations, deceased users, transferred owners, or decommissioned accounts require governed disposition.</w:t>
      </w:r>
    </w:p>
    <w:p>
      <w:pPr>
        <w:pStyle w:val="Heading1"/>
        <w:pBdr>
          <w:bottom w:val="single" w:sz="8" w:space="4" w:color="284B6F"/>
        </w:pBdr>
      </w:pPr>
      <w:r>
        <w:t>37. User Transparency, Challenge, and Human Review</w:t>
      </w:r>
    </w:p>
    <w:p>
      <w:r>
        <w:t>Authorized users shall be able to understand sources, definitions, filters, period, assumptions, missing data, AI contribution, manual adjustments, quality, freshness, limitations, and challenge procedures.</w:t>
      </w:r>
    </w:p>
    <w:p>
      <w:r>
        <w:t>Users may challenge material analytical outputs. Human review shall be available where outputs may affect horse care, access, payment, ownership, custody, safeguarding, discipline, employment, provider status, insurance, legal rights, or another consequential interest.</w:t>
      </w:r>
    </w:p>
    <w:p>
      <w:r>
        <w:t>Analytics shall not be used to retaliate against users for challenging a report, exercising privacy rights, reporting safety or misconduct, filing disputes, requesting correction, or declining optional benchmarking or research.</w:t>
      </w:r>
    </w:p>
    <w:p>
      <w:pPr>
        <w:pStyle w:val="Heading1"/>
        <w:pBdr>
          <w:bottom w:val="single" w:sz="8" w:space="4" w:color="284B6F"/>
        </w:pBdr>
      </w:pPr>
      <w:r>
        <w:t>38. Report Metadata Minimum Standard</w:t>
      </w:r>
    </w:p>
    <w:p>
      <w:r>
        <w:t>Material reports shall preserve, as applicable: unique identifier, name, class, lifecycle, quality, owner, steward, creator, requester, recipient, tenant, organization, facility, horse scope, purpose, generation timestamp, time zone, data-through timestamp, freshness, sources, source versions, snapshot, formulas, filters, parameters, exclusions, missing-data treatment, conflicts, manual adjustments, AI involvement, model version, uncertainty, export format, confidentiality, retention, legal hold, certification, integrity value, supersession, withdrawal, and audit references.</w:t>
      </w:r>
    </w:p>
    <w:p>
      <w:pPr>
        <w:pStyle w:val="Heading1"/>
        <w:pBdr>
          <w:bottom w:val="single" w:sz="8" w:space="4" w:color="284B6F"/>
        </w:pBdr>
      </w:pPr>
      <w:r>
        <w:t>39. Prohibited Practices</w:t>
      </w:r>
    </w:p>
    <w:p>
      <w:r>
        <w:t>EquineSync reporting and analytics shall not:</w:t>
      </w:r>
    </w:p>
    <w:p>
      <w:pPr>
        <w:pStyle w:val="ListBullet"/>
      </w:pPr>
      <w:r>
        <w:t>Bypass governance, authorization, privacy, tenant isolation, safeguarding, or legal holds.</w:t>
      </w:r>
    </w:p>
    <w:p>
      <w:pPr>
        <w:pStyle w:val="ListBullet"/>
      </w:pPr>
      <w:r>
        <w:t>Replace canonical records or the audit trail.</w:t>
      </w:r>
    </w:p>
    <w:p>
      <w:pPr>
        <w:pStyle w:val="ListBullet"/>
      </w:pPr>
      <w:r>
        <w:t>Create legal, financial, medical, welfare, ownership, or disciplinary authority merely by presentation.</w:t>
      </w:r>
    </w:p>
    <w:p>
      <w:pPr>
        <w:pStyle w:val="ListBullet"/>
      </w:pPr>
      <w:r>
        <w:t>Diagnose illness or lameness or determine rider ability.</w:t>
      </w:r>
    </w:p>
    <w:p>
      <w:pPr>
        <w:pStyle w:val="ListBullet"/>
      </w:pPr>
      <w:r>
        <w:t>Reveal identifiable cross-tenant data.</w:t>
      </w:r>
    </w:p>
    <w:p>
      <w:pPr>
        <w:pStyle w:val="ListBullet"/>
      </w:pPr>
      <w:r>
        <w:t>Conceal uncertainty, conflicts, staleness, estimates, assumptions, or material manual adjustments.</w:t>
      </w:r>
    </w:p>
    <w:p>
      <w:pPr>
        <w:pStyle w:val="ListBullet"/>
      </w:pPr>
      <w:r>
        <w:t>Silently rewrite historical metrics or replace reports.</w:t>
      </w:r>
    </w:p>
    <w:p>
      <w:pPr>
        <w:pStyle w:val="ListBullet"/>
      </w:pPr>
      <w:r>
        <w:t>Use customer data for unrelated monetization or general/shared AI training.</w:t>
      </w:r>
    </w:p>
    <w:p>
      <w:pPr>
        <w:pStyle w:val="ListBullet"/>
      </w:pPr>
      <w:r>
        <w:t>Publicly shame or rank identifiable facilities, trainers, riders, owners, staff, providers, or horses without valid authority.</w:t>
      </w:r>
    </w:p>
    <w:p>
      <w:pPr>
        <w:pStyle w:val="ListBullet"/>
      </w:pPr>
      <w:r>
        <w:t>Treat missing data as zero or normal without an approved rule.</w:t>
      </w:r>
    </w:p>
    <w:p>
      <w:pPr>
        <w:pStyle w:val="ListBullet"/>
      </w:pPr>
      <w:r>
        <w:t>Label uncertified reports final or official.</w:t>
      </w:r>
    </w:p>
    <w:p>
      <w:pPr>
        <w:pStyle w:val="ListBullet"/>
      </w:pPr>
      <w:r>
        <w:t>Use undocumented formulas or secret spreadsheet overrides.</w:t>
      </w:r>
    </w:p>
    <w:p>
      <w:pPr>
        <w:pStyle w:val="ListBullet"/>
      </w:pPr>
      <w:r>
        <w:t>Cherry-pick periods, suppress adverse results, or imply unsupported causation.</w:t>
      </w:r>
    </w:p>
    <w:p>
      <w:pPr>
        <w:pStyle w:val="ListBullet"/>
      </w:pPr>
      <w:r>
        <w:t>Generate welfare scores from insufficient data or use predictive scores as proof.</w:t>
      </w:r>
    </w:p>
    <w:p>
      <w:pPr>
        <w:pStyle w:val="ListBullet"/>
      </w:pPr>
      <w:r>
        <w:t>Continue scheduled delivery after authority ends.</w:t>
      </w:r>
    </w:p>
    <w:p>
      <w:pPr>
        <w:pStyle w:val="ListBullet"/>
      </w:pPr>
      <w:r>
        <w:t>Permit repeated queries to defeat de-identification.</w:t>
      </w:r>
    </w:p>
    <w:p>
      <w:pPr>
        <w:pStyle w:val="ListBullet"/>
      </w:pPr>
      <w:r>
        <w:t>Conceal report withdrawal or destroy defective reports where preservation is required.</w:t>
      </w:r>
    </w:p>
    <w:p>
      <w:pPr>
        <w:pStyle w:val="ListBullet"/>
      </w:pPr>
      <w:r>
        <w:t>Claim legal or regulatory compliance without substantiation.</w:t>
      </w:r>
    </w:p>
    <w:p>
      <w:pPr>
        <w:pStyle w:val="ListBullet"/>
      </w:pPr>
      <w:r>
        <w:t>Mix currencies, units, time zones, dosage bases, or metric versions without disclosure.</w:t>
      </w:r>
    </w:p>
    <w:p>
      <w:pPr>
        <w:pStyle w:val="ListBullet"/>
      </w:pPr>
      <w:r>
        <w:t>Allow analytical convenience to defeat constitutional protections.</w:t>
      </w:r>
    </w:p>
    <w:p>
      <w:pPr>
        <w:pStyle w:val="Heading1"/>
        <w:pBdr>
          <w:bottom w:val="single" w:sz="8" w:space="4" w:color="284B6F"/>
        </w:pBdr>
      </w:pPr>
      <w:r>
        <w:t>40. Implementation Boundary</w:t>
      </w:r>
    </w:p>
    <w:p>
      <w:r>
        <w:t>Founder approval of this Model does not authorize runtime implementation, schema creation or mutation, data migration, warehouse activation, dashboard deployment, KPI activation, AI activation, benchmarking activation, external vendor activation, production-data access, report-retention changes, destructive deletion, legal-hold activation, public claims, production release, or public launch.</w:t>
      </w:r>
    </w:p>
    <w:p>
      <w:r>
        <w:t>Each action requires separate governed authority.</w:t>
      </w:r>
    </w:p>
    <w:p>
      <w:pPr>
        <w:pStyle w:val="Heading1"/>
        <w:pBdr>
          <w:bottom w:val="single" w:sz="8" w:space="4" w:color="284B6F"/>
        </w:pBdr>
      </w:pPr>
      <w:r>
        <w:t>41. Required Downstream Artifacts</w:t>
      </w:r>
    </w:p>
    <w:p>
      <w:r>
        <w:t>Implementation planning shall produce at minimum:</w:t>
      </w:r>
    </w:p>
    <w:p>
      <w:pPr>
        <w:pStyle w:val="ListNumber"/>
      </w:pPr>
      <w:r>
        <w:t>Reporting architecture and governance hierarchy map.</w:t>
      </w:r>
    </w:p>
    <w:p>
      <w:pPr>
        <w:pStyle w:val="ListNumber"/>
      </w:pPr>
      <w:r>
        <w:t>Source registration inventory and data-lineage map.</w:t>
      </w:r>
    </w:p>
    <w:p>
      <w:pPr>
        <w:pStyle w:val="ListNumber"/>
      </w:pPr>
      <w:r>
        <w:t>Metric registry and KPI definition standard.</w:t>
      </w:r>
    </w:p>
    <w:p>
      <w:pPr>
        <w:pStyle w:val="ListNumber"/>
      </w:pPr>
      <w:r>
        <w:t>Dashboard role and reporting permission matrices.</w:t>
      </w:r>
    </w:p>
    <w:p>
      <w:pPr>
        <w:pStyle w:val="ListNumber"/>
      </w:pPr>
      <w:r>
        <w:t>Report classification and certification standards.</w:t>
      </w:r>
    </w:p>
    <w:p>
      <w:pPr>
        <w:pStyle w:val="ListNumber"/>
      </w:pPr>
      <w:r>
        <w:t>Data-quality catalog, thresholds, and missing-data matrix.</w:t>
      </w:r>
    </w:p>
    <w:p>
      <w:pPr>
        <w:pStyle w:val="ListNumber"/>
      </w:pPr>
      <w:r>
        <w:t>Export, sharing, delegation, and secure-link controls.</w:t>
      </w:r>
    </w:p>
    <w:p>
      <w:pPr>
        <w:pStyle w:val="ListNumber"/>
      </w:pPr>
      <w:r>
        <w:t>Retention, storage, legal-hold, and deletion rules.</w:t>
      </w:r>
    </w:p>
    <w:p>
      <w:pPr>
        <w:pStyle w:val="ListNumber"/>
      </w:pPr>
      <w:r>
        <w:t>Freshness service levels and time-zone specification.</w:t>
      </w:r>
    </w:p>
    <w:p>
      <w:pPr>
        <w:pStyle w:val="ListNumber"/>
      </w:pPr>
      <w:r>
        <w:t>Offline reporting and safe-degradation specification.</w:t>
      </w:r>
    </w:p>
    <w:p>
      <w:pPr>
        <w:pStyle w:val="ListNumber"/>
      </w:pPr>
      <w:r>
        <w:t>AI boundary and high-risk analytics inventory.</w:t>
      </w:r>
    </w:p>
    <w:p>
      <w:pPr>
        <w:pStyle w:val="ListNumber"/>
      </w:pPr>
      <w:r>
        <w:t>High-risk validation, drift monitoring, suspension, and rollback protocols.</w:t>
      </w:r>
    </w:p>
    <w:p>
      <w:pPr>
        <w:pStyle w:val="ListNumber"/>
      </w:pPr>
      <w:r>
        <w:t>Benchmarking privacy, small-cell suppression, and mosaic-risk standards.</w:t>
      </w:r>
    </w:p>
    <w:p>
      <w:pPr>
        <w:pStyle w:val="ListNumber"/>
      </w:pPr>
      <w:r>
        <w:t>Audit access matrix and evidentiary report specification.</w:t>
      </w:r>
    </w:p>
    <w:p>
      <w:pPr>
        <w:pStyle w:val="ListNumber"/>
      </w:pPr>
      <w:r>
        <w:t>Financial reconciliation rules.</w:t>
      </w:r>
    </w:p>
    <w:p>
      <w:pPr>
        <w:pStyle w:val="ListNumber"/>
      </w:pPr>
      <w:r>
        <w:t>Welfare indicator and welfare-score validation plan.</w:t>
      </w:r>
    </w:p>
    <w:p>
      <w:pPr>
        <w:pStyle w:val="ListNumber"/>
      </w:pPr>
      <w:r>
        <w:t>Alert severity and escalation matrix.</w:t>
      </w:r>
    </w:p>
    <w:p>
      <w:pPr>
        <w:pStyle w:val="ListNumber"/>
      </w:pPr>
      <w:r>
        <w:t>Report provenance, metadata, reproducibility, and integrity schemas.</w:t>
      </w:r>
    </w:p>
    <w:p>
      <w:pPr>
        <w:pStyle w:val="ListNumber"/>
      </w:pPr>
      <w:r>
        <w:t>Statistical and visualization integrity standards.</w:t>
      </w:r>
    </w:p>
    <w:p>
      <w:pPr>
        <w:pStyle w:val="ListNumber"/>
      </w:pPr>
      <w:r>
        <w:t>Manual-adjustment and segregation-of-duties controls.</w:t>
      </w:r>
    </w:p>
    <w:p>
      <w:pPr>
        <w:pStyle w:val="ListNumber"/>
      </w:pPr>
      <w:r>
        <w:t>Correction, challenge, withdrawal, and human-review workflows.</w:t>
      </w:r>
    </w:p>
    <w:p>
      <w:pPr>
        <w:pStyle w:val="ListNumber"/>
      </w:pPr>
      <w:r>
        <w:t>Public reporting and trust-claim approval workflow.</w:t>
      </w:r>
    </w:p>
    <w:p>
      <w:pPr>
        <w:pStyle w:val="ListNumber"/>
      </w:pPr>
      <w:r>
        <w:t>Research classification, review, and publication standard.</w:t>
      </w:r>
    </w:p>
    <w:p>
      <w:pPr>
        <w:pStyle w:val="ListNumber"/>
      </w:pPr>
      <w:r>
        <w:t>Currency, unit, and comparative-period standards.</w:t>
      </w:r>
    </w:p>
    <w:p>
      <w:pPr>
        <w:pStyle w:val="ListNumber"/>
      </w:pPr>
      <w:r>
        <w:t>Analytics incident-response and cache-invalidation playbooks.</w:t>
      </w:r>
    </w:p>
    <w:p>
      <w:pPr>
        <w:pStyle w:val="ListNumber"/>
      </w:pPr>
      <w:r>
        <w:t>Report lifecycle, deprecation, and orphaned-report procedures.</w:t>
      </w:r>
    </w:p>
    <w:p>
      <w:pPr>
        <w:pStyle w:val="ListNumber"/>
      </w:pPr>
      <w:r>
        <w:t>Accessibility test plan.</w:t>
      </w:r>
    </w:p>
    <w:p>
      <w:pPr>
        <w:pStyle w:val="ListNumber"/>
      </w:pPr>
      <w:r>
        <w:t>Vendor exit and analytical deletion-verification plans.</w:t>
      </w:r>
    </w:p>
    <w:p>
      <w:pPr>
        <w:pStyle w:val="ListNumber"/>
      </w:pPr>
      <w:r>
        <w:t>Synthetic and test-data standard.</w:t>
      </w:r>
    </w:p>
    <w:p>
      <w:pPr>
        <w:pStyle w:val="ListNumber"/>
      </w:pPr>
      <w:r>
        <w:t>Production observability and disaster-recovery plan.</w:t>
      </w:r>
    </w:p>
    <w:p>
      <w:pPr>
        <w:pStyle w:val="ListNumber"/>
      </w:pPr>
      <w:r>
        <w:t>Founder decision traceability and implementation-authority package.</w:t>
      </w:r>
    </w:p>
    <w:p>
      <w:pPr>
        <w:pStyle w:val="Heading1"/>
        <w:pBdr>
          <w:bottom w:val="single" w:sz="8" w:space="4" w:color="284B6F"/>
        </w:pBdr>
      </w:pPr>
      <w:r>
        <w:t>42. Founder Decision Register</w:t>
      </w:r>
    </w:p>
    <w:p>
      <w:r>
        <w:t>The founder decisions RG01-RG55 are incorporated as controlling direction, including: all approved reporting purposes; canonical-source supremacy; read-only reporting; use of all governed systems; governed multi-domain reporting; annotated conflict handling; narrowest-permission inheritance; internal restricted access only with authority; legal-hold and limited business-metric retention; SafeSport and child-safety controls; nonidentifying cross-facility user reporting; authorized multi-barn access; sale-listing comparison limits; opt-in de-identified benchmarking; four freshness tiers; reproducibility; historical preservation; timezone-specific settings; centrally governed official KPIs; local customer KPIs; formula versioning; expanded dashboards; customization and widgets; AI summarization and trend identification; assistive prediction; nonexecuting recommendations; expanded financial, welfare, operational, and audit reporting; scoped audit access; PDF, CSV, Excel, and DOCX exports; provenance; one-year default retention; nonreplacement of originals; legal hold; assumption and estimate disclosure; multiple service levels; limited offline access; and absolute prohibitions against bypassing governance, authorization, privacy, source truth, or the audit trail.</w:t>
      </w:r>
    </w:p>
    <w:p>
      <w:pPr>
        <w:pStyle w:val="Heading1"/>
        <w:pBdr>
          <w:bottom w:val="single" w:sz="8" w:space="4" w:color="284B6F"/>
        </w:pBdr>
      </w:pPr>
      <w:r>
        <w:t>43. Controlling Statement</w:t>
      </w:r>
    </w:p>
    <w:p>
      <w:r>
        <w:t>EquineSync reporting exists to illuminate governed truth, expose uncertainty, preserve context, and assist authorized human judgment.</w:t>
      </w:r>
    </w:p>
    <w:p>
      <w:r>
        <w:t>A report is trustworthy only when its sources, permissions, methodology, quality, freshness, assumptions, limitations, corrections, and authority are understandable.</w:t>
      </w:r>
    </w:p>
    <w:p>
      <w:r>
        <w:t>No chart, score, forecast, benchmark, AI narrative, executive dashboard, export, certification label, or mathematical calculation may replace an authoritative record, conceal material uncertainty, create authority that did not otherwise exist, defeat privacy or safeguarding, manufacture a legal, financial, medical, welfare, ownership, or disciplinary conclusion, convert incomplete information into false certainty, or place convenience above the safety of horses, minors, customers, staff, or the integrity of EquineSync.</w:t>
      </w:r>
    </w:p>
    <w:p>
      <w:r>
        <w:t>Where data is insufficient, EquineSync shall say so. Where data conflicts, EquineSync shall show the conflict. Where a report is wrong, EquineSync shall preserve, correct, notify, and learn. Where analytics create material risk, EquineSync shall require validation, human review, monitoring, challenge, and safe suspension.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xml:space="preserve">MASTER REPORTING, ANALYTICS, AND BUSINESS INTELLIGENCE MODEL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70"/>
        <w:sz w:val="16"/>
      </w:rPr>
      <w:t>EQUINESYNC | CONSTITUTIONAL GOVERNANCE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C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059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2C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C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REPORTING, ANALYTICS, AND BUSINESS INTELLIGENCE MODEL V2.0</dc:title>
  <dc:subject>EquineSync Constitutional Governance Canon</dc:subject>
  <dc:creator>EquineSync</dc:creator>
  <cp:keywords>EquineSync, reporting, analytics, business intelligence, governance</cp:keywords>
  <dc:description>generated by python-docx</dc:description>
  <cp:lastModifiedBy/>
  <cp:revision>1</cp:revision>
  <dcterms:created xsi:type="dcterms:W3CDTF">2013-12-23T23:15:00Z</dcterms:created>
  <dcterms:modified xsi:type="dcterms:W3CDTF">2013-12-23T23:15:00Z</dcterms:modified>
  <cp:category/>
</cp:coreProperties>
</file>