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ptos Display" w:hAnsi="Aptos Display"/>
          <w:b/>
          <w:color w:val="2F5597"/>
          <w:sz w:val="22"/>
        </w:rPr>
        <w:t>EQUINESYNC</w:t>
      </w:r>
    </w:p>
    <w:p>
      <w:pPr>
        <w:pStyle w:val="Title"/>
        <w:spacing w:before="400" w:after="200"/>
        <w:jc w:val="center"/>
      </w:pPr>
      <w:r>
        <w:rPr>
          <w:rFonts w:ascii="Aptos Display" w:hAnsi="Aptos Display"/>
          <w:b/>
          <w:color w:val="17365D"/>
          <w:sz w:val="50"/>
        </w:rPr>
        <w:t>PRIVACY AND REPORTING</w:t>
        <w:br/>
        <w:t>FOUNDER APPROVAL DIRECTIVE</w:t>
      </w:r>
    </w:p>
    <w:p>
      <w:pPr>
        <w:jc w:val="center"/>
        <w:pBdr>
          <w:bottom w:val="single" w:sz="10" w:space="4" w:color="2F5597"/>
        </w:pBdr>
      </w:pPr>
    </w:p>
    <w:p>
      <w:pPr>
        <w:spacing w:before="280"/>
        <w:jc w:val="center"/>
      </w:pPr>
      <w:r>
        <w:rPr>
          <w:rFonts w:ascii="Aptos" w:hAnsi="Aptos"/>
          <w:b/>
          <w:color w:val="2F5597"/>
          <w:sz w:val="24"/>
        </w:rPr>
        <w:t>Version 1.0  |  July 16, 2026</w:t>
      </w:r>
    </w:p>
    <w:tbl>
      <w:tblPr>
        <w:tblW w:type="auto" w:w="0"/>
        <w:jc w:val="center"/>
        <w:tblLayout w:type="fixed"/>
        <w:tblLook w:firstColumn="1" w:firstRow="1" w:lastColumn="0" w:lastRow="0" w:noHBand="0" w:noVBand="1" w:val="04A0"/>
      </w:tblPr>
      <w:tblGrid>
        <w:gridCol w:w="9504"/>
      </w:tblGrid>
      <w:tr>
        <w:tc>
          <w:tcPr>
            <w:tcW w:type="dxa" w:w="9878"/>
            <w:shd w:fill="EAF2F8"/>
            <w:tcMar>
              <w:top w:w="160" w:type="dxa"/>
              <w:start w:w="180" w:type="dxa"/>
              <w:bottom w:w="160" w:type="dxa"/>
              <w:end w:w="180" w:type="dxa"/>
            </w:tcMar>
          </w:tcPr>
          <w:p>
            <w:pPr>
              <w:spacing w:after="80"/>
            </w:pPr>
            <w:r>
              <w:rPr>
                <w:rFonts w:ascii="Aptos" w:hAnsi="Aptos"/>
                <w:b/>
                <w:color w:val="17365D"/>
                <w:sz w:val="20"/>
              </w:rPr>
              <w:t>FOUNDER DISPOSITION</w:t>
            </w:r>
          </w:p>
          <w:p>
            <w:pPr>
              <w:spacing w:after="0"/>
            </w:pPr>
            <w:r>
              <w:rPr>
                <w:rFonts w:ascii="Aptos" w:hAnsi="Aptos"/>
                <w:color w:val="1F2937"/>
                <w:sz w:val="20"/>
              </w:rPr>
              <w:t>FOUNDER_APPROVED_TWO_CANON_STATUS_AND_SOURCE_RECONCILIATION_AUTHORIZED</w:t>
            </w:r>
          </w:p>
        </w:tc>
      </w:tr>
    </w:tbl>
    <w:p>
      <w:pPr>
        <w:spacing w:after="0"/>
      </w:pPr>
    </w:p>
    <w:tbl>
      <w:tblPr>
        <w:tblW w:type="auto" w:w="0"/>
        <w:jc w:val="center"/>
        <w:tblLayout w:type="fixed"/>
        <w:tblLook w:firstColumn="1" w:firstRow="1" w:lastColumn="0" w:lastRow="0" w:noHBand="0" w:noVBand="1" w:val="04A0"/>
      </w:tblPr>
      <w:tblGrid>
        <w:gridCol w:w="4939"/>
        <w:gridCol w:w="4939"/>
      </w:tblGrid>
      <w:tr>
        <w:tc>
          <w:tcPr>
            <w:tcW w:type="dxa" w:w="3384"/>
            <w:shd w:fill="EEF2F6"/>
            <w:tcMar>
              <w:top w:w="90" w:type="dxa"/>
              <w:start w:w="100" w:type="dxa"/>
              <w:bottom w:w="90" w:type="dxa"/>
              <w:end w:w="100" w:type="dxa"/>
            </w:tcMar>
            <w:vAlign w:val="center"/>
          </w:tcPr>
          <w:p>
            <w:r>
              <w:rPr>
                <w:rFonts w:ascii="Aptos" w:hAnsi="Aptos"/>
                <w:b/>
                <w:color w:val="17365D"/>
                <w:sz w:val="19"/>
              </w:rPr>
              <w:t>Directive Authority</w:t>
            </w:r>
          </w:p>
        </w:tc>
        <w:tc>
          <w:tcPr>
            <w:tcW w:type="dxa" w:w="5976"/>
            <w:tcMar>
              <w:top w:w="90" w:type="dxa"/>
              <w:start w:w="100" w:type="dxa"/>
              <w:bottom w:w="90" w:type="dxa"/>
              <w:end w:w="100" w:type="dxa"/>
            </w:tcMar>
            <w:vAlign w:val="center"/>
          </w:tcPr>
          <w:p>
            <w:r>
              <w:rPr>
                <w:rFonts w:ascii="Aptos" w:hAnsi="Aptos"/>
                <w:color w:val="1F2937"/>
                <w:sz w:val="19"/>
              </w:rPr>
              <w:t>EquineSync Founder</w:t>
            </w:r>
          </w:p>
        </w:tc>
      </w:tr>
      <w:tr>
        <w:tc>
          <w:tcPr>
            <w:tcW w:type="dxa" w:w="3384"/>
            <w:shd w:fill="EEF2F6"/>
            <w:tcMar>
              <w:top w:w="90" w:type="dxa"/>
              <w:start w:w="100" w:type="dxa"/>
              <w:bottom w:w="90" w:type="dxa"/>
              <w:end w:w="100" w:type="dxa"/>
            </w:tcMar>
            <w:vAlign w:val="center"/>
          </w:tcPr>
          <w:p>
            <w:r>
              <w:rPr>
                <w:rFonts w:ascii="Aptos" w:hAnsi="Aptos"/>
                <w:b/>
                <w:color w:val="17365D"/>
                <w:sz w:val="19"/>
              </w:rPr>
              <w:t>Privacy Model</w:t>
            </w:r>
          </w:p>
        </w:tc>
        <w:tc>
          <w:tcPr>
            <w:tcW w:type="dxa" w:w="5976"/>
            <w:tcMar>
              <w:top w:w="90" w:type="dxa"/>
              <w:start w:w="100" w:type="dxa"/>
              <w:bottom w:w="90" w:type="dxa"/>
              <w:end w:w="100" w:type="dxa"/>
            </w:tcMar>
            <w:vAlign w:val="center"/>
          </w:tcPr>
          <w:p>
            <w:r>
              <w:rPr>
                <w:rFonts w:ascii="Aptos" w:hAnsi="Aptos"/>
                <w:color w:val="1F2937"/>
                <w:sz w:val="19"/>
              </w:rPr>
              <w:t>Founder Approved; controlling substantive canon</w:t>
            </w:r>
          </w:p>
        </w:tc>
      </w:tr>
      <w:tr>
        <w:tc>
          <w:tcPr>
            <w:tcW w:type="dxa" w:w="3384"/>
            <w:shd w:fill="EEF2F6"/>
            <w:tcMar>
              <w:top w:w="90" w:type="dxa"/>
              <w:start w:w="100" w:type="dxa"/>
              <w:bottom w:w="90" w:type="dxa"/>
              <w:end w:w="100" w:type="dxa"/>
            </w:tcMar>
            <w:vAlign w:val="center"/>
          </w:tcPr>
          <w:p>
            <w:r>
              <w:rPr>
                <w:rFonts w:ascii="Aptos" w:hAnsi="Aptos"/>
                <w:b/>
                <w:color w:val="17365D"/>
                <w:sz w:val="19"/>
              </w:rPr>
              <w:t>Reporting Model</w:t>
            </w:r>
          </w:p>
        </w:tc>
        <w:tc>
          <w:tcPr>
            <w:tcW w:type="dxa" w:w="5976"/>
            <w:tcMar>
              <w:top w:w="90" w:type="dxa"/>
              <w:start w:w="100" w:type="dxa"/>
              <w:bottom w:w="90" w:type="dxa"/>
              <w:end w:w="100" w:type="dxa"/>
            </w:tcMar>
            <w:vAlign w:val="center"/>
          </w:tcPr>
          <w:p>
            <w:r>
              <w:rPr>
                <w:rFonts w:ascii="Aptos" w:hAnsi="Aptos"/>
                <w:color w:val="1F2937"/>
                <w:sz w:val="19"/>
              </w:rPr>
              <w:t>Founder Approved; controlling canon; existing stronger status preserved</w:t>
            </w:r>
          </w:p>
        </w:tc>
      </w:tr>
      <w:tr>
        <w:tc>
          <w:tcPr>
            <w:tcW w:type="dxa" w:w="3384"/>
            <w:shd w:fill="EEF2F6"/>
            <w:tcMar>
              <w:top w:w="90" w:type="dxa"/>
              <w:start w:w="100" w:type="dxa"/>
              <w:bottom w:w="90" w:type="dxa"/>
              <w:end w:w="100" w:type="dxa"/>
            </w:tcMar>
            <w:vAlign w:val="center"/>
          </w:tcPr>
          <w:p>
            <w:r>
              <w:rPr>
                <w:rFonts w:ascii="Aptos" w:hAnsi="Aptos"/>
                <w:b/>
                <w:color w:val="17365D"/>
                <w:sz w:val="19"/>
              </w:rPr>
              <w:t>Adoption Authority</w:t>
            </w:r>
          </w:p>
        </w:tc>
        <w:tc>
          <w:tcPr>
            <w:tcW w:type="dxa" w:w="5976"/>
            <w:tcMar>
              <w:top w:w="90" w:type="dxa"/>
              <w:start w:w="100" w:type="dxa"/>
              <w:bottom w:w="90" w:type="dxa"/>
              <w:end w:w="100" w:type="dxa"/>
            </w:tcMar>
            <w:vAlign w:val="center"/>
          </w:tcPr>
          <w:p>
            <w:r>
              <w:rPr>
                <w:rFonts w:ascii="Aptos" w:hAnsi="Aptos"/>
                <w:color w:val="1F2937"/>
                <w:sz w:val="19"/>
              </w:rPr>
              <w:t>Not newly granted by this Directive</w:t>
            </w:r>
          </w:p>
        </w:tc>
      </w:tr>
      <w:tr>
        <w:tc>
          <w:tcPr>
            <w:tcW w:type="dxa" w:w="3384"/>
            <w:shd w:fill="EEF2F6"/>
            <w:tcMar>
              <w:top w:w="90" w:type="dxa"/>
              <w:start w:w="100" w:type="dxa"/>
              <w:bottom w:w="90" w:type="dxa"/>
              <w:end w:w="100" w:type="dxa"/>
            </w:tcMar>
            <w:vAlign w:val="center"/>
          </w:tcPr>
          <w:p>
            <w:r>
              <w:rPr>
                <w:rFonts w:ascii="Aptos" w:hAnsi="Aptos"/>
                <w:b/>
                <w:color w:val="17365D"/>
                <w:sz w:val="19"/>
              </w:rPr>
              <w:t>Repository Lock Authority</w:t>
            </w:r>
          </w:p>
        </w:tc>
        <w:tc>
          <w:tcPr>
            <w:tcW w:type="dxa" w:w="5976"/>
            <w:tcMar>
              <w:top w:w="90" w:type="dxa"/>
              <w:start w:w="100" w:type="dxa"/>
              <w:bottom w:w="90" w:type="dxa"/>
              <w:end w:w="100" w:type="dxa"/>
            </w:tcMar>
            <w:vAlign w:val="center"/>
          </w:tcPr>
          <w:p>
            <w:r>
              <w:rPr>
                <w:rFonts w:ascii="Aptos" w:hAnsi="Aptos"/>
                <w:color w:val="1F2937"/>
                <w:sz w:val="19"/>
              </w:rPr>
              <w:t>Not granted</w:t>
            </w:r>
          </w:p>
        </w:tc>
      </w:tr>
      <w:tr>
        <w:tc>
          <w:tcPr>
            <w:tcW w:type="dxa" w:w="3384"/>
            <w:shd w:fill="EEF2F6"/>
            <w:tcMar>
              <w:top w:w="90" w:type="dxa"/>
              <w:start w:w="100" w:type="dxa"/>
              <w:bottom w:w="90" w:type="dxa"/>
              <w:end w:w="100" w:type="dxa"/>
            </w:tcMar>
            <w:vAlign w:val="center"/>
          </w:tcPr>
          <w:p>
            <w:r>
              <w:rPr>
                <w:rFonts w:ascii="Aptos" w:hAnsi="Aptos"/>
                <w:b/>
                <w:color w:val="17365D"/>
                <w:sz w:val="19"/>
              </w:rPr>
              <w:t>Implementation Authority</w:t>
            </w:r>
          </w:p>
        </w:tc>
        <w:tc>
          <w:tcPr>
            <w:tcW w:type="dxa" w:w="5976"/>
            <w:tcMar>
              <w:top w:w="90" w:type="dxa"/>
              <w:start w:w="100" w:type="dxa"/>
              <w:bottom w:w="90" w:type="dxa"/>
              <w:end w:w="100" w:type="dxa"/>
            </w:tcMar>
            <w:vAlign w:val="center"/>
          </w:tcPr>
          <w:p>
            <w:r>
              <w:rPr>
                <w:rFonts w:ascii="Aptos" w:hAnsi="Aptos"/>
                <w:color w:val="1F2937"/>
                <w:sz w:val="19"/>
              </w:rPr>
              <w:t>FALSE</w:t>
            </w:r>
          </w:p>
        </w:tc>
      </w:tr>
      <w:tr>
        <w:tc>
          <w:tcPr>
            <w:tcW w:type="dxa" w:w="3384"/>
            <w:shd w:fill="EEF2F6"/>
            <w:tcMar>
              <w:top w:w="90" w:type="dxa"/>
              <w:start w:w="100" w:type="dxa"/>
              <w:bottom w:w="90" w:type="dxa"/>
              <w:end w:w="100" w:type="dxa"/>
            </w:tcMar>
            <w:vAlign w:val="center"/>
          </w:tcPr>
          <w:p>
            <w:r>
              <w:rPr>
                <w:rFonts w:ascii="Aptos" w:hAnsi="Aptos"/>
                <w:b/>
                <w:color w:val="17365D"/>
                <w:sz w:val="19"/>
              </w:rPr>
              <w:t>Production / Runtime Authority</w:t>
            </w:r>
          </w:p>
        </w:tc>
        <w:tc>
          <w:tcPr>
            <w:tcW w:type="dxa" w:w="5976"/>
            <w:tcMar>
              <w:top w:w="90" w:type="dxa"/>
              <w:start w:w="100" w:type="dxa"/>
              <w:bottom w:w="90" w:type="dxa"/>
              <w:end w:w="100" w:type="dxa"/>
            </w:tcMar>
            <w:vAlign w:val="center"/>
          </w:tcPr>
          <w:p>
            <w:r>
              <w:rPr>
                <w:rFonts w:ascii="Aptos" w:hAnsi="Aptos"/>
                <w:color w:val="1F2937"/>
                <w:sz w:val="19"/>
              </w:rPr>
              <w:t>FALSE</w:t>
            </w:r>
          </w:p>
        </w:tc>
      </w:tr>
      <w:tr>
        <w:tc>
          <w:tcPr>
            <w:tcW w:type="dxa" w:w="3384"/>
            <w:shd w:fill="EEF2F6"/>
            <w:tcMar>
              <w:top w:w="90" w:type="dxa"/>
              <w:start w:w="100" w:type="dxa"/>
              <w:bottom w:w="90" w:type="dxa"/>
              <w:end w:w="100" w:type="dxa"/>
            </w:tcMar>
            <w:vAlign w:val="center"/>
          </w:tcPr>
          <w:p>
            <w:r>
              <w:rPr>
                <w:rFonts w:ascii="Aptos" w:hAnsi="Aptos"/>
                <w:b/>
                <w:color w:val="17365D"/>
                <w:sz w:val="19"/>
              </w:rPr>
              <w:t>Public Claims / Launch Authority</w:t>
            </w:r>
          </w:p>
        </w:tc>
        <w:tc>
          <w:tcPr>
            <w:tcW w:type="dxa" w:w="5976"/>
            <w:tcMar>
              <w:top w:w="90" w:type="dxa"/>
              <w:start w:w="100" w:type="dxa"/>
              <w:bottom w:w="90" w:type="dxa"/>
              <w:end w:w="100" w:type="dxa"/>
            </w:tcMar>
            <w:vAlign w:val="center"/>
          </w:tcPr>
          <w:p>
            <w:r>
              <w:rPr>
                <w:rFonts w:ascii="Aptos" w:hAnsi="Aptos"/>
                <w:color w:val="1F2937"/>
                <w:sz w:val="19"/>
              </w:rPr>
              <w:t>FALSE</w:t>
            </w:r>
          </w:p>
        </w:tc>
      </w:tr>
    </w:tbl>
    <w:p>
      <w:pPr>
        <w:spacing w:before="520"/>
        <w:jc w:val="center"/>
      </w:pPr>
      <w:r>
        <w:rPr>
          <w:rFonts w:ascii="Aptos" w:hAnsi="Aptos"/>
          <w:i/>
          <w:color w:val="6B7280"/>
          <w:sz w:val="20"/>
        </w:rPr>
        <w:t>Every Horse. Every Task. In Sync.</w:t>
      </w:r>
    </w:p>
    <w:p>
      <w:r>
        <w:br w:type="page"/>
      </w:r>
    </w:p>
    <w:p>
      <w:pPr>
        <w:pStyle w:val="Heading1"/>
      </w:pPr>
      <w:r>
        <w:t>1. Founder Review Conclusion</w:t>
      </w:r>
    </w:p>
    <w:p>
      <w:r>
        <w:rPr>
          <w:b w:val="0"/>
        </w:rPr>
        <w:t xml:space="preserve">The Founder has completed a controlled substantive review of the two constitutional models identified below. </w:t>
      </w:r>
      <w:r>
        <w:rPr>
          <w:b/>
        </w:rPr>
        <w:t>Both are approved without substantive revision.</w:t>
      </w:r>
      <w:r>
        <w:t xml:space="preserve"> The Privacy Model requires lifecycle-status correction and successor generation. The Reporting Model is already visibly founder approved and requires exact-source mounting, hashing, provenance, and lifecycle reconciliation without regression of its existing status.</w:t>
      </w:r>
    </w:p>
    <w:tbl>
      <w:tblPr>
        <w:tblW w:type="auto" w:w="0"/>
        <w:jc w:val="center"/>
        <w:tblLayout w:type="fixed"/>
        <w:tblLook w:firstColumn="1" w:firstRow="1" w:lastColumn="0" w:lastRow="0" w:noHBand="0" w:noVBand="1" w:val="04A0"/>
      </w:tblPr>
      <w:tblGrid>
        <w:gridCol w:w="9504"/>
      </w:tblGrid>
      <w:tr>
        <w:tc>
          <w:tcPr>
            <w:tcW w:type="dxa" w:w="9878"/>
            <w:shd w:fill="E2F0D9"/>
            <w:tcMar>
              <w:top w:w="160" w:type="dxa"/>
              <w:start w:w="180" w:type="dxa"/>
              <w:bottom w:w="160" w:type="dxa"/>
              <w:end w:w="180" w:type="dxa"/>
            </w:tcMar>
          </w:tcPr>
          <w:p>
            <w:pPr>
              <w:spacing w:after="80"/>
            </w:pPr>
            <w:r>
              <w:rPr>
                <w:rFonts w:ascii="Aptos" w:hAnsi="Aptos"/>
                <w:b/>
                <w:color w:val="375623"/>
                <w:sz w:val="20"/>
              </w:rPr>
              <w:t>REVIEW RESULT</w:t>
            </w:r>
          </w:p>
          <w:p>
            <w:pPr>
              <w:spacing w:after="0"/>
            </w:pPr>
            <w:r>
              <w:rPr>
                <w:rFonts w:ascii="Aptos" w:hAnsi="Aptos"/>
                <w:color w:val="1F2937"/>
                <w:sz w:val="20"/>
              </w:rPr>
              <w:t>No unresolved P0 or P1 constitutional defect was identified in either model. No change to the approved substantive policy text is required as a condition of founder approval.</w:t>
            </w:r>
          </w:p>
        </w:tc>
      </w:tr>
    </w:tbl>
    <w:p>
      <w:pPr>
        <w:spacing w:after="0"/>
      </w:pPr>
    </w:p>
    <w:p>
      <w:pPr>
        <w:pStyle w:val="Heading1"/>
      </w:pPr>
      <w:r>
        <w:t>2. Approved Constitutional Sources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893"/>
            <w:shd w:fill="17365D"/>
            <w:tcMar>
              <w:top w:w="90" w:type="dxa"/>
              <w:start w:w="100" w:type="dxa"/>
              <w:bottom w:w="90" w:type="dxa"/>
              <w:end w:w="100" w:type="dxa"/>
            </w:tcMar>
          </w:tcPr>
          <w:p>
            <w:r>
              <w:rPr>
                <w:rFonts w:ascii="Aptos" w:hAnsi="Aptos"/>
                <w:b/>
                <w:color w:val="FFFFFF"/>
                <w:sz w:val="17"/>
              </w:rPr>
              <w:t>C0 Row</w:t>
            </w:r>
          </w:p>
        </w:tc>
        <w:tc>
          <w:tcPr>
            <w:tcW w:type="dxa" w:w="2275"/>
            <w:shd w:fill="17365D"/>
            <w:tcMar>
              <w:top w:w="90" w:type="dxa"/>
              <w:start w:w="100" w:type="dxa"/>
              <w:bottom w:w="90" w:type="dxa"/>
              <w:end w:w="100" w:type="dxa"/>
            </w:tcMar>
          </w:tcPr>
          <w:p>
            <w:r>
              <w:rPr>
                <w:rFonts w:ascii="Aptos" w:hAnsi="Aptos"/>
                <w:b/>
                <w:color w:val="FFFFFF"/>
                <w:sz w:val="17"/>
              </w:rPr>
              <w:t>Model</w:t>
            </w:r>
          </w:p>
        </w:tc>
        <w:tc>
          <w:tcPr>
            <w:tcW w:type="dxa" w:w="3773"/>
            <w:shd w:fill="17365D"/>
            <w:tcMar>
              <w:top w:w="90" w:type="dxa"/>
              <w:start w:w="100" w:type="dxa"/>
              <w:bottom w:w="90" w:type="dxa"/>
              <w:end w:w="100" w:type="dxa"/>
            </w:tcMar>
          </w:tcPr>
          <w:p>
            <w:r>
              <w:rPr>
                <w:rFonts w:ascii="Aptos" w:hAnsi="Aptos"/>
                <w:b/>
                <w:color w:val="FFFFFF"/>
                <w:sz w:val="17"/>
              </w:rPr>
              <w:t>Controlling Source Pair</w:t>
            </w:r>
          </w:p>
        </w:tc>
        <w:tc>
          <w:tcPr>
            <w:tcW w:type="dxa" w:w="2808"/>
            <w:shd w:fill="17365D"/>
            <w:tcMar>
              <w:top w:w="90" w:type="dxa"/>
              <w:start w:w="100" w:type="dxa"/>
              <w:bottom w:w="90" w:type="dxa"/>
              <w:end w:w="100" w:type="dxa"/>
            </w:tcMar>
          </w:tcPr>
          <w:p>
            <w:r>
              <w:rPr>
                <w:rFonts w:ascii="Aptos" w:hAnsi="Aptos"/>
                <w:b/>
                <w:color w:val="FFFFFF"/>
                <w:sz w:val="17"/>
              </w:rPr>
              <w:t>Disposition</w:t>
            </w:r>
          </w:p>
        </w:tc>
      </w:tr>
      <w:tr>
        <w:tc>
          <w:tcPr>
            <w:tcW w:type="dxa" w:w="893"/>
            <w:tcMar>
              <w:top w:w="75" w:type="dxa"/>
              <w:start w:w="70" w:type="dxa"/>
              <w:bottom w:w="75" w:type="dxa"/>
              <w:end w:w="70" w:type="dxa"/>
            </w:tcMar>
          </w:tcPr>
          <w:p>
            <w:r>
              <w:rPr>
                <w:rFonts w:ascii="Aptos" w:hAnsi="Aptos"/>
                <w:b/>
                <w:color w:val="17365D"/>
                <w:sz w:val="15"/>
              </w:rPr>
              <w:t>C0-023</w:t>
            </w:r>
          </w:p>
        </w:tc>
        <w:tc>
          <w:tcPr>
            <w:tcW w:type="dxa" w:w="2275"/>
            <w:tcMar>
              <w:top w:w="75" w:type="dxa"/>
              <w:start w:w="70" w:type="dxa"/>
              <w:bottom w:w="75" w:type="dxa"/>
              <w:end w:w="70" w:type="dxa"/>
            </w:tcMar>
          </w:tcPr>
          <w:p>
            <w:r>
              <w:rPr>
                <w:rFonts w:ascii="Aptos" w:hAnsi="Aptos"/>
                <w:b w:val="0"/>
                <w:color w:val="1F2937"/>
                <w:sz w:val="15"/>
              </w:rPr>
              <w:t>Master Privacy and Data Protection Model V2.0</w:t>
            </w:r>
          </w:p>
        </w:tc>
        <w:tc>
          <w:tcPr>
            <w:tcW w:type="dxa" w:w="3773"/>
            <w:tcMar>
              <w:top w:w="75" w:type="dxa"/>
              <w:start w:w="70" w:type="dxa"/>
              <w:bottom w:w="75" w:type="dxa"/>
              <w:end w:w="70" w:type="dxa"/>
            </w:tcMar>
          </w:tcPr>
          <w:p>
            <w:r>
              <w:rPr>
                <w:rFonts w:ascii="Aptos" w:hAnsi="Aptos"/>
                <w:b w:val="0"/>
                <w:color w:val="1F2937"/>
                <w:sz w:val="13"/>
              </w:rPr>
              <w:t>MASTER_PRIVACY_AND_DATA_PROTECTION_</w:t>
              <w:br/>
              <w:t>MODEL_V2_0_REVIEWED_DRAFT.md</w:t>
              <w:br/>
              <w:t>MASTER_PRIVACY_AND_DATA_PROTECTION_</w:t>
              <w:br/>
              <w:t>MODEL_V2_0_REVIEWED_DRAFT.docx</w:t>
            </w:r>
          </w:p>
        </w:tc>
        <w:tc>
          <w:tcPr>
            <w:tcW w:type="dxa" w:w="2808"/>
            <w:tcMar>
              <w:top w:w="75" w:type="dxa"/>
              <w:start w:w="70" w:type="dxa"/>
              <w:bottom w:w="75" w:type="dxa"/>
              <w:end w:w="70" w:type="dxa"/>
            </w:tcMar>
          </w:tcPr>
          <w:p>
            <w:r>
              <w:rPr>
                <w:rFonts w:ascii="Aptos" w:hAnsi="Aptos"/>
                <w:b w:val="0"/>
                <w:color w:val="1F2937"/>
                <w:sz w:val="15"/>
              </w:rPr>
              <w:t>FOUNDER APPROVED; controlling substantive canon; status-corrected successors authorized</w:t>
            </w:r>
          </w:p>
        </w:tc>
      </w:tr>
      <w:tr>
        <w:tc>
          <w:tcPr>
            <w:tcW w:type="dxa" w:w="893"/>
            <w:tcMar>
              <w:top w:w="75" w:type="dxa"/>
              <w:start w:w="70" w:type="dxa"/>
              <w:bottom w:w="75" w:type="dxa"/>
              <w:end w:w="70" w:type="dxa"/>
            </w:tcMar>
            <w:shd w:fill="F7F9FC"/>
          </w:tcPr>
          <w:p>
            <w:r>
              <w:rPr>
                <w:rFonts w:ascii="Aptos" w:hAnsi="Aptos"/>
                <w:b/>
                <w:color w:val="17365D"/>
                <w:sz w:val="15"/>
              </w:rPr>
              <w:t>C0-035</w:t>
            </w:r>
          </w:p>
        </w:tc>
        <w:tc>
          <w:tcPr>
            <w:tcW w:type="dxa" w:w="2275"/>
            <w:tcMar>
              <w:top w:w="75" w:type="dxa"/>
              <w:start w:w="70" w:type="dxa"/>
              <w:bottom w:w="75" w:type="dxa"/>
              <w:end w:w="70" w:type="dxa"/>
            </w:tcMar>
            <w:shd w:fill="F7F9FC"/>
          </w:tcPr>
          <w:p>
            <w:r>
              <w:rPr>
                <w:rFonts w:ascii="Aptos" w:hAnsi="Aptos"/>
                <w:b w:val="0"/>
                <w:color w:val="1F2937"/>
                <w:sz w:val="15"/>
              </w:rPr>
              <w:t>Master Reporting, Analytics, and Business Intelligence Model V2.0</w:t>
            </w:r>
          </w:p>
        </w:tc>
        <w:tc>
          <w:tcPr>
            <w:tcW w:type="dxa" w:w="3773"/>
            <w:tcMar>
              <w:top w:w="75" w:type="dxa"/>
              <w:start w:w="70" w:type="dxa"/>
              <w:bottom w:w="75" w:type="dxa"/>
              <w:end w:w="70" w:type="dxa"/>
            </w:tcMar>
            <w:shd w:fill="F7F9FC"/>
          </w:tcPr>
          <w:p>
            <w:r>
              <w:rPr>
                <w:rFonts w:ascii="Aptos" w:hAnsi="Aptos"/>
                <w:b w:val="0"/>
                <w:color w:val="1F2937"/>
                <w:sz w:val="13"/>
              </w:rPr>
              <w:t>MASTER_REPORTING_ANALYTICS_AND_</w:t>
              <w:br/>
              <w:t>BUSINESS_INTELLIGENCE_MODEL_V2_0.md</w:t>
              <w:br/>
              <w:t>MASTER_REPORTING_ANALYTICS_AND_</w:t>
              <w:br/>
              <w:t>BUSINESS_INTELLIGENCE_MODEL_V2_0.docx</w:t>
            </w:r>
          </w:p>
        </w:tc>
        <w:tc>
          <w:tcPr>
            <w:tcW w:type="dxa" w:w="2808"/>
            <w:tcMar>
              <w:top w:w="75" w:type="dxa"/>
              <w:start w:w="70" w:type="dxa"/>
              <w:bottom w:w="75" w:type="dxa"/>
              <w:end w:w="70" w:type="dxa"/>
            </w:tcMar>
            <w:shd w:fill="F7F9FC"/>
          </w:tcPr>
          <w:p>
            <w:r>
              <w:rPr>
                <w:rFonts w:ascii="Aptos" w:hAnsi="Aptos"/>
                <w:b w:val="0"/>
                <w:color w:val="1F2937"/>
                <w:sz w:val="15"/>
              </w:rPr>
              <w:t>FOUNDER APPROVED; CONTROLLING CANON; existing status preserved</w:t>
            </w:r>
          </w:p>
        </w:tc>
      </w:tr>
    </w:tbl>
    <w:p>
      <w:pPr>
        <w:pStyle w:val="Heading1"/>
      </w:pPr>
      <w:r>
        <w:t>3. Privacy Model Approval</w:t>
      </w:r>
    </w:p>
    <w:p>
      <w:r>
        <w:rPr>
          <w:b/>
        </w:rPr>
        <w:t xml:space="preserve">The reviewed Privacy Model is founder approved as the controlling substantive privacy and data-protection canon. </w:t>
      </w:r>
      <w:r>
        <w:t>The review confirms that it comprehensively governs purpose limitation, minimization, sensitive information, controller and processor allocation, minors and guardians, privacy rights, retention and deletion, legal holds, vendors, international processing, AI and automated processing, privacy impact assessments, audit, complaints, remedies, and implementation gating.</w:t>
      </w:r>
    </w:p>
    <w:p>
      <w:pPr>
        <w:pStyle w:val="Heading2"/>
      </w:pPr>
      <w:r>
        <w:t>3.1 Authorized status correction</w:t>
      </w:r>
    </w:p>
    <w:p>
      <w:pPr>
        <w:pStyle w:val="ListBullet"/>
        <w:spacing w:after="60"/>
      </w:pPr>
      <w:r>
        <w:rPr>
          <w:rFonts w:ascii="Aptos" w:hAnsi="Aptos"/>
          <w:color w:val="1F2937"/>
          <w:sz w:val="21"/>
        </w:rPr>
        <w:t>Remove REVIEWED DRAFT, FOUNDER-DIRECTED, NOT ADOPTED, and equivalent pre-approval labels from the controlling successor.</w:t>
      </w:r>
    </w:p>
    <w:p>
      <w:pPr>
        <w:pStyle w:val="ListBullet"/>
        <w:spacing w:after="60"/>
      </w:pPr>
      <w:r>
        <w:rPr>
          <w:rFonts w:ascii="Aptos" w:hAnsi="Aptos"/>
          <w:color w:val="1F2937"/>
          <w:sz w:val="21"/>
        </w:rPr>
        <w:t>Create canonical successors named MASTER_PRIVACY_AND_DATA_PROTECTION_MODEL_V2_0.md and MASTER_PRIVACY_AND_DATA_PROTECTION_MODEL_V2_0.docx.</w:t>
      </w:r>
    </w:p>
    <w:p>
      <w:pPr>
        <w:pStyle w:val="ListBullet"/>
        <w:spacing w:after="60"/>
      </w:pPr>
      <w:r>
        <w:rPr>
          <w:rFonts w:ascii="Aptos" w:hAnsi="Aptos"/>
          <w:color w:val="1F2937"/>
          <w:sz w:val="21"/>
        </w:rPr>
        <w:t>Preserve the reviewed source files unchanged as historical evidence and record predecessor-to-successor provenance.</w:t>
      </w:r>
    </w:p>
    <w:p>
      <w:pPr>
        <w:pStyle w:val="ListBullet"/>
        <w:spacing w:after="60"/>
      </w:pPr>
      <w:r>
        <w:rPr>
          <w:rFonts w:ascii="Aptos" w:hAnsi="Aptos"/>
          <w:color w:val="1F2937"/>
          <w:sz w:val="21"/>
        </w:rPr>
        <w:t>Do not alter substantive policy language except to repair a demonstrable transcription, encoding, pagination, or cross-format defect, and document every such correction.</w:t>
      </w:r>
    </w:p>
    <w:p>
      <w:pPr>
        <w:pStyle w:val="ListBullet"/>
        <w:spacing w:after="60"/>
      </w:pPr>
      <w:r>
        <w:rPr>
          <w:rFonts w:ascii="Aptos" w:hAnsi="Aptos"/>
          <w:color w:val="1F2937"/>
          <w:sz w:val="21"/>
        </w:rPr>
        <w:t>State Founder Approval Date: July 16, 2026 and Constitutional Status: Founder Approved; Controlling Substantive Canon.</w:t>
      </w:r>
    </w:p>
    <w:p>
      <w:pPr>
        <w:pStyle w:val="ListBullet"/>
        <w:spacing w:after="60"/>
      </w:pPr>
      <w:r>
        <w:rPr>
          <w:rFonts w:ascii="Aptos" w:hAnsi="Aptos"/>
          <w:color w:val="1F2937"/>
          <w:sz w:val="21"/>
        </w:rPr>
        <w:t>State separately that adoption and repository lock are not granted by this Directive and remain governed by their own evidence.</w:t>
      </w:r>
    </w:p>
    <w:p>
      <w:pPr>
        <w:pStyle w:val="Heading2"/>
      </w:pPr>
      <w:r>
        <w:t>3.2 Mandatory authority boundaries</w:t>
      </w:r>
    </w:p>
    <w:p>
      <w:pPr>
        <w:pStyle w:val="ListBullet"/>
        <w:spacing w:after="60"/>
      </w:pPr>
      <w:r>
        <w:rPr>
          <w:rFonts w:ascii="Aptos" w:hAnsi="Aptos"/>
          <w:color w:val="1F2937"/>
          <w:sz w:val="21"/>
        </w:rPr>
        <w:t>Implementation, schema mutation, data migration, production processing, processor activation, international launch, automated deletion, legal-hold execution, biometric processing, targeted advertising, AI training, public compliance claims, and public launch remain unauthorized.</w:t>
      </w:r>
    </w:p>
    <w:p>
      <w:pPr>
        <w:pStyle w:val="ListBullet"/>
        <w:spacing w:after="60"/>
      </w:pPr>
      <w:r>
        <w:rPr>
          <w:rFonts w:ascii="Aptos" w:hAnsi="Aptos"/>
          <w:color w:val="1F2937"/>
          <w:sz w:val="21"/>
        </w:rPr>
        <w:t>The document remains a governance instrument, not a legal opinion or a representation that EquineSync presently complies with every referenced jurisdiction.</w:t>
      </w:r>
    </w:p>
    <w:p>
      <w:pPr>
        <w:pStyle w:val="ListBullet"/>
        <w:spacing w:after="60"/>
      </w:pPr>
      <w:r>
        <w:rPr>
          <w:rFonts w:ascii="Aptos" w:hAnsi="Aptos"/>
          <w:color w:val="1F2937"/>
          <w:sz w:val="21"/>
        </w:rPr>
        <w:t>Jurisdiction-specific implementation and public wording require separate legal validation and governed authorization.</w:t>
      </w:r>
    </w:p>
    <w:p>
      <w:pPr>
        <w:pStyle w:val="Heading1"/>
      </w:pPr>
      <w:r>
        <w:t>4. Reporting Model Approval</w:t>
      </w:r>
    </w:p>
    <w:p>
      <w:r>
        <w:rPr>
          <w:b/>
        </w:rPr>
        <w:t xml:space="preserve">The Reporting Model is confirmed as founder approved and controlling. </w:t>
      </w:r>
      <w:r>
        <w:t>Its existing July 13, 2026 founder-approval status must not be regressed to candidate, draft, pending-adoption, or source-unavailable status. The model appropriately preserves canonical-source supremacy, read-only reporting, narrowest-permission inheritance, provenance, data-quality and freshness disclosure, high-risk analytics validation, AI limitations, safeguarding, correction and withdrawal, report lifecycle governance, and public-claim controls.</w:t>
      </w:r>
    </w:p>
    <w:p>
      <w:pPr>
        <w:pStyle w:val="Heading2"/>
      </w:pPr>
      <w:r>
        <w:t>4.1 Required reconciliation</w:t>
      </w:r>
    </w:p>
    <w:p>
      <w:pPr>
        <w:pStyle w:val="ListBullet"/>
        <w:spacing w:after="60"/>
      </w:pPr>
      <w:r>
        <w:rPr>
          <w:rFonts w:ascii="Aptos" w:hAnsi="Aptos"/>
          <w:color w:val="1F2937"/>
          <w:sz w:val="21"/>
        </w:rPr>
        <w:t>Mount and hash the exact Markdown and DOCX source bytes.</w:t>
      </w:r>
    </w:p>
    <w:p>
      <w:pPr>
        <w:pStyle w:val="ListBullet"/>
        <w:spacing w:after="60"/>
      </w:pPr>
      <w:r>
        <w:rPr>
          <w:rFonts w:ascii="Aptos" w:hAnsi="Aptos"/>
          <w:color w:val="1F2937"/>
          <w:sz w:val="21"/>
        </w:rPr>
        <w:t>Verify material consistency between the source pair and identify any cross-format-only variation.</w:t>
      </w:r>
    </w:p>
    <w:p>
      <w:pPr>
        <w:pStyle w:val="ListBullet"/>
        <w:spacing w:after="60"/>
      </w:pPr>
      <w:r>
        <w:rPr>
          <w:rFonts w:ascii="Aptos" w:hAnsi="Aptos"/>
          <w:color w:val="1F2937"/>
          <w:sz w:val="21"/>
        </w:rPr>
        <w:t>Record repository paths, checksums, provenance, and normalized lifecycle status in all controlling registers.</w:t>
      </w:r>
    </w:p>
    <w:p>
      <w:pPr>
        <w:pStyle w:val="ListBullet"/>
        <w:spacing w:after="60"/>
      </w:pPr>
      <w:r>
        <w:rPr>
          <w:rFonts w:ascii="Aptos" w:hAnsi="Aptos"/>
          <w:color w:val="1F2937"/>
          <w:sz w:val="21"/>
        </w:rPr>
        <w:t>Preserve Constitutional Status: FOUNDER APPROVED; CONTROLLING CANON and all existing FALSE authority markers.</w:t>
      </w:r>
    </w:p>
    <w:p>
      <w:pPr>
        <w:pStyle w:val="ListBullet"/>
        <w:spacing w:after="60"/>
      </w:pPr>
      <w:r>
        <w:rPr>
          <w:rFonts w:ascii="Aptos" w:hAnsi="Aptos"/>
          <w:color w:val="1F2937"/>
          <w:sz w:val="21"/>
        </w:rPr>
        <w:t>Do not generate a rewritten substantive successor unless an actual source inconsistency is found and separately documented.</w:t>
      </w:r>
    </w:p>
    <w:p>
      <w:pPr>
        <w:pStyle w:val="Heading1"/>
      </w:pPr>
      <w:r>
        <w:t>5. Cross-Canon Review Findings</w:t>
      </w:r>
    </w:p>
    <w:p>
      <w:pPr>
        <w:spacing w:after="80"/>
        <w:ind w:left="403" w:hanging="403"/>
      </w:pPr>
      <w:r>
        <w:rPr>
          <w:rFonts w:ascii="Aptos" w:hAnsi="Aptos"/>
          <w:color w:val="1F2937"/>
          <w:sz w:val="21"/>
        </w:rPr>
        <w:t>1.  Both models honor the rule that reporting and processing may not expand underlying permissions or create authority that does not otherwise exist.</w:t>
      </w:r>
    </w:p>
    <w:p>
      <w:pPr>
        <w:spacing w:after="80"/>
        <w:ind w:left="403" w:hanging="403"/>
      </w:pPr>
      <w:r>
        <w:rPr>
          <w:rFonts w:ascii="Aptos" w:hAnsi="Aptos"/>
          <w:color w:val="1F2937"/>
          <w:sz w:val="21"/>
        </w:rPr>
        <w:t>2.  Both preserve heightened protections for minors, guardians, safeguarding information, precise location, financial information, health-related observations, and other contextually sensitive data.</w:t>
      </w:r>
    </w:p>
    <w:p>
      <w:pPr>
        <w:spacing w:after="80"/>
        <w:ind w:left="403" w:hanging="403"/>
      </w:pPr>
      <w:r>
        <w:rPr>
          <w:rFonts w:ascii="Aptos" w:hAnsi="Aptos"/>
          <w:color w:val="1F2937"/>
          <w:sz w:val="21"/>
        </w:rPr>
        <w:t>3.  Both prohibit customer operational data from being used to train general or shared AI models and preserve AI as assistive rather than determinative.</w:t>
      </w:r>
    </w:p>
    <w:p>
      <w:pPr>
        <w:spacing w:after="80"/>
        <w:ind w:left="403" w:hanging="403"/>
      </w:pPr>
      <w:r>
        <w:rPr>
          <w:rFonts w:ascii="Aptos" w:hAnsi="Aptos"/>
          <w:color w:val="1F2937"/>
          <w:sz w:val="21"/>
        </w:rPr>
        <w:t>4.  Both separate governance approval from implementation, production, vendor activation, public claims, and launch authority.</w:t>
      </w:r>
    </w:p>
    <w:p>
      <w:pPr>
        <w:spacing w:after="80"/>
        <w:ind w:left="403" w:hanging="403"/>
      </w:pPr>
      <w:r>
        <w:rPr>
          <w:rFonts w:ascii="Aptos" w:hAnsi="Aptos"/>
          <w:color w:val="1F2937"/>
          <w:sz w:val="21"/>
        </w:rPr>
        <w:t>5.  Both require evidence, auditability, challenge, correction, and human review for material or consequential uses.</w:t>
      </w:r>
    </w:p>
    <w:p>
      <w:pPr>
        <w:spacing w:after="80"/>
        <w:ind w:left="403" w:hanging="403"/>
      </w:pPr>
      <w:r>
        <w:rPr>
          <w:rFonts w:ascii="Aptos" w:hAnsi="Aptos"/>
          <w:color w:val="1F2937"/>
          <w:sz w:val="21"/>
        </w:rPr>
        <w:t>6.  No substantive conflict requiring founder resolution was identified between the two models. Where a future conflict appears, the more protective privacy, safeguarding, security, permission, or evidentiary rule controls pending controlled reconciliation.</w:t>
      </w:r>
    </w:p>
    <w:p>
      <w:pPr>
        <w:pStyle w:val="Heading1"/>
      </w:pPr>
      <w:r>
        <w:t>6. Required Governance Record Updates</w:t>
      </w:r>
    </w:p>
    <w:p>
      <w:pPr>
        <w:pStyle w:val="ListBullet"/>
        <w:spacing w:after="60"/>
      </w:pPr>
      <w:r>
        <w:rPr>
          <w:rFonts w:ascii="Aptos" w:hAnsi="Aptos"/>
          <w:color w:val="1F2937"/>
          <w:sz w:val="21"/>
        </w:rPr>
        <w:t>Constitutional Source-of-Truth Register, including C0-023 and C0-035.</w:t>
      </w:r>
    </w:p>
    <w:p>
      <w:pPr>
        <w:pStyle w:val="ListBullet"/>
        <w:spacing w:after="60"/>
      </w:pPr>
      <w:r>
        <w:rPr>
          <w:rFonts w:ascii="Aptos" w:hAnsi="Aptos"/>
          <w:color w:val="1F2937"/>
          <w:sz w:val="21"/>
        </w:rPr>
        <w:t>C0 Row-by-Row Lifecycle Resolution Ledger and machine-readable lifecycle data.</w:t>
      </w:r>
    </w:p>
    <w:p>
      <w:pPr>
        <w:pStyle w:val="ListBullet"/>
        <w:spacing w:after="60"/>
      </w:pPr>
      <w:r>
        <w:rPr>
          <w:rFonts w:ascii="Aptos" w:hAnsi="Aptos"/>
          <w:color w:val="1F2937"/>
          <w:sz w:val="21"/>
        </w:rPr>
        <w:t>Constitutional Canon Index and Navigator.</w:t>
      </w:r>
    </w:p>
    <w:p>
      <w:pPr>
        <w:pStyle w:val="ListBullet"/>
        <w:spacing w:after="60"/>
      </w:pPr>
      <w:r>
        <w:rPr>
          <w:rFonts w:ascii="Aptos" w:hAnsi="Aptos"/>
          <w:color w:val="1F2937"/>
          <w:sz w:val="21"/>
        </w:rPr>
        <w:t>Constitutional Domain Ownership and Boundary Register.</w:t>
      </w:r>
    </w:p>
    <w:p>
      <w:pPr>
        <w:pStyle w:val="ListBullet"/>
        <w:spacing w:after="60"/>
      </w:pPr>
      <w:r>
        <w:rPr>
          <w:rFonts w:ascii="Aptos" w:hAnsi="Aptos"/>
          <w:color w:val="1F2937"/>
          <w:sz w:val="21"/>
        </w:rPr>
        <w:t>Constitutional Authority Matrix and Constitutional Cross-Reference Index.</w:t>
      </w:r>
    </w:p>
    <w:p>
      <w:pPr>
        <w:pStyle w:val="ListBullet"/>
        <w:spacing w:after="60"/>
      </w:pPr>
      <w:r>
        <w:rPr>
          <w:rFonts w:ascii="Aptos" w:hAnsi="Aptos"/>
          <w:color w:val="1F2937"/>
          <w:sz w:val="21"/>
        </w:rPr>
        <w:t>Canon Dependency Map and Cross-Canon Reference Normalization Register.</w:t>
      </w:r>
    </w:p>
    <w:p>
      <w:pPr>
        <w:pStyle w:val="ListBullet"/>
        <w:spacing w:after="60"/>
      </w:pPr>
      <w:r>
        <w:rPr>
          <w:rFonts w:ascii="Aptos" w:hAnsi="Aptos"/>
          <w:color w:val="1F2937"/>
          <w:sz w:val="21"/>
        </w:rPr>
        <w:t>Founder Decision Register, Governance Requirement Index, and Requirement Traceability Matrix.</w:t>
      </w:r>
    </w:p>
    <w:p>
      <w:pPr>
        <w:pStyle w:val="ListBullet"/>
        <w:spacing w:after="60"/>
      </w:pPr>
      <w:r>
        <w:rPr>
          <w:rFonts w:ascii="Aptos" w:hAnsi="Aptos"/>
          <w:color w:val="1F2937"/>
          <w:sz w:val="21"/>
        </w:rPr>
        <w:t>Provenance, checksum, adoption, supersession, completeness, and lifecycle manifests referencing either model.</w:t>
      </w:r>
    </w:p>
    <w:p>
      <w:pPr>
        <w:pStyle w:val="Heading1"/>
      </w:pPr>
      <w:r>
        <w:t>7. Acceptance Criteria</w:t>
      </w:r>
    </w:p>
    <w:p>
      <w:pPr>
        <w:spacing w:after="80"/>
        <w:ind w:left="403" w:hanging="403"/>
      </w:pPr>
      <w:r>
        <w:rPr>
          <w:rFonts w:ascii="Aptos" w:hAnsi="Aptos"/>
          <w:color w:val="1F2937"/>
          <w:sz w:val="21"/>
        </w:rPr>
        <w:t>1.  Exact source bytes are mounted; no document is reconstructed from snippets or memory.</w:t>
      </w:r>
    </w:p>
    <w:p>
      <w:pPr>
        <w:spacing w:after="80"/>
        <w:ind w:left="403" w:hanging="403"/>
      </w:pPr>
      <w:r>
        <w:rPr>
          <w:rFonts w:ascii="Aptos" w:hAnsi="Aptos"/>
          <w:color w:val="1F2937"/>
          <w:sz w:val="21"/>
        </w:rPr>
        <w:t>2.  Privacy predecessors remain preserved and are linked to the canonical founder-approved successor.</w:t>
      </w:r>
    </w:p>
    <w:p>
      <w:pPr>
        <w:spacing w:after="80"/>
        <w:ind w:left="403" w:hanging="403"/>
      </w:pPr>
      <w:r>
        <w:rPr>
          <w:rFonts w:ascii="Aptos" w:hAnsi="Aptos"/>
          <w:color w:val="1F2937"/>
          <w:sz w:val="21"/>
        </w:rPr>
        <w:t>3.  Privacy successors display no contradictory draft or not-approved labels.</w:t>
      </w:r>
    </w:p>
    <w:p>
      <w:pPr>
        <w:spacing w:after="80"/>
        <w:ind w:left="403" w:hanging="403"/>
      </w:pPr>
      <w:r>
        <w:rPr>
          <w:rFonts w:ascii="Aptos" w:hAnsi="Aptos"/>
          <w:color w:val="1F2937"/>
          <w:sz w:val="21"/>
        </w:rPr>
        <w:t>4.  Reporting retains its existing founder-approved controlling status without regression.</w:t>
      </w:r>
    </w:p>
    <w:p>
      <w:pPr>
        <w:spacing w:after="80"/>
        <w:ind w:left="403" w:hanging="403"/>
      </w:pPr>
      <w:r>
        <w:rPr>
          <w:rFonts w:ascii="Aptos" w:hAnsi="Aptos"/>
          <w:color w:val="1F2937"/>
          <w:sz w:val="21"/>
        </w:rPr>
        <w:t>5.  Markdown and DOCX counterparts are materially consistent and discrepancies are explained.</w:t>
      </w:r>
    </w:p>
    <w:p>
      <w:pPr>
        <w:spacing w:after="80"/>
        <w:ind w:left="403" w:hanging="403"/>
      </w:pPr>
      <w:r>
        <w:rPr>
          <w:rFonts w:ascii="Aptos" w:hAnsi="Aptos"/>
          <w:color w:val="1F2937"/>
          <w:sz w:val="21"/>
        </w:rPr>
        <w:t>6.  SHA-256 values and byte counts are recorded for each exact source and successor.</w:t>
      </w:r>
    </w:p>
    <w:p>
      <w:pPr>
        <w:spacing w:after="80"/>
        <w:ind w:left="403" w:hanging="403"/>
      </w:pPr>
      <w:r>
        <w:rPr>
          <w:rFonts w:ascii="Aptos" w:hAnsi="Aptos"/>
          <w:color w:val="1F2937"/>
          <w:sz w:val="21"/>
        </w:rPr>
        <w:t>7.  All named registers point to exact filenames, repository paths, and checksums.</w:t>
      </w:r>
    </w:p>
    <w:p>
      <w:pPr>
        <w:spacing w:after="80"/>
        <w:ind w:left="403" w:hanging="403"/>
      </w:pPr>
      <w:r>
        <w:rPr>
          <w:rFonts w:ascii="Aptos" w:hAnsi="Aptos"/>
          <w:color w:val="1F2937"/>
          <w:sz w:val="21"/>
        </w:rPr>
        <w:t>8.  No artifact claims adoption, lock, implementation, production, processor activation, public compliance, or launch authority beyond separately established evidence.</w:t>
      </w:r>
    </w:p>
    <w:p>
      <w:pPr>
        <w:spacing w:after="80"/>
        <w:ind w:left="403" w:hanging="403"/>
      </w:pPr>
      <w:r>
        <w:rPr>
          <w:rFonts w:ascii="Aptos" w:hAnsi="Aptos"/>
          <w:color w:val="1F2937"/>
          <w:sz w:val="21"/>
        </w:rPr>
        <w:t>9.  A human-readable reconciliation report and machine-readable JSON manifest identify every change, predecessor, successor, checksum, and remaining lifecycle action.</w:t>
      </w:r>
    </w:p>
    <w:p>
      <w:pPr>
        <w:spacing w:after="80"/>
        <w:ind w:left="403" w:hanging="403"/>
      </w:pPr>
      <w:r>
        <w:rPr>
          <w:rFonts w:ascii="Aptos" w:hAnsi="Aptos"/>
          <w:color w:val="1F2937"/>
          <w:sz w:val="21"/>
        </w:rPr>
        <w:t>10.  The final disposition is evidence-backed and reproducible from the mounted source bytes.</w:t>
      </w:r>
    </w:p>
    <w:p>
      <w:pPr>
        <w:pStyle w:val="Heading1"/>
      </w:pPr>
      <w:r>
        <w:t>8. Founder Disposition</w:t>
      </w:r>
    </w:p>
    <w:tbl>
      <w:tblPr>
        <w:tblW w:type="auto" w:w="0"/>
        <w:jc w:val="center"/>
        <w:tblLayout w:type="fixed"/>
        <w:tblLook w:firstColumn="1" w:firstRow="1" w:lastColumn="0" w:lastRow="0" w:noHBand="0" w:noVBand="1" w:val="04A0"/>
      </w:tblPr>
      <w:tblGrid>
        <w:gridCol w:w="9504"/>
      </w:tblGrid>
      <w:tr>
        <w:tc>
          <w:tcPr>
            <w:tcW w:type="dxa" w:w="9878"/>
            <w:shd w:fill="D9EAD3"/>
            <w:tcMar>
              <w:top w:w="160" w:type="dxa"/>
              <w:start w:w="180" w:type="dxa"/>
              <w:bottom w:w="160" w:type="dxa"/>
              <w:end w:w="180" w:type="dxa"/>
            </w:tcMar>
          </w:tcPr>
          <w:p>
            <w:pPr>
              <w:spacing w:after="80"/>
            </w:pPr>
            <w:r>
              <w:rPr>
                <w:rFonts w:ascii="Aptos" w:hAnsi="Aptos"/>
                <w:b/>
                <w:color w:val="274E13"/>
                <w:sz w:val="20"/>
              </w:rPr>
              <w:t>FINAL DISPOSITION</w:t>
            </w:r>
          </w:p>
          <w:p>
            <w:pPr>
              <w:spacing w:after="0"/>
            </w:pPr>
            <w:r>
              <w:rPr>
                <w:rFonts w:ascii="Aptos" w:hAnsi="Aptos"/>
                <w:color w:val="1F2937"/>
                <w:sz w:val="20"/>
              </w:rPr>
              <w:t>FOUNDER_APPROVED_TWO_CANON_STATUS_AND_SOURCE_RECONCILIATION_AUTHORIZED</w:t>
            </w:r>
          </w:p>
        </w:tc>
      </w:tr>
    </w:tbl>
    <w:p>
      <w:pPr>
        <w:spacing w:after="0"/>
      </w:pPr>
    </w:p>
    <w:p>
      <w:r>
        <w:rPr>
          <w:b/>
        </w:rPr>
        <w:t xml:space="preserve">The substantive constitutional text of the Privacy Model and Reporting Model is founder approved. </w:t>
      </w:r>
      <w:r>
        <w:t>Controlled source mounting, hashing, status correction, successor generation for Privacy, and companion-artifact reconciliation are authorized. This Directive grants no implementation, runtime, production, external-processor, public-claims, public-release, or public-launch authority. Repository lock is not authorized. Any stronger lifecycle status already established for the Reporting Model must be preserved.</w:t>
      </w:r>
    </w:p>
    <w:p>
      <w:pPr>
        <w:pStyle w:val="Heading1"/>
      </w:pPr>
      <w:r>
        <w:t>9. Execution and Authority Record</w:t>
      </w:r>
    </w:p>
    <w:p>
      <w:r>
        <w:rPr>
          <w:b/>
        </w:rPr>
        <w:t xml:space="preserve">This Directive is effective upon issuance in the controlled EquineSync governance record. </w:t>
      </w:r>
      <w:r>
        <w:t>Electronic preservation, checksum registration, and repository provenance may serve as the execution evidence for this founder directive. No handwritten signature is required for Codex to perform the expressly authorized reconciliation work.</w:t>
      </w:r>
    </w:p>
    <w:tbl>
      <w:tblPr>
        <w:tblW w:type="auto" w:w="0"/>
        <w:jc w:val="center"/>
        <w:tblLayout w:type="fixed"/>
        <w:tblLook w:firstColumn="1" w:firstRow="1" w:lastColumn="0" w:lastRow="0" w:noHBand="0" w:noVBand="1" w:val="04A0"/>
      </w:tblPr>
      <w:tblGrid>
        <w:gridCol w:w="9504"/>
      </w:tblGrid>
      <w:tr>
        <w:tc>
          <w:tcPr>
            <w:tcW w:type="dxa" w:w="9878"/>
            <w:shd w:fill="EAF2F8"/>
            <w:tcMar>
              <w:top w:w="160" w:type="dxa"/>
              <w:start w:w="180" w:type="dxa"/>
              <w:bottom w:w="160" w:type="dxa"/>
              <w:end w:w="180" w:type="dxa"/>
            </w:tcMar>
          </w:tcPr>
          <w:p>
            <w:pPr>
              <w:spacing w:after="80"/>
            </w:pPr>
            <w:r>
              <w:rPr>
                <w:rFonts w:ascii="Aptos" w:hAnsi="Aptos"/>
                <w:b/>
                <w:color w:val="17365D"/>
                <w:sz w:val="20"/>
              </w:rPr>
              <w:t>EXECUTION STATUS</w:t>
            </w:r>
          </w:p>
          <w:p>
            <w:pPr>
              <w:spacing w:after="0"/>
            </w:pPr>
            <w:r>
              <w:rPr>
                <w:rFonts w:ascii="Aptos" w:hAnsi="Aptos"/>
                <w:color w:val="1F2937"/>
                <w:sz w:val="20"/>
              </w:rPr>
              <w:t>FOUNDER APPROVAL RECORDED - CONTROLLED RECONCILIATION MAY PROCEED</w:t>
            </w:r>
          </w:p>
        </w:tc>
      </w:tr>
    </w:tbl>
    <w:p>
      <w:pPr>
        <w:spacing w:after="0"/>
      </w:pPr>
    </w:p>
    <w:tbl>
      <w:tblPr>
        <w:tblW w:type="auto" w:w="0"/>
        <w:jc w:val="left"/>
        <w:tblLayout w:type="fixed"/>
        <w:tblLook w:firstColumn="1" w:firstRow="1" w:lastColumn="0" w:lastRow="0" w:noHBand="0" w:noVBand="1" w:val="04A0"/>
      </w:tblPr>
      <w:tblGrid>
        <w:gridCol w:w="4939"/>
        <w:gridCol w:w="4939"/>
      </w:tblGrid>
      <w:tr>
        <w:tc>
          <w:tcPr>
            <w:tcW w:type="dxa" w:w="4939"/>
            <w:shd w:fill="EEF2F6"/>
            <w:tcMar>
              <w:top w:w="90" w:type="dxa"/>
              <w:start w:w="100" w:type="dxa"/>
              <w:bottom w:w="90" w:type="dxa"/>
              <w:end w:w="100" w:type="dxa"/>
            </w:tcMar>
          </w:tcPr>
          <w:p>
            <w:r>
              <w:rPr>
                <w:rFonts w:ascii="Aptos" w:hAnsi="Aptos"/>
                <w:b/>
                <w:color w:val="17365D"/>
                <w:sz w:val="18"/>
              </w:rPr>
              <w:t>Authority</w:t>
            </w:r>
          </w:p>
        </w:tc>
        <w:tc>
          <w:tcPr>
            <w:tcW w:type="dxa" w:w="4939"/>
            <w:tcMar>
              <w:top w:w="90" w:type="dxa"/>
              <w:start w:w="100" w:type="dxa"/>
              <w:bottom w:w="90" w:type="dxa"/>
              <w:end w:w="100" w:type="dxa"/>
            </w:tcMar>
          </w:tcPr>
          <w:p>
            <w:r>
              <w:rPr>
                <w:rFonts w:ascii="Aptos" w:hAnsi="Aptos"/>
                <w:color w:val="1F2937"/>
                <w:sz w:val="18"/>
              </w:rPr>
              <w:t>EquineSync Founder</w:t>
            </w:r>
          </w:p>
        </w:tc>
      </w:tr>
      <w:tr>
        <w:tc>
          <w:tcPr>
            <w:tcW w:type="dxa" w:w="4939"/>
            <w:shd w:fill="EEF2F6"/>
            <w:tcMar>
              <w:top w:w="90" w:type="dxa"/>
              <w:start w:w="100" w:type="dxa"/>
              <w:bottom w:w="90" w:type="dxa"/>
              <w:end w:w="100" w:type="dxa"/>
            </w:tcMar>
          </w:tcPr>
          <w:p>
            <w:r>
              <w:rPr>
                <w:rFonts w:ascii="Aptos" w:hAnsi="Aptos"/>
                <w:b/>
                <w:color w:val="17365D"/>
                <w:sz w:val="18"/>
              </w:rPr>
              <w:t>Effective Date</w:t>
            </w:r>
          </w:p>
        </w:tc>
        <w:tc>
          <w:tcPr>
            <w:tcW w:type="dxa" w:w="4939"/>
            <w:tcMar>
              <w:top w:w="90" w:type="dxa"/>
              <w:start w:w="100" w:type="dxa"/>
              <w:bottom w:w="90" w:type="dxa"/>
              <w:end w:w="100" w:type="dxa"/>
            </w:tcMar>
          </w:tcPr>
          <w:p>
            <w:r>
              <w:rPr>
                <w:rFonts w:ascii="Aptos" w:hAnsi="Aptos"/>
                <w:color w:val="1F2937"/>
                <w:sz w:val="18"/>
              </w:rPr>
              <w:t>July 16, 2026</w:t>
            </w:r>
          </w:p>
        </w:tc>
      </w:tr>
      <w:tr>
        <w:tc>
          <w:tcPr>
            <w:tcW w:type="dxa" w:w="4939"/>
            <w:shd w:fill="EEF2F6"/>
            <w:tcMar>
              <w:top w:w="90" w:type="dxa"/>
              <w:start w:w="100" w:type="dxa"/>
              <w:bottom w:w="90" w:type="dxa"/>
              <w:end w:w="100" w:type="dxa"/>
            </w:tcMar>
          </w:tcPr>
          <w:p>
            <w:r>
              <w:rPr>
                <w:rFonts w:ascii="Aptos" w:hAnsi="Aptos"/>
                <w:b/>
                <w:color w:val="17365D"/>
                <w:sz w:val="18"/>
              </w:rPr>
              <w:t>Directive Version</w:t>
            </w:r>
          </w:p>
        </w:tc>
        <w:tc>
          <w:tcPr>
            <w:tcW w:type="dxa" w:w="4939"/>
            <w:tcMar>
              <w:top w:w="90" w:type="dxa"/>
              <w:start w:w="100" w:type="dxa"/>
              <w:bottom w:w="90" w:type="dxa"/>
              <w:end w:w="100" w:type="dxa"/>
            </w:tcMar>
          </w:tcPr>
          <w:p>
            <w:r>
              <w:rPr>
                <w:rFonts w:ascii="Aptos" w:hAnsi="Aptos"/>
                <w:color w:val="1F2937"/>
                <w:sz w:val="18"/>
              </w:rPr>
              <w:t>1.0</w:t>
            </w:r>
          </w:p>
        </w:tc>
      </w:tr>
      <w:tr>
        <w:tc>
          <w:tcPr>
            <w:tcW w:type="dxa" w:w="4939"/>
            <w:shd w:fill="EEF2F6"/>
            <w:tcMar>
              <w:top w:w="90" w:type="dxa"/>
              <w:start w:w="100" w:type="dxa"/>
              <w:bottom w:w="90" w:type="dxa"/>
              <w:end w:w="100" w:type="dxa"/>
            </w:tcMar>
          </w:tcPr>
          <w:p>
            <w:r>
              <w:rPr>
                <w:rFonts w:ascii="Aptos" w:hAnsi="Aptos"/>
                <w:b/>
                <w:color w:val="17365D"/>
                <w:sz w:val="18"/>
              </w:rPr>
              <w:t>Implementation Authority</w:t>
            </w:r>
          </w:p>
        </w:tc>
        <w:tc>
          <w:tcPr>
            <w:tcW w:type="dxa" w:w="4939"/>
            <w:tcMar>
              <w:top w:w="90" w:type="dxa"/>
              <w:start w:w="100" w:type="dxa"/>
              <w:bottom w:w="90" w:type="dxa"/>
              <w:end w:w="100" w:type="dxa"/>
            </w:tcMar>
          </w:tcPr>
          <w:p>
            <w:r>
              <w:rPr>
                <w:rFonts w:ascii="Aptos" w:hAnsi="Aptos"/>
                <w:color w:val="1F2937"/>
                <w:sz w:val="18"/>
              </w:rPr>
              <w:t>FALSE</w:t>
            </w:r>
          </w:p>
        </w:tc>
      </w:tr>
      <w:tr>
        <w:tc>
          <w:tcPr>
            <w:tcW w:type="dxa" w:w="4939"/>
            <w:shd w:fill="EEF2F6"/>
            <w:tcMar>
              <w:top w:w="90" w:type="dxa"/>
              <w:start w:w="100" w:type="dxa"/>
              <w:bottom w:w="90" w:type="dxa"/>
              <w:end w:w="100" w:type="dxa"/>
            </w:tcMar>
          </w:tcPr>
          <w:p>
            <w:r>
              <w:rPr>
                <w:rFonts w:ascii="Aptos" w:hAnsi="Aptos"/>
                <w:b/>
                <w:color w:val="17365D"/>
                <w:sz w:val="18"/>
              </w:rPr>
              <w:t>Repository Lock Authority</w:t>
            </w:r>
          </w:p>
        </w:tc>
        <w:tc>
          <w:tcPr>
            <w:tcW w:type="dxa" w:w="4939"/>
            <w:tcMar>
              <w:top w:w="90" w:type="dxa"/>
              <w:start w:w="100" w:type="dxa"/>
              <w:bottom w:w="90" w:type="dxa"/>
              <w:end w:w="100" w:type="dxa"/>
            </w:tcMar>
          </w:tcPr>
          <w:p>
            <w:r>
              <w:rPr>
                <w:rFonts w:ascii="Aptos" w:hAnsi="Aptos"/>
                <w:color w:val="1F2937"/>
                <w:sz w:val="18"/>
              </w:rPr>
              <w:t>FALSE</w:t>
            </w:r>
          </w:p>
        </w:tc>
      </w:tr>
    </w:tbl>
    <w:sectPr>
      <w:headerReference w:type="default" r:id="rId9"/>
      <w:footerReference w:type="default" r:id="rId10"/>
      <w:pgSz w:w="12240" w:h="15840"/>
      <w:pgMar w:top="1037" w:right="1181" w:bottom="979" w:left="1181"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216"/>
      <w:gridCol w:w="3216"/>
      <w:gridCol w:w="3216"/>
    </w:tblGrid>
    <w:tr>
      <w:tc>
        <w:tcPr>
          <w:tcW w:type="dxa" w:w="3216"/>
        </w:tcPr>
        <w:p>
          <w:pPr>
            <w:jc w:val="left"/>
          </w:pPr>
          <w:r>
            <w:rPr>
              <w:rFonts w:ascii="Aptos" w:hAnsi="Aptos"/>
              <w:color w:val="6B7280"/>
              <w:sz w:val="15"/>
            </w:rPr>
            <w:t>FOUNDER APPROVAL DIRECTIVE V1.0</w:t>
          </w:r>
        </w:p>
      </w:tc>
      <w:tc>
        <w:tcPr>
          <w:tcW w:type="dxa" w:w="3216"/>
        </w:tcPr>
        <w:p>
          <w:pPr>
            <w:jc w:val="center"/>
          </w:pPr>
          <w:r>
            <w:rPr>
              <w:rFonts w:ascii="Aptos" w:hAnsi="Aptos"/>
              <w:color w:val="6B7280"/>
              <w:sz w:val="15"/>
            </w:rPr>
            <w:t>July 16, 2026</w:t>
          </w:r>
        </w:p>
      </w:tc>
      <w:tc>
        <w:tcPr>
          <w:tcW w:type="dxa" w:w="3216"/>
        </w:tcPr>
        <w:p>
          <w:pPr>
            <w:jc w:val="right"/>
          </w:pPr>
          <w:r>
            <w:rPr>
              <w:rFonts w:ascii="Aptos" w:hAnsi="Aptos"/>
              <w:b/>
              <w:color w:val="17365D"/>
              <w:sz w:val="15"/>
            </w:rPr>
            <w:t>EquineSync</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5" w:space="4" w:color="B4C7E7"/>
      </w:pBdr>
    </w:pPr>
    <w:r>
      <w:rPr>
        <w:rFonts w:ascii="Aptos" w:hAnsi="Aptos"/>
        <w:b/>
        <w:color w:val="17365D"/>
        <w:sz w:val="16"/>
      </w:rPr>
      <w:t>EQUINESYNC  |  CONSTITUTIONAL GOVERNANCE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