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before="400" w:after="160"/>
        <w:jc w:val="center"/>
      </w:pPr>
      <w:r>
        <w:rPr>
          <w:rFonts w:ascii="Aptos Display" w:hAnsi="Aptos Display"/>
          <w:b/>
          <w:color w:val="1F4E79"/>
          <w:sz w:val="26"/>
        </w:rPr>
        <w:t>EQUINESYNC</w:t>
      </w:r>
    </w:p>
    <w:p>
      <w:pPr>
        <w:spacing w:after="60"/>
        <w:jc w:val="center"/>
      </w:pPr>
      <w:r>
        <w:rPr>
          <w:rFonts w:ascii="Aptos Display" w:hAnsi="Aptos Display"/>
          <w:b/>
          <w:color w:val="0B2748"/>
          <w:sz w:val="52"/>
        </w:rPr>
        <w:t>CONSTITUTIONAL AUTHORITY</w:t>
      </w:r>
    </w:p>
    <w:p>
      <w:pPr>
        <w:spacing w:after="100"/>
        <w:jc w:val="center"/>
      </w:pPr>
      <w:r>
        <w:rPr>
          <w:rFonts w:ascii="Aptos Display" w:hAnsi="Aptos Display"/>
          <w:b/>
          <w:color w:val="0B2748"/>
          <w:sz w:val="68"/>
        </w:rPr>
        <w:t>MATRIX</w:t>
      </w:r>
    </w:p>
    <w:p>
      <w:pPr>
        <w:spacing w:after="280"/>
        <w:jc w:val="center"/>
      </w:pPr>
      <w:r>
        <w:rPr>
          <w:rFonts w:ascii="Aptos Display" w:hAnsi="Aptos Display"/>
          <w:b/>
          <w:color w:val="1F4E79"/>
          <w:sz w:val="28"/>
        </w:rPr>
        <w:t>VERSION 1.1</w:t>
      </w:r>
    </w:p>
    <w:p>
      <w:pPr>
        <w:spacing w:after="520"/>
        <w:jc w:val="center"/>
      </w:pPr>
      <w:r>
        <w:rPr>
          <w:rFonts w:ascii="Aptos" w:hAnsi="Aptos"/>
          <w:b w:val="0"/>
          <w:i/>
          <w:color w:val="5A5A5A"/>
          <w:sz w:val="22"/>
        </w:rPr>
        <w:t>Every Horse. Every Task. In Sync.</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tcMar>
              <w:top w:w="80" w:type="dxa"/>
              <w:start w:w="90" w:type="dxa"/>
              <w:bottom w:w="80" w:type="dxa"/>
              <w:end w:w="90" w:type="dxa"/>
            </w:tcMar>
            <w:shd w:fill="17365D"/>
            <w:vAlign w:val="center"/>
          </w:tcPr>
          <w:p>
            <w:r/>
            <w:r>
              <w:rPr>
                <w:rFonts w:ascii="Aptos" w:hAnsi="Aptos"/>
                <w:b/>
                <w:color w:val="FFFFFF"/>
                <w:sz w:val="18"/>
              </w:rPr>
              <w:t>Field</w:t>
            </w:r>
          </w:p>
        </w:tc>
        <w:tc>
          <w:tcPr>
            <w:tcW w:type="dxa" w:w="7488"/>
            <w:tcMar>
              <w:top w:w="80" w:type="dxa"/>
              <w:start w:w="90" w:type="dxa"/>
              <w:bottom w:w="80" w:type="dxa"/>
              <w:end w:w="90" w:type="dxa"/>
            </w:tcMar>
            <w:shd w:fill="17365D"/>
            <w:vAlign w:val="center"/>
          </w:tcPr>
          <w:p>
            <w:r/>
            <w:r>
              <w:rPr>
                <w:rFonts w:ascii="Aptos" w:hAnsi="Aptos"/>
                <w:b/>
                <w:color w:val="FFFFFF"/>
                <w:sz w:val="18"/>
              </w:rPr>
              <w:t>Value</w:t>
            </w:r>
          </w:p>
        </w:tc>
      </w:tr>
      <w:tr>
        <w:tc>
          <w:tcPr>
            <w:tcW w:type="dxa" w:w="2376"/>
            <w:tcMar>
              <w:top w:w="80" w:type="dxa"/>
              <w:start w:w="90" w:type="dxa"/>
              <w:bottom w:w="80" w:type="dxa"/>
              <w:end w:w="90" w:type="dxa"/>
            </w:tcMar>
            <w:shd w:fill="EEF2F6"/>
            <w:vAlign w:val="center"/>
          </w:tcPr>
          <w:p>
            <w:r/>
            <w:r>
              <w:rPr>
                <w:rFonts w:ascii="Aptos" w:hAnsi="Aptos"/>
                <w:b/>
                <w:color w:val="0B2748"/>
                <w:sz w:val="18"/>
              </w:rPr>
              <w:t>Document Identifier</w:t>
            </w:r>
          </w:p>
        </w:tc>
        <w:tc>
          <w:tcPr>
            <w:tcW w:type="dxa" w:w="7488"/>
            <w:tcMar>
              <w:top w:w="80" w:type="dxa"/>
              <w:start w:w="90" w:type="dxa"/>
              <w:bottom w:w="80" w:type="dxa"/>
              <w:end w:w="90" w:type="dxa"/>
            </w:tcMar>
            <w:shd w:fill="EEF2F6"/>
            <w:vAlign w:val="center"/>
          </w:tcPr>
          <w:p>
            <w:r>
              <w:t>EQUINESYNC_CONSTITUTIONAL_AUTHORITY_MATRIX_V1_1</w:t>
            </w:r>
            <w:r>
              <w:rPr>
                <w:rFonts w:ascii="Aptos" w:hAnsi="Aptos"/>
                <w:b w:val="0"/>
                <w:color w:val="232323"/>
                <w:sz w:val="18"/>
              </w:rPr>
            </w:r>
          </w:p>
        </w:tc>
      </w:tr>
      <w:tr>
        <w:tc>
          <w:tcPr>
            <w:tcW w:type="dxa" w:w="2376"/>
            <w:tcMar>
              <w:top w:w="80" w:type="dxa"/>
              <w:start w:w="90" w:type="dxa"/>
              <w:bottom w:w="80" w:type="dxa"/>
              <w:end w:w="90" w:type="dxa"/>
            </w:tcMar>
            <w:shd w:fill="FFFFFF"/>
            <w:vAlign w:val="center"/>
          </w:tcPr>
          <w:p>
            <w:r/>
            <w:r>
              <w:rPr>
                <w:rFonts w:ascii="Aptos" w:hAnsi="Aptos"/>
                <w:b/>
                <w:color w:val="0B2748"/>
                <w:sz w:val="18"/>
              </w:rPr>
              <w:t>Document Type</w:t>
            </w:r>
          </w:p>
        </w:tc>
        <w:tc>
          <w:tcPr>
            <w:tcW w:type="dxa" w:w="7488"/>
            <w:tcMar>
              <w:top w:w="80" w:type="dxa"/>
              <w:start w:w="90" w:type="dxa"/>
              <w:bottom w:w="80" w:type="dxa"/>
              <w:end w:w="90" w:type="dxa"/>
            </w:tcMar>
            <w:shd w:fill="FFFFFF"/>
            <w:vAlign w:val="center"/>
          </w:tcPr>
          <w:p>
            <w:r/>
            <w:r>
              <w:rPr>
                <w:rFonts w:ascii="Aptos" w:hAnsi="Aptos"/>
                <w:b w:val="0"/>
                <w:color w:val="232323"/>
                <w:sz w:val="18"/>
              </w:rPr>
              <w:t>Constitutional Support Artifact / Subject-Matter Authority and Precedence Matrix</w:t>
            </w:r>
          </w:p>
        </w:tc>
      </w:tr>
      <w:tr>
        <w:tc>
          <w:tcPr>
            <w:tcW w:type="dxa" w:w="2376"/>
            <w:tcMar>
              <w:top w:w="80" w:type="dxa"/>
              <w:start w:w="90" w:type="dxa"/>
              <w:bottom w:w="80" w:type="dxa"/>
              <w:end w:w="90" w:type="dxa"/>
            </w:tcMar>
            <w:shd w:fill="EEF2F6"/>
            <w:vAlign w:val="center"/>
          </w:tcPr>
          <w:p>
            <w:r/>
            <w:r>
              <w:rPr>
                <w:rFonts w:ascii="Aptos" w:hAnsi="Aptos"/>
                <w:b/>
                <w:color w:val="0B2748"/>
                <w:sz w:val="18"/>
              </w:rPr>
              <w:t>Status</w:t>
            </w:r>
          </w:p>
        </w:tc>
        <w:tc>
          <w:tcPr>
            <w:tcW w:type="dxa" w:w="7488"/>
            <w:tcMar>
              <w:top w:w="80" w:type="dxa"/>
              <w:start w:w="90" w:type="dxa"/>
              <w:bottom w:w="80" w:type="dxa"/>
              <w:end w:w="90" w:type="dxa"/>
            </w:tcMar>
            <w:shd w:fill="EEF2F6"/>
            <w:vAlign w:val="center"/>
          </w:tcPr>
          <w:p>
            <w:r>
              <w:t>Founder-Accepted Constitutional Support Artifact</w:t>
            </w:r>
            <w:r>
              <w:rPr>
                <w:rFonts w:ascii="Aptos" w:hAnsi="Aptos"/>
                <w:b w:val="0"/>
                <w:color w:val="232323"/>
                <w:sz w:val="18"/>
              </w:rPr>
            </w:r>
          </w:p>
        </w:tc>
      </w:tr>
      <w:tr>
        <w:tc>
          <w:tcPr>
            <w:tcW w:type="dxa" w:w="2376"/>
            <w:tcMar>
              <w:top w:w="80" w:type="dxa"/>
              <w:start w:w="90" w:type="dxa"/>
              <w:bottom w:w="80" w:type="dxa"/>
              <w:end w:w="90" w:type="dxa"/>
            </w:tcMar>
            <w:shd w:fill="FFFFFF"/>
            <w:vAlign w:val="center"/>
          </w:tcPr>
          <w:p>
            <w:r/>
            <w:r>
              <w:rPr>
                <w:rFonts w:ascii="Aptos" w:hAnsi="Aptos"/>
                <w:b/>
                <w:color w:val="0B2748"/>
                <w:sz w:val="18"/>
              </w:rPr>
              <w:t>Date</w:t>
            </w:r>
          </w:p>
        </w:tc>
        <w:tc>
          <w:tcPr>
            <w:tcW w:type="dxa" w:w="7488"/>
            <w:tcMar>
              <w:top w:w="80" w:type="dxa"/>
              <w:start w:w="90" w:type="dxa"/>
              <w:bottom w:w="80" w:type="dxa"/>
              <w:end w:w="90" w:type="dxa"/>
            </w:tcMar>
            <w:shd w:fill="FFFFFF"/>
            <w:vAlign w:val="center"/>
          </w:tcPr>
          <w:p>
            <w:r/>
            <w:r>
              <w:rPr>
                <w:rFonts w:ascii="Aptos" w:hAnsi="Aptos"/>
                <w:b w:val="0"/>
                <w:color w:val="232323"/>
                <w:sz w:val="18"/>
              </w:rPr>
              <w:t>July 14, 2026</w:t>
            </w:r>
          </w:p>
        </w:tc>
      </w:tr>
      <w:tr>
        <w:tc>
          <w:tcPr>
            <w:tcW w:type="dxa" w:w="2376"/>
            <w:tcMar>
              <w:top w:w="80" w:type="dxa"/>
              <w:start w:w="90" w:type="dxa"/>
              <w:bottom w:w="80" w:type="dxa"/>
              <w:end w:w="90" w:type="dxa"/>
            </w:tcMar>
            <w:shd w:fill="EEF2F6"/>
            <w:vAlign w:val="center"/>
          </w:tcPr>
          <w:p>
            <w:r/>
            <w:r>
              <w:rPr>
                <w:rFonts w:ascii="Aptos" w:hAnsi="Aptos"/>
                <w:b/>
                <w:color w:val="0B2748"/>
                <w:sz w:val="18"/>
              </w:rPr>
              <w:t>Implementation Authority</w:t>
            </w:r>
          </w:p>
        </w:tc>
        <w:tc>
          <w:tcPr>
            <w:tcW w:type="dxa" w:w="7488"/>
            <w:tcMar>
              <w:top w:w="80" w:type="dxa"/>
              <w:start w:w="90" w:type="dxa"/>
              <w:bottom w:w="80" w:type="dxa"/>
              <w:end w:w="90" w:type="dxa"/>
            </w:tcMar>
            <w:shd w:fill="EEF2F6"/>
            <w:vAlign w:val="center"/>
          </w:tcPr>
          <w:p>
            <w:r/>
            <w:r>
              <w:rPr>
                <w:rFonts w:ascii="Aptos" w:hAnsi="Aptos"/>
                <w:b w:val="0"/>
                <w:color w:val="232323"/>
                <w:sz w:val="18"/>
              </w:rPr>
              <w:t>FALSE</w:t>
            </w:r>
          </w:p>
        </w:tc>
      </w:tr>
      <w:tr>
        <w:tc>
          <w:tcPr>
            <w:tcW w:type="dxa" w:w="2376"/>
            <w:tcMar>
              <w:top w:w="80" w:type="dxa"/>
              <w:start w:w="90" w:type="dxa"/>
              <w:bottom w:w="80" w:type="dxa"/>
              <w:end w:w="90" w:type="dxa"/>
            </w:tcMar>
            <w:shd w:fill="FFFFFF"/>
            <w:vAlign w:val="center"/>
          </w:tcPr>
          <w:p>
            <w:r/>
            <w:r>
              <w:rPr>
                <w:rFonts w:ascii="Aptos" w:hAnsi="Aptos"/>
                <w:b/>
                <w:color w:val="0B2748"/>
                <w:sz w:val="18"/>
              </w:rPr>
              <w:t>Production Authority</w:t>
            </w:r>
          </w:p>
        </w:tc>
        <w:tc>
          <w:tcPr>
            <w:tcW w:type="dxa" w:w="7488"/>
            <w:tcMar>
              <w:top w:w="80" w:type="dxa"/>
              <w:start w:w="90" w:type="dxa"/>
              <w:bottom w:w="80" w:type="dxa"/>
              <w:end w:w="90" w:type="dxa"/>
            </w:tcMar>
            <w:shd w:fill="FFFFFF"/>
            <w:vAlign w:val="center"/>
          </w:tcPr>
          <w:p>
            <w:r/>
            <w:r>
              <w:rPr>
                <w:rFonts w:ascii="Aptos" w:hAnsi="Aptos"/>
                <w:b w:val="0"/>
                <w:color w:val="232323"/>
                <w:sz w:val="18"/>
              </w:rPr>
              <w:t>FALSE</w:t>
            </w:r>
          </w:p>
        </w:tc>
      </w:tr>
      <w:tr>
        <w:tc>
          <w:tcPr>
            <w:tcW w:type="dxa" w:w="2376"/>
            <w:tcMar>
              <w:top w:w="80" w:type="dxa"/>
              <w:start w:w="90" w:type="dxa"/>
              <w:bottom w:w="80" w:type="dxa"/>
              <w:end w:w="90" w:type="dxa"/>
            </w:tcMar>
            <w:shd w:fill="EEF2F6"/>
            <w:vAlign w:val="center"/>
          </w:tcPr>
          <w:p>
            <w:r/>
            <w:r>
              <w:rPr>
                <w:rFonts w:ascii="Aptos" w:hAnsi="Aptos"/>
                <w:b/>
                <w:color w:val="0B2748"/>
                <w:sz w:val="18"/>
              </w:rPr>
              <w:t>Public Launch Authority</w:t>
            </w:r>
          </w:p>
        </w:tc>
        <w:tc>
          <w:tcPr>
            <w:tcW w:type="dxa" w:w="7488"/>
            <w:tcMar>
              <w:top w:w="80" w:type="dxa"/>
              <w:start w:w="90" w:type="dxa"/>
              <w:bottom w:w="80" w:type="dxa"/>
              <w:end w:w="90" w:type="dxa"/>
            </w:tcMar>
            <w:shd w:fill="EEF2F6"/>
            <w:vAlign w:val="center"/>
          </w:tcPr>
          <w:p>
            <w:r/>
            <w:r>
              <w:rPr>
                <w:rFonts w:ascii="Aptos" w:hAnsi="Aptos"/>
                <w:b w:val="0"/>
                <w:color w:val="232323"/>
                <w:sz w:val="18"/>
              </w:rPr>
              <w:t>FALSE</w:t>
            </w:r>
          </w:p>
        </w:tc>
      </w:tr>
    </w:tbl>
    <w:p>
      <w:pPr>
        <w:pStyle w:val="Heading1"/>
      </w:pPr>
      <w:r>
        <w:t>1. Purpose</w:t>
      </w:r>
    </w:p>
    <w:p>
      <w:pPr>
        <w:spacing w:after="120"/>
      </w:pPr>
      <w:r>
        <w:rPr>
          <w:rFonts w:ascii="Aptos" w:hAnsi="Aptos"/>
          <w:b w:val="0"/>
          <w:color w:val="262626"/>
          <w:sz w:val="19"/>
        </w:rPr>
        <w:t>This Matrix assigns a primary constitutional owner to material EquineSync governance subjects, identifies the scope owned by that authority, names principal supporting and boundary authorities, and records the anti-drift rule that prevents adjacent canon, implementation artifacts, technical systems, vendors, or interface behavior from silently taking control of the subject.</w:t>
      </w:r>
    </w:p>
    <w:p>
      <w:pPr>
        <w:spacing w:after="120"/>
      </w:pPr>
      <w:r>
        <w:rPr>
          <w:rFonts w:ascii="Aptos" w:hAnsi="Aptos"/>
          <w:b w:val="0"/>
          <w:color w:val="262626"/>
          <w:sz w:val="19"/>
        </w:rPr>
        <w:t>This is a navigation and interpretation artifact. It does not independently create substantive rights, duties, permissions, implementation authority, production authority, provider authority, or public-launch authority. The active controlling version and lifecycle posture of every referenced family must be resolved through the Controlled Canon Index and governing founder evidence.</w:t>
      </w:r>
    </w:p>
    <w:p>
      <w:pPr>
        <w:pStyle w:val="Heading1"/>
      </w:pPr>
      <w:r>
        <w:t>2. Constitutional Authority Hierarchy</w:t>
      </w:r>
    </w:p>
    <w:p>
      <w:pPr>
        <w:spacing w:after="120"/>
      </w:pPr>
      <w:r>
        <w:rPr>
          <w:rFonts w:ascii="Aptos" w:hAnsi="Aptos"/>
          <w:b w:val="0"/>
          <w:color w:val="262626"/>
          <w:sz w:val="19"/>
        </w:rPr>
        <w:t>1. Applicable law, valid court orders, regulatory duties, and binding professional restrictions.</w:t>
      </w:r>
      <w:r>
        <w:br/>
      </w:r>
      <w:r>
        <w:rPr>
          <w:rFonts w:ascii="Aptos" w:hAnsi="Aptos"/>
          <w:b w:val="0"/>
          <w:color w:val="262626"/>
          <w:sz w:val="19"/>
        </w:rPr>
        <w:t>2. Founder directives, constitutional acceptance and adoption decisions, and recorded locks within their stated scope.</w:t>
      </w:r>
      <w:r>
        <w:br/>
      </w:r>
      <w:r>
        <w:rPr>
          <w:rFonts w:ascii="Aptos" w:hAnsi="Aptos"/>
          <w:b w:val="0"/>
          <w:color w:val="262626"/>
          <w:sz w:val="19"/>
        </w:rPr>
        <w:t>3. Apex Product Vision and Ecosystem canon.</w:t>
      </w:r>
      <w:r>
        <w:br/>
      </w:r>
      <w:r>
        <w:rPr>
          <w:rFonts w:ascii="Aptos" w:hAnsi="Aptos"/>
          <w:b w:val="0"/>
          <w:color w:val="262626"/>
          <w:sz w:val="19"/>
        </w:rPr>
        <w:t>4. Controlling specialized constitutional canon for the subject matter.</w:t>
      </w:r>
      <w:r>
        <w:br/>
      </w:r>
      <w:r>
        <w:rPr>
          <w:rFonts w:ascii="Aptos" w:hAnsi="Aptos"/>
          <w:b w:val="0"/>
          <w:color w:val="262626"/>
          <w:sz w:val="19"/>
        </w:rPr>
        <w:t>5. Controlled registries, indexes, and reconciliation artifacts that interpret but do not replace substantive canon.</w:t>
      </w:r>
      <w:r>
        <w:br/>
      </w:r>
      <w:r>
        <w:rPr>
          <w:rFonts w:ascii="Aptos" w:hAnsi="Aptos"/>
          <w:b w:val="0"/>
          <w:color w:val="262626"/>
          <w:sz w:val="19"/>
        </w:rPr>
        <w:t>6. Locked domain RFs and implementation-governance instruments within their granted scope.</w:t>
      </w:r>
      <w:r>
        <w:br/>
      </w:r>
      <w:r>
        <w:rPr>
          <w:rFonts w:ascii="Aptos" w:hAnsi="Aptos"/>
          <w:b w:val="0"/>
          <w:color w:val="262626"/>
          <w:sz w:val="19"/>
        </w:rPr>
        <w:t>7. Authorized implementation atlases, work packages, technical specifications, tests, and release evidence.</w:t>
      </w:r>
      <w:r>
        <w:br/>
      </w:r>
      <w:r>
        <w:rPr>
          <w:rFonts w:ascii="Aptos" w:hAnsi="Aptos"/>
          <w:b w:val="0"/>
          <w:color w:val="262626"/>
          <w:sz w:val="19"/>
        </w:rPr>
        <w:t>8. Repository schemas, code, routes, interfaces, operational practices, and external-provider state.</w:t>
      </w:r>
    </w:p>
    <w:p>
      <w:pPr>
        <w:spacing w:after="120"/>
      </w:pPr>
      <w:r>
        <w:rPr>
          <w:rFonts w:ascii="Aptos" w:hAnsi="Aptos"/>
          <w:b w:val="0"/>
          <w:color w:val="262626"/>
          <w:sz w:val="19"/>
        </w:rPr>
        <w:t>A lower layer may implement a higher layer but may not amend, waive, contradict, or broaden it.</w:t>
      </w:r>
    </w:p>
    <w:p>
      <w:pPr>
        <w:pStyle w:val="Heading1"/>
      </w:pPr>
      <w:r>
        <w:t>3. Interpretation Rules</w:t>
      </w:r>
    </w:p>
    <w:p>
      <w:pPr>
        <w:spacing w:after="120"/>
      </w:pPr>
      <w:r>
        <w:rPr>
          <w:rFonts w:ascii="Aptos" w:hAnsi="Aptos"/>
          <w:b w:val="0"/>
          <w:color w:val="262626"/>
          <w:sz w:val="19"/>
        </w:rPr>
        <w:t>Primary owner. One constitutional family owns the substance of a subject even when many canons apply.</w:t>
      </w:r>
      <w:r>
        <w:br/>
      </w:r>
      <w:r>
        <w:rPr>
          <w:rFonts w:ascii="Aptos" w:hAnsi="Aptos"/>
          <w:b w:val="0"/>
          <w:color w:val="262626"/>
          <w:sz w:val="19"/>
        </w:rPr>
      </w:r>
      <w:r>
        <w:br/>
      </w:r>
      <w:r>
        <w:rPr>
          <w:rFonts w:ascii="Aptos" w:hAnsi="Aptos"/>
          <w:b w:val="0"/>
          <w:color w:val="262626"/>
          <w:sz w:val="19"/>
        </w:rPr>
        <w:t>More specific and more protective. Equally protective provisions are applied through the more specific canon; compatible overlapping rules are applied at the more protective privacy, safeguarding, security, evidentiary, welfare, or permission level.</w:t>
      </w:r>
      <w:r>
        <w:br/>
      </w:r>
      <w:r>
        <w:rPr>
          <w:rFonts w:ascii="Aptos" w:hAnsi="Aptos"/>
          <w:b w:val="0"/>
          <w:color w:val="262626"/>
          <w:sz w:val="19"/>
        </w:rPr>
      </w:r>
      <w:r>
        <w:br/>
      </w:r>
      <w:r>
        <w:rPr>
          <w:rFonts w:ascii="Aptos" w:hAnsi="Aptos"/>
          <w:b w:val="0"/>
          <w:color w:val="262626"/>
          <w:sz w:val="19"/>
        </w:rPr>
        <w:t>Overlay discipline. AI, reporting, media, plugin, integration, security, and operational canons govern their layer but do not take ownership of the underlying legal, financial, medical, welfare, relationship, or record decision.</w:t>
      </w:r>
      <w:r>
        <w:br/>
      </w:r>
      <w:r>
        <w:rPr>
          <w:rFonts w:ascii="Aptos" w:hAnsi="Aptos"/>
          <w:b w:val="0"/>
          <w:color w:val="262626"/>
          <w:sz w:val="19"/>
        </w:rPr>
      </w:r>
      <w:r>
        <w:br/>
      </w:r>
      <w:r>
        <w:rPr>
          <w:rFonts w:ascii="Aptos" w:hAnsi="Aptos"/>
          <w:b w:val="0"/>
          <w:color w:val="262626"/>
          <w:sz w:val="19"/>
        </w:rPr>
        <w:t>No authority by silence or capability. A database field, role label, administrator console, API, vendor feature, model output, file location, or existing code path does not create constitutional authority.</w:t>
      </w:r>
      <w:r>
        <w:br/>
      </w:r>
      <w:r>
        <w:rPr>
          <w:rFonts w:ascii="Aptos" w:hAnsi="Aptos"/>
          <w:b w:val="0"/>
          <w:color w:val="262626"/>
          <w:sz w:val="19"/>
        </w:rPr>
      </w:r>
      <w:r>
        <w:br/>
      </w:r>
      <w:r>
        <w:rPr>
          <w:rFonts w:ascii="Aptos" w:hAnsi="Aptos"/>
          <w:b w:val="0"/>
          <w:color w:val="262626"/>
          <w:sz w:val="19"/>
        </w:rPr>
        <w:t>Stop and reconcile. Implementation pauses when ambiguity materially affects safety, welfare, minors, privacy, legal rights, ownership, finance, evidence, retention, or access.</w:t>
      </w:r>
      <w:r>
        <w:br/>
      </w:r>
      <w:r>
        <w:rPr>
          <w:rFonts w:ascii="Aptos" w:hAnsi="Aptos"/>
          <w:b w:val="0"/>
          <w:color w:val="262626"/>
          <w:sz w:val="19"/>
        </w:rPr>
      </w:r>
      <w:r>
        <w:br/>
      </w:r>
      <w:r>
        <w:rPr>
          <w:rFonts w:ascii="Aptos" w:hAnsi="Aptos"/>
          <w:b w:val="0"/>
          <w:color w:val="262626"/>
          <w:sz w:val="19"/>
        </w:rPr>
        <w:t>Newest-version resolution. Family references resolve to the active controlling substantive successor recorded in the Canon Index; a version suffix alone is not proof of lifecycle status.</w:t>
      </w:r>
      <w:r>
        <w:br/>
        <w:br/>
        <w:t>Founder-designated version exception. The Security Foundational Models V1.0 package is an express founder exception to the default newest-version rule. Its three identified V1.0 artifacts control within their stated and reconciled scope until the Founder expressly supersedes them. A higher version number, later narrative reference, or later candidate does not supersede the package by number alone.</w:t>
      </w:r>
    </w:p>
    <w:p>
      <w:pPr>
        <w:pStyle w:val="Heading1"/>
      </w:pPr>
      <w:r>
        <w:t>4. Matrix Field Guide</w:t>
      </w:r>
    </w:p>
    <w:p>
      <w:pPr>
        <w:spacing w:after="120"/>
      </w:pPr>
      <w:r>
        <w:rPr>
          <w:rFonts w:ascii="Aptos" w:hAnsi="Aptos"/>
          <w:b w:val="0"/>
          <w:color w:val="262626"/>
          <w:sz w:val="19"/>
        </w:rPr>
        <w:t>Primary Constitutional Authority identifies the family that owns the core rule and final subject-matter interpretation. Authority Scope describes what that family governs. Supporting / Boundary Authorities identify canons that constrain, evidence, implement, or apply the primary rule. Boundary / Precedence Rule states the principal limit or conflict rule.</w:t>
      </w:r>
    </w:p>
    <w:p>
      <w:pPr>
        <w:sectPr>
          <w:headerReference w:type="default" r:id="rId9"/>
          <w:footerReference w:type="default" r:id="rId10"/>
          <w:pgSz w:w="12240" w:h="15840"/>
          <w:pgMar w:top="936" w:right="1037" w:bottom="936" w:left="1037" w:header="720" w:footer="720" w:gutter="0"/>
          <w:cols w:space="720"/>
          <w:docGrid w:linePitch="360"/>
        </w:sectPr>
      </w:pPr>
    </w:p>
    <w:p>
      <w:pPr>
        <w:pStyle w:val="Heading1"/>
      </w:pPr>
      <w:r>
        <w:t>5. Constitutional Authority Matrix</w:t>
      </w:r>
    </w:p>
    <w:p>
      <w:pPr>
        <w:spacing w:after="120"/>
      </w:pPr>
      <w:r>
        <w:rPr>
          <w:rFonts w:ascii="Aptos" w:hAnsi="Aptos"/>
          <w:b w:val="0"/>
          <w:i/>
          <w:color w:val="414141"/>
          <w:sz w:val="17"/>
        </w:rPr>
        <w:t>Family titles are used intentionally. The Controlled Canon Index and Founder Decision Register resolve the active version, lifecycle state, checksum, and exact authority posture.</w:t>
      </w:r>
    </w:p>
    <w:p>
      <w:pPr>
        <w:pStyle w:val="Heading2"/>
        <w:spacing w:after="80"/>
        <w:keepNext/>
      </w:pPr>
      <w:r>
        <w:t>A. Constitutional System, Hierarchy, and Interpretation</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24"/>
        <w:gridCol w:w="2424"/>
        <w:gridCol w:w="2424"/>
        <w:gridCol w:w="2424"/>
        <w:gridCol w:w="2424"/>
        <w:gridCol w:w="2424"/>
      </w:tblGrid>
      <w:tr>
        <w:trPr>
          <w:tblHeader w:val="true"/>
        </w:trPr>
        <w:tc>
          <w:tcPr>
            <w:tcW w:type="dxa" w:w="792"/>
            <w:shd w:fill="17365D"/>
            <w:tcMar>
              <w:top w:w="45" w:type="dxa"/>
              <w:start w:w="50" w:type="dxa"/>
              <w:bottom w:w="45" w:type="dxa"/>
              <w:end w:w="50" w:type="dxa"/>
            </w:tcMar>
            <w:vAlign w:val="center"/>
          </w:tcPr>
          <w:p>
            <w:pPr>
              <w:jc w:val="left"/>
            </w:pPr>
            <w:r>
              <w:rPr>
                <w:rFonts w:ascii="Aptos" w:hAnsi="Aptos"/>
                <w:b/>
                <w:color w:val="FFFFFF"/>
                <w:sz w:val="14"/>
              </w:rPr>
              <w:t>ID</w:t>
            </w:r>
          </w:p>
        </w:tc>
        <w:tc>
          <w:tcPr>
            <w:tcW w:type="dxa" w:w="2059"/>
            <w:shd w:fill="17365D"/>
            <w:tcMar>
              <w:top w:w="45" w:type="dxa"/>
              <w:start w:w="50" w:type="dxa"/>
              <w:bottom w:w="45" w:type="dxa"/>
              <w:end w:w="50" w:type="dxa"/>
            </w:tcMar>
            <w:vAlign w:val="center"/>
          </w:tcPr>
          <w:p>
            <w:pPr>
              <w:jc w:val="left"/>
            </w:pPr>
            <w:r>
              <w:rPr>
                <w:rFonts w:ascii="Aptos" w:hAnsi="Aptos"/>
                <w:b/>
                <w:color w:val="FFFFFF"/>
                <w:sz w:val="14"/>
              </w:rPr>
              <w:t>Governance Subject</w:t>
            </w:r>
          </w:p>
        </w:tc>
        <w:tc>
          <w:tcPr>
            <w:tcW w:type="dxa" w:w="2563"/>
            <w:shd w:fill="17365D"/>
            <w:tcMar>
              <w:top w:w="45" w:type="dxa"/>
              <w:start w:w="50" w:type="dxa"/>
              <w:bottom w:w="45" w:type="dxa"/>
              <w:end w:w="50" w:type="dxa"/>
            </w:tcMar>
            <w:vAlign w:val="center"/>
          </w:tcPr>
          <w:p>
            <w:pPr>
              <w:jc w:val="left"/>
            </w:pPr>
            <w:r>
              <w:rPr>
                <w:rFonts w:ascii="Aptos" w:hAnsi="Aptos"/>
                <w:b/>
                <w:color w:val="FFFFFF"/>
                <w:sz w:val="14"/>
              </w:rPr>
              <w:t>Primary Constitutional Authority</w:t>
            </w:r>
          </w:p>
        </w:tc>
        <w:tc>
          <w:tcPr>
            <w:tcW w:type="dxa" w:w="3283"/>
            <w:shd w:fill="17365D"/>
            <w:tcMar>
              <w:top w:w="45" w:type="dxa"/>
              <w:start w:w="50" w:type="dxa"/>
              <w:bottom w:w="45" w:type="dxa"/>
              <w:end w:w="50" w:type="dxa"/>
            </w:tcMar>
            <w:vAlign w:val="center"/>
          </w:tcPr>
          <w:p>
            <w:pPr>
              <w:jc w:val="left"/>
            </w:pPr>
            <w:r>
              <w:rPr>
                <w:rFonts w:ascii="Aptos" w:hAnsi="Aptos"/>
                <w:b/>
                <w:color w:val="FFFFFF"/>
                <w:sz w:val="14"/>
              </w:rPr>
              <w:t>Authority Scope</w:t>
            </w:r>
          </w:p>
        </w:tc>
        <w:tc>
          <w:tcPr>
            <w:tcW w:type="dxa" w:w="2966"/>
            <w:shd w:fill="17365D"/>
            <w:tcMar>
              <w:top w:w="45" w:type="dxa"/>
              <w:start w:w="50" w:type="dxa"/>
              <w:bottom w:w="45" w:type="dxa"/>
              <w:end w:w="50" w:type="dxa"/>
            </w:tcMar>
            <w:vAlign w:val="center"/>
          </w:tcPr>
          <w:p>
            <w:pPr>
              <w:jc w:val="left"/>
            </w:pPr>
            <w:r>
              <w:rPr>
                <w:rFonts w:ascii="Aptos" w:hAnsi="Aptos"/>
                <w:b/>
                <w:color w:val="FFFFFF"/>
                <w:sz w:val="14"/>
              </w:rPr>
              <w:t>Supporting / Boundary Authorities</w:t>
            </w:r>
          </w:p>
        </w:tc>
        <w:tc>
          <w:tcPr>
            <w:tcW w:type="dxa" w:w="2592"/>
            <w:shd w:fill="17365D"/>
            <w:tcMar>
              <w:top w:w="45" w:type="dxa"/>
              <w:start w:w="50" w:type="dxa"/>
              <w:bottom w:w="45" w:type="dxa"/>
              <w:end w:w="50" w:type="dxa"/>
            </w:tcMar>
            <w:vAlign w:val="center"/>
          </w:tcPr>
          <w:p>
            <w:pPr>
              <w:jc w:val="left"/>
            </w:pPr>
            <w:r>
              <w:rPr>
                <w:rFonts w:ascii="Aptos" w:hAnsi="Aptos"/>
                <w:b/>
                <w:color w:val="FFFFFF"/>
                <w:sz w:val="14"/>
              </w:rPr>
              <w:t>Boundary / Precedence Rule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AUTH-001</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Product purpose, promise, product doctrine, and enduring boundaries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Product Vision</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Defines why EquineSync exists, its permanent promises, strategic identity, product thesis, non-negotiable product boundaries, and constitutional reading sequence.</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Ecosystem Model; all specialized canon</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Does not own detailed domain controls. Specialized canon controls implementation-facing rules within its subject matter.</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AUTH-002</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Ecosystem entities, major systems, and structural domain relationships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Ecosystem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Defines the major entity types, system domains, ecosystem structure, and how horses, people, organizations, facilities, providers, records, work, and services fit together.</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Product Vision; Master Relationship Model; lifecycle canons</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Does not independently decide access, legal authority, retention, financial truth, or implementation design.</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AUTH-003</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Active constitutional inventory, document status, versions, and checksums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Controlled Canon Index and Constitutional Completeness Register</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Identifies the active artifact for each constitutional family, superseded versions, lifecycle posture, repository location, and controlling evidence.</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Founder Decision Register and Adoption Evidence; publication-control inventory</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Where filenames or narrative labels disagree, the controlled lifecycle evidence governs after reconciliation.</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AUTH-004</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Canonical vocabulary, definitions, and term aliases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Constitutional Vocabulary and Definitions Index</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Maintains consolidated definitions, primary term ownership, related terms, aliases, and anti-drift rules.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Constitutional Domain Ownership and Boundary Register; Cross-Canon Reference Normalization Register; source canon for each term</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Does not independently amend a definition owned by controlling canon.</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AUTH-005</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Constitutional domain ownership and boundaries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Constitutional Domain Ownership and Boundary Register</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Assigns primary subject-matter ownership, identifies shared boundaries, and prevents duplicate constitutional control.</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Controlled Canon Index and Constitutional Completeness Register; this Matrix; cross-canon reconciliation records</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registry clarifies ownership but may not silently override a controlling substantive canon.</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AUTH-006</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Canonical titles, successor references, and cross-canon naming</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Cross-Canon Reference Normalization Register</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Maps legacy titles, aliases, stale references, and successor names to the correct constitutional family.</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Controlled Canon Index and Constitutional Completeness Register; successor acceptance records</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 normalized reference does not itself confer adoption, lock, implementation, or production authority.</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AUTH-007</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Founder decisions, constitutional acceptance, adoption, and legislative history</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Founder Decision Register and Adoption Evidence</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Preserves founder directives, decision text, disposition, effective scope, affected artifacts, and authority granted or withheld.</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Controlled Canon Index and Constitutional Completeness Register; amendment records; RF ledgers</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Founder acceptance, controlled adoption, repository lock, implementation authority, production authority, and launch are distinct acts.</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AUTH-008</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Constitutional amendment, supersession, and newest-version resolution</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Controlled Canon Index and Constitutional Completeness Register</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Resolves the active substantive successor and preserves lineage, prior versions, delta evidence, and amendment authority.</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Founder Decision Register and Adoption Evidence; Cross-Canon Reference Normalization Register; change history</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 later version controls only to the extent supported by valid lifecycle evidence and stated scope.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AUTH-009</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Cross-canon conflict identification and reconciliation</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Constitutional Domain Ownership and Boundary Register</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Provides the routing mechanism for ownership collisions, inconsistent definitions, duplicate controls, and unresolved dependencies.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Controlled Canon Index and Constitutional Completeness Register; affected specialized canons; reconciliation memoranda</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Implementation must not informally resolve constitutional ambiguity affecting safety, rights, privacy, access, finance, evidence, or welfare.</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AUTH-010</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Implementation sequencing and execution orchestration</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EquineSync Implementation Atlas and Authorized RF Packages</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Translates controlling canon into dependency-aware workstreams, gates, RF packages, tests, and release evidence.</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Controlled Canon Index and Constitutional Completeness Register; all applicable canon; release authority</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The Atlas is subordinate and does not create constitutional policy or implementation authority by itself.</w:t>
            </w:r>
          </w:p>
        </w:tc>
      </w:tr>
    </w:tbl>
    <w:p>
      <w:pPr>
        <w:pStyle w:val="Heading2"/>
        <w:spacing w:after="80"/>
        <w:keepNext/>
      </w:pPr>
      <w:r>
        <w:t>B. Horse, Facility, Business, and Operational Domain Truth</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24"/>
        <w:gridCol w:w="2424"/>
        <w:gridCol w:w="2424"/>
        <w:gridCol w:w="2424"/>
        <w:gridCol w:w="2424"/>
        <w:gridCol w:w="2424"/>
      </w:tblGrid>
      <w:tr>
        <w:trPr>
          <w:tblHeader w:val="true"/>
        </w:trPr>
        <w:tc>
          <w:tcPr>
            <w:tcW w:type="dxa" w:w="792"/>
            <w:shd w:fill="17365D"/>
            <w:tcMar>
              <w:top w:w="45" w:type="dxa"/>
              <w:start w:w="50" w:type="dxa"/>
              <w:bottom w:w="45" w:type="dxa"/>
              <w:end w:w="50" w:type="dxa"/>
            </w:tcMar>
            <w:vAlign w:val="center"/>
          </w:tcPr>
          <w:p>
            <w:pPr>
              <w:jc w:val="left"/>
            </w:pPr>
            <w:r>
              <w:rPr>
                <w:rFonts w:ascii="Aptos" w:hAnsi="Aptos"/>
                <w:b/>
                <w:color w:val="FFFFFF"/>
                <w:sz w:val="14"/>
              </w:rPr>
              <w:t>ID</w:t>
            </w:r>
          </w:p>
        </w:tc>
        <w:tc>
          <w:tcPr>
            <w:tcW w:type="dxa" w:w="2059"/>
            <w:shd w:fill="17365D"/>
            <w:tcMar>
              <w:top w:w="45" w:type="dxa"/>
              <w:start w:w="50" w:type="dxa"/>
              <w:bottom w:w="45" w:type="dxa"/>
              <w:end w:w="50" w:type="dxa"/>
            </w:tcMar>
            <w:vAlign w:val="center"/>
          </w:tcPr>
          <w:p>
            <w:pPr>
              <w:jc w:val="left"/>
            </w:pPr>
            <w:r>
              <w:rPr>
                <w:rFonts w:ascii="Aptos" w:hAnsi="Aptos"/>
                <w:b/>
                <w:color w:val="FFFFFF"/>
                <w:sz w:val="14"/>
              </w:rPr>
              <w:t>Governance Subject</w:t>
            </w:r>
          </w:p>
        </w:tc>
        <w:tc>
          <w:tcPr>
            <w:tcW w:type="dxa" w:w="2563"/>
            <w:shd w:fill="17365D"/>
            <w:tcMar>
              <w:top w:w="45" w:type="dxa"/>
              <w:start w:w="50" w:type="dxa"/>
              <w:bottom w:w="45" w:type="dxa"/>
              <w:end w:w="50" w:type="dxa"/>
            </w:tcMar>
            <w:vAlign w:val="center"/>
          </w:tcPr>
          <w:p>
            <w:pPr>
              <w:jc w:val="left"/>
            </w:pPr>
            <w:r>
              <w:rPr>
                <w:rFonts w:ascii="Aptos" w:hAnsi="Aptos"/>
                <w:b/>
                <w:color w:val="FFFFFF"/>
                <w:sz w:val="14"/>
              </w:rPr>
              <w:t>Primary Constitutional Authority</w:t>
            </w:r>
          </w:p>
        </w:tc>
        <w:tc>
          <w:tcPr>
            <w:tcW w:type="dxa" w:w="3283"/>
            <w:shd w:fill="17365D"/>
            <w:tcMar>
              <w:top w:w="45" w:type="dxa"/>
              <w:start w:w="50" w:type="dxa"/>
              <w:bottom w:w="45" w:type="dxa"/>
              <w:end w:w="50" w:type="dxa"/>
            </w:tcMar>
            <w:vAlign w:val="center"/>
          </w:tcPr>
          <w:p>
            <w:pPr>
              <w:jc w:val="left"/>
            </w:pPr>
            <w:r>
              <w:rPr>
                <w:rFonts w:ascii="Aptos" w:hAnsi="Aptos"/>
                <w:b/>
                <w:color w:val="FFFFFF"/>
                <w:sz w:val="14"/>
              </w:rPr>
              <w:t>Authority Scope</w:t>
            </w:r>
          </w:p>
        </w:tc>
        <w:tc>
          <w:tcPr>
            <w:tcW w:type="dxa" w:w="2966"/>
            <w:shd w:fill="17365D"/>
            <w:tcMar>
              <w:top w:w="45" w:type="dxa"/>
              <w:start w:w="50" w:type="dxa"/>
              <w:bottom w:w="45" w:type="dxa"/>
              <w:end w:w="50" w:type="dxa"/>
            </w:tcMar>
            <w:vAlign w:val="center"/>
          </w:tcPr>
          <w:p>
            <w:pPr>
              <w:jc w:val="left"/>
            </w:pPr>
            <w:r>
              <w:rPr>
                <w:rFonts w:ascii="Aptos" w:hAnsi="Aptos"/>
                <w:b/>
                <w:color w:val="FFFFFF"/>
                <w:sz w:val="14"/>
              </w:rPr>
              <w:t>Supporting / Boundary Authorities</w:t>
            </w:r>
          </w:p>
        </w:tc>
        <w:tc>
          <w:tcPr>
            <w:tcW w:type="dxa" w:w="2592"/>
            <w:shd w:fill="17365D"/>
            <w:tcMar>
              <w:top w:w="45" w:type="dxa"/>
              <w:start w:w="50" w:type="dxa"/>
              <w:bottom w:w="45" w:type="dxa"/>
              <w:end w:w="50" w:type="dxa"/>
            </w:tcMar>
            <w:vAlign w:val="center"/>
          </w:tcPr>
          <w:p>
            <w:pPr>
              <w:jc w:val="left"/>
            </w:pPr>
            <w:r>
              <w:rPr>
                <w:rFonts w:ascii="Aptos" w:hAnsi="Aptos"/>
                <w:b/>
                <w:color w:val="FFFFFF"/>
                <w:sz w:val="14"/>
              </w:rPr>
              <w:t>Boundary / Precedence Rule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AUTH-011</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Permanent horse identity, passport, lifecycle, and historical continuity</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Horse Lifecycle and Passport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permanent horse identity, passport continuity, core lifecycle states, identity correction, and dignity-preserving historical continuity.</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Relationship Model; Master Record Stewardship and Retention Model; Master Horse Transfer and Continuity Policy; Master Audit Event and Evidence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Current owner, location, payer, facility, or account must not overwrite permanent horse identity.</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AUTH-012</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Horse ownership transfer, custody transition, and continuity</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Horse Transfer and Continuity Policy</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transfer initiation, required approvals, effective timing, disputed transfers, emergency movement, record continuity, prior-party access, and post-transfer reconciliation.</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Relationship Model; Master Permission and Access-Control Model; Master Record Stewardship and Retention Model; Master Claims, Disputes, and Authority Model; Master Financial Truth and Responsibility Model; Master Audit Event and Evidence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Transfer does not erase history or automatically transfer private notes, unrelated financial data, or authority beyond the approved scope.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AUTH-013</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Physical facility identity, spaces, capacity, hazards, and occupancy</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Facility Domain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physical-place truth, facility hierarchy, spaces, capacity, hazards, occupancy, and material facility state.</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Barn Lifecycle and Operations Canon; Master Ecosystem Model; Master Record Stewardship and Retention Model; Master Platform Operations, Reliability, and Release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Facility records do not alone create business ownership, employment authority, horse ownership, or permission.</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AUTH-014</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Barn operating lifecycle and horse-care operational continuity</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Barn Lifecycle and Operations Canon</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barn operating states, daily care operating context, continuity during disruption, facility service posture, and operational handoffs.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Facility Domain Model; Master Relationship Model; Master Horse Lifecycle and Passport Model; RF29 Calendar Domain Canon; Master Communication, Notification, and Notice Model; Master Platform Resilience, Backup, and Recovery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Operational control must remain subject to relationship, permission, welfare, safety, and professional-authority boundaries.</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AUTH-015</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Equestrian business identity, lifecycle, and organizational continuity</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Business Lifecycle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business lifecycle, legal-entity operating context, organizational continuity, and business-level domain boundaries.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Identity, Account, and Actor Model; Master Relationship Model; Master Financial Truth and Responsibility Model; Master Agreement, Consent, and Authorization Model; Master Ecosystem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Business identity must remain distinct from tenant, account, facility, payer, merchant, and horse ownership.</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AUTH-016</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Calendar objects, scheduling truth, recurrence, and cross-domain calendar ownership</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RF29 Calendar Domain Canon</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calendar-domain objects, event identity, recurrence, schedule authority, time-zone handling, and calendar-domain integration boundaries.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Relationship Model; Master Permission and Access-Control Model; Master Communication, Notification, and Notice Model; Master Platform Operations, Reliability, and Release Model; domain canons</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 calendar event may coordinate work but does not independently create medical, financial, relationship, or access authority.</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AUTH-017</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Daily tasks, care instructions, work assignments, and completion state</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Barn Lifecycle and Operations Canon</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the operational task context and completion lifecycle for barn work and routine horse-care coordination.</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Relationship Model; Master Permission and Access-Control Model; Master Horse Lifecycle and Passport Model; Master Audit Event and Evidence Model; Master Communication, Notification, and Notice Model; RF29 Calendar Domain Canon</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task assignment must not grant broader record access or professional authority than needed to perform the task.</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AUTH-018</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Lessons, training sessions, rider participation, and instructional workflows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Ecosystem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the high-level lesson and training domain structure; specialized workflow rules derive from relationships, agreements, calendars, safeguarding, and records.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Relationship Model; Master Agreement, Consent, and Authorization Model; Minor, Guardian, Safeguarding, and Delegated-Assistance Canon; RF29 Calendar Domain Canon; Master Financial Truth and Responsibility Model; Master Audit Event and Evidence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Participation, billing, guardianship, rider suitability, and professional judgment remain separate constitutional questions.</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AUTH-019</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Professional provider participation and service relationships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Relationship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the relationship basis between horses, customers, facilities, and professional providers.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Identity, Account, and Actor Model; Master Agreement, Consent, and Authorization Model; Master Permission and Access-Control Model; Master Record Stewardship and Retention Model; Master Financial Truth and Responsibility Model; professional restrictions</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Provider status does not create universal access. Professional authority remains scoped to role, engagement, law, and actual service context.</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AUTH-020</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Inventory, supplies, equipment, tack, medication stock, and physical resources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Ecosystem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the broad domain placement of operational inventory and resource records; specialized facility and financial canons govern context and value.</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Facility Domain Model; Master Barn Lifecycle and Operations Canon; Master Financial Truth and Responsibility Model; Master Record Stewardship and Retention Model; Master Permission and Access-Control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Inventory records do not prove legal ownership, medication authority, financial settlement, or permission.</w:t>
            </w:r>
          </w:p>
        </w:tc>
      </w:tr>
    </w:tbl>
    <w:p>
      <w:pPr>
        <w:pStyle w:val="Heading2"/>
        <w:spacing w:after="80"/>
        <w:keepNext/>
      </w:pPr>
      <w:r>
        <w:t>C. Identity, Relationships, Agreements, Permissions, Minors, and Authority</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24"/>
        <w:gridCol w:w="2424"/>
        <w:gridCol w:w="2424"/>
        <w:gridCol w:w="2424"/>
        <w:gridCol w:w="2424"/>
        <w:gridCol w:w="2424"/>
      </w:tblGrid>
      <w:tr>
        <w:trPr>
          <w:tblHeader w:val="true"/>
        </w:trPr>
        <w:tc>
          <w:tcPr>
            <w:tcW w:type="dxa" w:w="792"/>
            <w:shd w:fill="17365D"/>
            <w:tcMar>
              <w:top w:w="45" w:type="dxa"/>
              <w:start w:w="50" w:type="dxa"/>
              <w:bottom w:w="45" w:type="dxa"/>
              <w:end w:w="50" w:type="dxa"/>
            </w:tcMar>
            <w:vAlign w:val="center"/>
          </w:tcPr>
          <w:p>
            <w:pPr>
              <w:jc w:val="left"/>
            </w:pPr>
            <w:r>
              <w:rPr>
                <w:rFonts w:ascii="Aptos" w:hAnsi="Aptos"/>
                <w:b/>
                <w:color w:val="FFFFFF"/>
                <w:sz w:val="14"/>
              </w:rPr>
              <w:t>ID</w:t>
            </w:r>
          </w:p>
        </w:tc>
        <w:tc>
          <w:tcPr>
            <w:tcW w:type="dxa" w:w="2059"/>
            <w:shd w:fill="17365D"/>
            <w:tcMar>
              <w:top w:w="45" w:type="dxa"/>
              <w:start w:w="50" w:type="dxa"/>
              <w:bottom w:w="45" w:type="dxa"/>
              <w:end w:w="50" w:type="dxa"/>
            </w:tcMar>
            <w:vAlign w:val="center"/>
          </w:tcPr>
          <w:p>
            <w:pPr>
              <w:jc w:val="left"/>
            </w:pPr>
            <w:r>
              <w:rPr>
                <w:rFonts w:ascii="Aptos" w:hAnsi="Aptos"/>
                <w:b/>
                <w:color w:val="FFFFFF"/>
                <w:sz w:val="14"/>
              </w:rPr>
              <w:t>Governance Subject</w:t>
            </w:r>
          </w:p>
        </w:tc>
        <w:tc>
          <w:tcPr>
            <w:tcW w:type="dxa" w:w="2563"/>
            <w:shd w:fill="17365D"/>
            <w:tcMar>
              <w:top w:w="45" w:type="dxa"/>
              <w:start w:w="50" w:type="dxa"/>
              <w:bottom w:w="45" w:type="dxa"/>
              <w:end w:w="50" w:type="dxa"/>
            </w:tcMar>
            <w:vAlign w:val="center"/>
          </w:tcPr>
          <w:p>
            <w:pPr>
              <w:jc w:val="left"/>
            </w:pPr>
            <w:r>
              <w:rPr>
                <w:rFonts w:ascii="Aptos" w:hAnsi="Aptos"/>
                <w:b/>
                <w:color w:val="FFFFFF"/>
                <w:sz w:val="14"/>
              </w:rPr>
              <w:t>Primary Constitutional Authority</w:t>
            </w:r>
          </w:p>
        </w:tc>
        <w:tc>
          <w:tcPr>
            <w:tcW w:type="dxa" w:w="3283"/>
            <w:shd w:fill="17365D"/>
            <w:tcMar>
              <w:top w:w="45" w:type="dxa"/>
              <w:start w:w="50" w:type="dxa"/>
              <w:bottom w:w="45" w:type="dxa"/>
              <w:end w:w="50" w:type="dxa"/>
            </w:tcMar>
            <w:vAlign w:val="center"/>
          </w:tcPr>
          <w:p>
            <w:pPr>
              <w:jc w:val="left"/>
            </w:pPr>
            <w:r>
              <w:rPr>
                <w:rFonts w:ascii="Aptos" w:hAnsi="Aptos"/>
                <w:b/>
                <w:color w:val="FFFFFF"/>
                <w:sz w:val="14"/>
              </w:rPr>
              <w:t>Authority Scope</w:t>
            </w:r>
          </w:p>
        </w:tc>
        <w:tc>
          <w:tcPr>
            <w:tcW w:type="dxa" w:w="2966"/>
            <w:shd w:fill="17365D"/>
            <w:tcMar>
              <w:top w:w="45" w:type="dxa"/>
              <w:start w:w="50" w:type="dxa"/>
              <w:bottom w:w="45" w:type="dxa"/>
              <w:end w:w="50" w:type="dxa"/>
            </w:tcMar>
            <w:vAlign w:val="center"/>
          </w:tcPr>
          <w:p>
            <w:pPr>
              <w:jc w:val="left"/>
            </w:pPr>
            <w:r>
              <w:rPr>
                <w:rFonts w:ascii="Aptos" w:hAnsi="Aptos"/>
                <w:b/>
                <w:color w:val="FFFFFF"/>
                <w:sz w:val="14"/>
              </w:rPr>
              <w:t>Supporting / Boundary Authorities</w:t>
            </w:r>
          </w:p>
        </w:tc>
        <w:tc>
          <w:tcPr>
            <w:tcW w:type="dxa" w:w="2592"/>
            <w:shd w:fill="17365D"/>
            <w:tcMar>
              <w:top w:w="45" w:type="dxa"/>
              <w:start w:w="50" w:type="dxa"/>
              <w:bottom w:w="45" w:type="dxa"/>
              <w:end w:w="50" w:type="dxa"/>
            </w:tcMar>
            <w:vAlign w:val="center"/>
          </w:tcPr>
          <w:p>
            <w:pPr>
              <w:jc w:val="left"/>
            </w:pPr>
            <w:r>
              <w:rPr>
                <w:rFonts w:ascii="Aptos" w:hAnsi="Aptos"/>
                <w:b/>
                <w:color w:val="FFFFFF"/>
                <w:sz w:val="14"/>
              </w:rPr>
              <w:t>Boundary / Precedence Rule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AUTH-021</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Natural-person, organization, and non-human actor identity</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Identity, Account, and Actor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identity objects, actor attribution, principal distinctions, machine actors, integration actors, and identity assurance boundaries.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Relationship Model; Master Permission and Access-Control Model; Master Audit Event and Evidence Model; Master Security and Trust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Identity answers who or what an actor is, not what that actor is allowed to do.</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AUTH-022</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Accounts, credentials, authentication factors, sessions, and recovery</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Identity, Account, and Actor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user accounts, credential state, authentication factors, sessions, devices, recovery channels, and account-security state.</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Security and Trust Model; Master Data Protection, Encryption, and Key Management Model; Master Audit Event and Evidence Model; Master Permission and Access-Control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An account does not itself establish legal identity, role, relationship, ownership, or authority.</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AUTH-023</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Service accounts, machine identities, scheduled processes, and integration actors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Identity, Account, and Actor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non-human identity, attribution, credential association, lifecycle, and separation from human principals.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Developer, Platform, and Integration Governance Model; Master Platform Extensibility and Plugin Governance Model; Master Security and Trust Model; Master Permission and Access-Control Model; Master Audit Event and Evidence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Non-human actors may act only through explicit, bounded authority and must not borrow a human user's undifferentiated access.</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AUTH-024</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Authentication assurance, multi-factor authentication, and step-up controls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Identity, Account, and Actor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assurance levels and when stronger authentication is required for a session or action.</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Security and Trust Model; Master Permission and Access-Control Model; Master Financial Truth and Responsibility Model; Master Agreement, Consent, and Authorization Model; Master Platform Operations, Reliability, and Release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Successful authentication is necessary evidence of identity assurance but is not sufficient authorization.</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AUTH-025</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Representation, agency, on-behalf-of action, and represented principals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Identity, Account, and Actor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the distinction among authenticated, acting, and represented principals and the attribution of representative action.</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Relationship Model; Master Agreement, Consent, and Authorization Model; Master Permission and Access-Control Model; Master Audit Event and Evidence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Representation must be evidenced and scoped; it cannot be inferred solely from shared accounts, payment, possession, or convenience.</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AUTH-026</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Relationship identity, type, parties, scope, lifecycle, and evidence</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Relationship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relationship objects and states among horses, people, organizations, facilities, providers, and other participants.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Identity, Account, and Actor Model; Master Agreement, Consent, and Authorization Model; Master Record Stewardship and Retention Model; Master Audit Event and Evidence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 relationship may support authority but does not automatically grant field-level access or every action associated with the label.</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AUTH-027</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Ownership, custody, stewardship, guardianship, and care-circle distinctions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Relationship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the constitutional separation among ownership, custody, care, guardianship, and other relationship roles.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Horse Transfer and Continuity Policy; Master Horse Lifecycle and Passport Model; Minor, Guardian, Safeguarding, and Delegated-Assistance Canon; Master Permission and Access-Control Model; Master Record Stewardship and Retention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Payment, possession, data entry, facility association, or account administration must not collapse these distinct relationships.</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AUTH-028</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Tenant membership, organization membership, and participation context</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Identity, Account, and Actor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membership as an identity and participation object tied to a tenant or organization context.</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Relationship Model; Master Permission and Access-Control Model; Master Security and Trust Model; Master Audit Event and Evidence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Membership does not grant universal tenant visibility, cross-facility access, or authority outside the membership scope.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AUTH-029</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Minor status, guardian authority, assent, and age-appropriate participation</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Minor, Guardian, Safeguarding, and Delegated-Assistance Canon</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minor-specific protection, guardian authority, assent, age transitions, and participation limits.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Identity, Account, and Actor Model; Master Relationship Model; Master Agreement, Consent, and Authorization Model; Master Privacy and Data Protection Model; Master Permission and Access-Control Model; Master Communication, Notification, and Notice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Guardian status must be evidenced and scoped; minor protections may be more restrictive than ordinary role or tenant settings.</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AUTH-030</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Safeguarding, child safety, protected reports, and protective restrictions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Minor, Guardian, Safeguarding, and Delegated-Assistance Canon</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safeguarding-specific intake, visibility, escalation, non-retaliation, protective restrictions, and child-safety controls.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Privacy and Data Protection Model; Master Security and Trust Model; Master Audit Event and Evidence Model; Master Claims, Disputes, and Authority Model; Master Communication, Notification, and Notice Model; Master AI Governance and Decision Boundary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Safeguarding information must not be exposed through general search, reporting, plugins, administrative convenience, or ordinary relationship access.</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AUTH-031</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Agreement templates, agreement instances, parties, exhibits, and lifecycle</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Agreement, Consent, and Authorization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agreement structure, version-bound instances, parties, capacities, effective terms, amendments, addenda, supersession, and termination.</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Identity, Account, and Actor Model; Master Relationship Model; Master Record Stewardship and Retention Model; Master Audit Event and Evidence Model; Master Media, Files, and Digital Asset Governance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document file is evidence or representation of an agreement, not the entire legal and operational agreement object.</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AUTH-032</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Consent, assent, acknowledgment, disclosure, signature, withdrawal, and revocation</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Agreement, Consent, and Authorization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the lifecycle and evidence of consent-like and assent-like events and their operational effect.</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Privacy and Data Protection Model; Master Communication, Notification, and Notice Model; Master Permission and Access-Control Model; Minor, Guardian, Safeguarding, and Delegated-Assistance Canon; Master Audit Event and Evidence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Privacy owns lawful processing basis; Communications owns channel consent; Permission enforces the valid scoped effect.</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AUTH-033</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Authorization bases, delegation, approval chains, and authority events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Permission and Access-Control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the evaluation and enforcement of valid authority bases for actions and data access.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Relationship Model; Master Agreement, Consent, and Authorization Model; Master Identity, Account, and Actor Model; Master Audit Event and Evidence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Permission enforcement does not create the underlying relationship, agreement, professional authority, or legal right.</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AUTH-034</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Least privilege, field projection, scope, purpose, time, and contextual access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Permission and Access-Control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the narrowest-permission rule, field-level projection, purpose and context limits, and access evaluation.</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Privacy and Data Protection Model; Master Security and Trust Model; Master Relationship Model; Master Record Stewardship and Retention Model; Master Media, Files, and Digital Asset Governance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The existence of a role, URL, API, administrator console, report, or storage object does not authorize access.</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AUTH-035</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Role definitions, role assignments, and role-based access effects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Permission and Access-Control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role use within the permission model and the translation of valid roles into bounded capabilities.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Identity, Account, and Actor Model; Master Relationship Model; Constitutional Domain Ownership and Boundary Register</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role label is not universal authority and must be evaluated with the actual relationship, scope, purpose, and exclusions.</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AUTH-036</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Emergency access, break-glass action, and urgent protective authority</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Identity, Account, and Actor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emergency and break-glass identity and authentication posture; applicable domain canon owns the substantive emergency action.</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Permission and Access-Control Model; Minor, Guardian, Safeguarding, and Delegated-Assistance Canon; Master Horse Lifecycle and Passport Model; Master Security and Trust Model; Master Audit Event and Evidence Model; Master Platform Operations, Reliability, and Release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Emergency pathways require necessity, minimum scope, attribution, time limits, review, and evidence. They do not create permanent access.</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AUTH-037</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Suspension, revocation, expiration, and termination of access or authority</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Permission and Access-Control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operational enforcement of suspended, revoked, expired, or terminated authority.</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Identity, Account, and Actor Model; Master Relationship Model; Master Agreement, Consent, and Authorization Model; Master Audit Event and Evidence Model; Master Communication, Notification, and Notice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Revocation must propagate to sessions, offline copies, integrations, plugins, exports, and delegated access as required.</w:t>
            </w:r>
          </w:p>
        </w:tc>
      </w:tr>
      <w:tr>
        <w:tc>
          <w:tcPr>
            <w:tcW w:type="dxa" w:w="792"/>
            <w:tcMar>
              <w:top w:w="45" w:type="dxa"/>
              <w:start w:w="50" w:type="dxa"/>
              <w:bottom w:w="45" w:type="dxa"/>
              <w:end w:w="50" w:type="dxa"/>
            </w:tcMar>
            <w:vAlign w:val="top"/>
            <w:shd w:fill="FFFFFF"/>
          </w:tcPr>
          <w:p>
            <w:pPr>
              <w:spacing w:after="0" w:before="0"/>
            </w:pPr>
            <w:r>
              <w:rPr>
                <w:rFonts w:ascii="Aptos" w:hAnsi="Aptos"/>
                <w:sz w:val="16"/>
              </w:rPr>
              <w:t>AUTH-038</w:t>
            </w:r>
          </w:p>
        </w:tc>
        <w:tc>
          <w:tcPr>
            <w:tcW w:type="dxa" w:w="2059"/>
            <w:tcMar>
              <w:top w:w="45" w:type="dxa"/>
              <w:start w:w="50" w:type="dxa"/>
              <w:bottom w:w="45" w:type="dxa"/>
              <w:end w:w="50" w:type="dxa"/>
            </w:tcMar>
            <w:vAlign w:val="top"/>
            <w:shd w:fill="FFFFFF"/>
          </w:tcPr>
          <w:p>
            <w:pPr>
              <w:spacing w:after="0" w:before="0"/>
            </w:pPr>
            <w:r>
              <w:rPr>
                <w:rFonts w:ascii="Aptos" w:hAnsi="Aptos"/>
                <w:sz w:val="16"/>
              </w:rPr>
              <w:t>Shared care and delegated assistance for routine horse tasks</w:t>
            </w:r>
          </w:p>
        </w:tc>
        <w:tc>
          <w:tcPr>
            <w:tcW w:type="dxa" w:w="2563"/>
            <w:tcMar>
              <w:top w:w="45" w:type="dxa"/>
              <w:start w:w="50" w:type="dxa"/>
              <w:bottom w:w="45" w:type="dxa"/>
              <w:end w:w="50" w:type="dxa"/>
            </w:tcMar>
            <w:vAlign w:val="top"/>
            <w:shd w:fill="FFFFFF"/>
          </w:tcPr>
          <w:p>
            <w:pPr>
              <w:spacing w:after="0" w:before="0"/>
            </w:pPr>
            <w:r>
              <w:rPr>
                <w:rFonts w:ascii="Aptos" w:hAnsi="Aptos"/>
                <w:sz w:val="16"/>
              </w:rPr>
              <w:t>Master Relationship Model</w:t>
            </w:r>
          </w:p>
        </w:tc>
        <w:tc>
          <w:tcPr>
            <w:tcW w:type="dxa" w:w="3283"/>
            <w:tcMar>
              <w:top w:w="45" w:type="dxa"/>
              <w:start w:w="50" w:type="dxa"/>
              <w:bottom w:w="45" w:type="dxa"/>
              <w:end w:w="50" w:type="dxa"/>
            </w:tcMar>
            <w:vAlign w:val="top"/>
            <w:shd w:fill="FFFFFF"/>
          </w:tcPr>
          <w:p>
            <w:pPr>
              <w:spacing w:after="0" w:before="0"/>
            </w:pPr>
            <w:r>
              <w:rPr>
                <w:rFonts w:ascii="Aptos" w:hAnsi="Aptos"/>
                <w:sz w:val="16"/>
              </w:rPr>
              <w:t>Owns the delegation relationship, eligible participants, horse-specific scope, purpose, effective period, evidence, and relationship lifecycle for shared care and delegated assistance.</w:t>
            </w:r>
          </w:p>
        </w:tc>
        <w:tc>
          <w:tcPr>
            <w:tcW w:type="dxa" w:w="2966"/>
            <w:tcMar>
              <w:top w:w="45" w:type="dxa"/>
              <w:start w:w="50" w:type="dxa"/>
              <w:bottom w:w="45" w:type="dxa"/>
              <w:end w:w="50" w:type="dxa"/>
            </w:tcMar>
            <w:vAlign w:val="top"/>
            <w:shd w:fill="FFFFFF"/>
          </w:tcPr>
          <w:p>
            <w:pPr>
              <w:spacing w:after="0" w:before="0"/>
            </w:pPr>
            <w:r>
              <w:rPr>
                <w:rFonts w:ascii="Aptos" w:hAnsi="Aptos"/>
                <w:sz w:val="16"/>
              </w:rPr>
              <w:t>Master Agreement, Consent, and Authorization Model; Master Permission and Access-Control Model; Master Barn Lifecycle and Operations Canon; Master Search, Discovery, Ranking, and Retrieval Model; Minor, Guardian, Safeguarding, and Delegated-Assistance Canon; Master Audit Event and Evidence Model</w:t>
            </w:r>
          </w:p>
        </w:tc>
        <w:tc>
          <w:tcPr>
            <w:tcW w:type="dxa" w:w="2592"/>
            <w:tcMar>
              <w:top w:w="45" w:type="dxa"/>
              <w:start w:w="50" w:type="dxa"/>
              <w:bottom w:w="45" w:type="dxa"/>
              <w:end w:w="50" w:type="dxa"/>
            </w:tcMar>
            <w:vAlign w:val="top"/>
            <w:shd w:fill="FFFFFF"/>
          </w:tcPr>
          <w:p>
            <w:pPr>
              <w:spacing w:after="0" w:before="0"/>
            </w:pPr>
            <w:r>
              <w:rPr>
                <w:rFonts w:ascii="Aptos" w:hAnsi="Aptos"/>
                <w:sz w:val="16"/>
              </w:rPr>
              <w:t>Search controls discoverability and minimum exposure; Permission enforces the grant; Barn Operations governs task execution; safeguarding may narrow or block use. Delegation does not create general horse-record access, ownership, custody, or continuing authority.</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AUTH-039</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Access challenge, review, appeal, and correction of authority decisions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Claims, Disputes, and Authority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challenges and disputes about asserted authority, denials, conflicting evidence, and review pathways.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Permission and Access-Control Model; Master Relationship Model; Master Agreement, Consent, and Authorization Model; Master Audit Event and Evidence Model; Master Communication, Notification, and Notice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challenge does not automatically suspend protective controls or establish the challenger's claimed authority.</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AUTH-040</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Consequential and high-risk actions requiring enhanced controls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Permission and Access-Control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enhanced authorization, approval, segregation, and evidence requirements for high-risk actions.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AI Governance and Decision Boundary Model; Master Financial Truth and Responsibility Model; Minor, Guardian, Safeguarding, and Delegated-Assistance Canon; Master Horse Transfer and Continuity Policy; Master Security and Trust Model; Master Audit Event and Evidence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The underlying domain canon determines whether the action is legally, professionally, operationally, or constitutionally permitted.</w:t>
            </w:r>
          </w:p>
        </w:tc>
      </w:tr>
    </w:tbl>
    <w:p>
      <w:pPr>
        <w:pStyle w:val="Heading2"/>
        <w:spacing w:after="80"/>
        <w:keepNext/>
      </w:pPr>
      <w:r>
        <w:t>D. Privacy, Security, Records, Evidence, Communications, Media, and Search</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24"/>
        <w:gridCol w:w="2424"/>
        <w:gridCol w:w="2424"/>
        <w:gridCol w:w="2424"/>
        <w:gridCol w:w="2424"/>
        <w:gridCol w:w="2424"/>
      </w:tblGrid>
      <w:tr>
        <w:trPr>
          <w:tblHeader w:val="true"/>
        </w:trPr>
        <w:tc>
          <w:tcPr>
            <w:tcW w:type="dxa" w:w="792"/>
            <w:shd w:fill="17365D"/>
            <w:tcMar>
              <w:top w:w="45" w:type="dxa"/>
              <w:start w:w="50" w:type="dxa"/>
              <w:bottom w:w="45" w:type="dxa"/>
              <w:end w:w="50" w:type="dxa"/>
            </w:tcMar>
            <w:vAlign w:val="center"/>
          </w:tcPr>
          <w:p>
            <w:pPr>
              <w:jc w:val="left"/>
            </w:pPr>
            <w:r>
              <w:rPr>
                <w:rFonts w:ascii="Aptos" w:hAnsi="Aptos"/>
                <w:b/>
                <w:color w:val="FFFFFF"/>
                <w:sz w:val="14"/>
              </w:rPr>
              <w:t>ID</w:t>
            </w:r>
          </w:p>
        </w:tc>
        <w:tc>
          <w:tcPr>
            <w:tcW w:type="dxa" w:w="2059"/>
            <w:shd w:fill="17365D"/>
            <w:tcMar>
              <w:top w:w="45" w:type="dxa"/>
              <w:start w:w="50" w:type="dxa"/>
              <w:bottom w:w="45" w:type="dxa"/>
              <w:end w:w="50" w:type="dxa"/>
            </w:tcMar>
            <w:vAlign w:val="center"/>
          </w:tcPr>
          <w:p>
            <w:pPr>
              <w:jc w:val="left"/>
            </w:pPr>
            <w:r>
              <w:rPr>
                <w:rFonts w:ascii="Aptos" w:hAnsi="Aptos"/>
                <w:b/>
                <w:color w:val="FFFFFF"/>
                <w:sz w:val="14"/>
              </w:rPr>
              <w:t>Governance Subject</w:t>
            </w:r>
          </w:p>
        </w:tc>
        <w:tc>
          <w:tcPr>
            <w:tcW w:type="dxa" w:w="2563"/>
            <w:shd w:fill="17365D"/>
            <w:tcMar>
              <w:top w:w="45" w:type="dxa"/>
              <w:start w:w="50" w:type="dxa"/>
              <w:bottom w:w="45" w:type="dxa"/>
              <w:end w:w="50" w:type="dxa"/>
            </w:tcMar>
            <w:vAlign w:val="center"/>
          </w:tcPr>
          <w:p>
            <w:pPr>
              <w:jc w:val="left"/>
            </w:pPr>
            <w:r>
              <w:rPr>
                <w:rFonts w:ascii="Aptos" w:hAnsi="Aptos"/>
                <w:b/>
                <w:color w:val="FFFFFF"/>
                <w:sz w:val="14"/>
              </w:rPr>
              <w:t>Primary Constitutional Authority</w:t>
            </w:r>
          </w:p>
        </w:tc>
        <w:tc>
          <w:tcPr>
            <w:tcW w:type="dxa" w:w="3283"/>
            <w:shd w:fill="17365D"/>
            <w:tcMar>
              <w:top w:w="45" w:type="dxa"/>
              <w:start w:w="50" w:type="dxa"/>
              <w:bottom w:w="45" w:type="dxa"/>
              <w:end w:w="50" w:type="dxa"/>
            </w:tcMar>
            <w:vAlign w:val="center"/>
          </w:tcPr>
          <w:p>
            <w:pPr>
              <w:jc w:val="left"/>
            </w:pPr>
            <w:r>
              <w:rPr>
                <w:rFonts w:ascii="Aptos" w:hAnsi="Aptos"/>
                <w:b/>
                <w:color w:val="FFFFFF"/>
                <w:sz w:val="14"/>
              </w:rPr>
              <w:t>Authority Scope</w:t>
            </w:r>
          </w:p>
        </w:tc>
        <w:tc>
          <w:tcPr>
            <w:tcW w:type="dxa" w:w="2966"/>
            <w:shd w:fill="17365D"/>
            <w:tcMar>
              <w:top w:w="45" w:type="dxa"/>
              <w:start w:w="50" w:type="dxa"/>
              <w:bottom w:w="45" w:type="dxa"/>
              <w:end w:w="50" w:type="dxa"/>
            </w:tcMar>
            <w:vAlign w:val="center"/>
          </w:tcPr>
          <w:p>
            <w:pPr>
              <w:jc w:val="left"/>
            </w:pPr>
            <w:r>
              <w:rPr>
                <w:rFonts w:ascii="Aptos" w:hAnsi="Aptos"/>
                <w:b/>
                <w:color w:val="FFFFFF"/>
                <w:sz w:val="14"/>
              </w:rPr>
              <w:t>Supporting / Boundary Authorities</w:t>
            </w:r>
          </w:p>
        </w:tc>
        <w:tc>
          <w:tcPr>
            <w:tcW w:type="dxa" w:w="2592"/>
            <w:shd w:fill="17365D"/>
            <w:tcMar>
              <w:top w:w="45" w:type="dxa"/>
              <w:start w:w="50" w:type="dxa"/>
              <w:bottom w:w="45" w:type="dxa"/>
              <w:end w:w="50" w:type="dxa"/>
            </w:tcMar>
            <w:vAlign w:val="center"/>
          </w:tcPr>
          <w:p>
            <w:pPr>
              <w:jc w:val="left"/>
            </w:pPr>
            <w:r>
              <w:rPr>
                <w:rFonts w:ascii="Aptos" w:hAnsi="Aptos"/>
                <w:b/>
                <w:color w:val="FFFFFF"/>
                <w:sz w:val="14"/>
              </w:rPr>
              <w:t>Boundary / Precedence Rule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AUTH-041</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Personal information collection, use, disclosure, transfer, and deletion</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Privacy and Data Protection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personal-information processing across the lifecycle, including lawful basis, rights, proportionality, and privacy-by-default.</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Agreement, Consent, and Authorization Model; Master Permission and Access-Control Model; Master Record Stewardship and Retention Model; Master Security and Trust Model; Master Vendor Security and Supply Chain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customer instruction, contract term, or technical capability cannot authorize unlawful, excessive, or undisclosed processing.</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AUTH-042</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Purpose limitation, data minimization, and secondary-use control</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Privacy and Data Protection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defined processing purposes, necessity, proportionality, and restrictions on incompatible or silent secondary use.</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Permission and Access-Control Model; Master AI Governance and Decision Boundary Model; Master Reporting, Analytics, and Business Intelligence Model; Master Vendor Security and Supply Chain Model; Master Media, Files, and Digital Asset Governance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Access permission alone does not authorize every possible use, analysis, training activity, publication, or retention period.</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AUTH-043</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Controller, processor, subprocessor, and processing-role allocation</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Privacy and Data Protection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privacy-role classification and obligations among EquineSync, customers, vendors, and subprocessors.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Vendor Security and Supply Chain Model; Master External Architecture and Adapter Model; Master Agreement, Consent, and Authorization Model; Master Record Stewardship and Retention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Contract labels do not control when actual facts show a different processing role.</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AUTH-044</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Privacy rights, access, correction, restriction, objection, portability, and erasure</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Privacy and Data Protection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the privacy-rights framework and jurisdiction-aware request handling.</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Record Stewardship and Retention Model; Master Agreement, Consent, and Authorization Model; Master Audit Event and Evidence Model; Master Media, Files, and Digital Asset Governance Model; Master Vendor Security and Supply Chain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Rights may be limited by valid holds, safety, evidence, contractual necessity, or law, but limits must be documented and reviewable.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AUTH-045</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Information classification and sensitivity handling</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Privacy and Data Protection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privacy classification of personal and sensitive information; Security applies protection floors based on classification and risk.</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Security and Trust Model; Master Record Stewardship and Retention Model; Master Media, Files, and Digital Asset Governance Model; Master Financial Truth and Responsibility Model; Minor, Guardian, Safeguarding, and Delegated-Assistance Canon</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The most sensitive content, metadata, context, or affected population controls handling when classifications overlap.</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AUTH-046</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Tenant isolation and cross-tenant separation</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Security and Trust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the cross-domain security requirement that tenant data, authority, execution, and derived knowledge remain isolated unless expressly authorized.</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Permission and Access-Control Model; Master Privacy and Data Protection Model; Master Developer, Platform, and Integration Governance Model; Master Platform Extensibility and Plugin Governance Model; Master AI Governance and Decision Boundary Model; Master Reporting, Analytics, and Business Intelligence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No shared service, administrator role, model, integration, cache, or report may silently pool tenant authority or identifiable data.</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AUTH-047</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Security baseline, trust controls, privileged protection, and control floors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Security and Trust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cross-domain security and trust floors and delegates specialized detail to encryption, incident, resilience, vendor, privacy, audit, and offline owners.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Data Protection, Encryption, and Key Management Model; Master Security Incident Response and Disclosure Model; Master Vendor Security and Supply Chain Model; Master Platform Resilience, Backup, and Recovery Model; Master Audit Event and Evidence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Security may impose stronger minimum controls but should not duplicate or replace specialized domain ownership.</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AUTH-048</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Encryption, key management, tokenization, secrets, and cryptographic deletion</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Data Protection, Encryption, and Key Management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cryptographic protection in transit and at rest, key lifecycle, secrets, field and object protection, tokenization, and cryptographic deletion.</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Security and Trust Model; Master Privacy and Data Protection Model; Master Record Stewardship and Retention Model; Master Platform Resilience, Backup, and Recovery Model; Master Vendor Security and Supply Chain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Provider defaults do not determine constitutional sufficiency. Key authority must remain separate, attributable, recoverable, and revocable.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AUTH-049</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Security incidents, breach response, disclosure, and evidence preservation</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Security Incident Response and Disclosure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security-incident classification, command, containment, investigation, disclosure assessment, notification, and lessons learned.</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Security and Trust Model; Master Privacy and Data Protection Model; Master Audit Event and Evidence Model; Master Communication, Notification, and Notice Model; Master Vendor Security and Supply Chain Model; Master Platform Resilience, Backup, and Recovery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Operational urgency does not permit silent evidence destruction, overbroad disclosure, or uncontrolled authority expansion.</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AUTH-050</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Vendor security, supply-chain risk, dependency governance, and fourth parties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Vendor Security and Supply Chain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vendor lifecycle, due diligence, risk classification, contractual controls, monitoring, subprocessor and fourth-party risk, suspension, and exit.</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Security and Trust Model; Master Privacy and Data Protection Model; Master External Architecture and Adapter Model; Master Developer, Platform, and Integration Governance Model; Master Platform Extensibility and Plugin Governance Model; Master Platform Resilience, Backup, and Recovery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 dependency is not outside governance because it is free, open source, bundled, temporary, experimental, or developer-only.</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AUTH-051</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Record identity, authoritative records, canonical records, and source-of-truth status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Record Stewardship and Retention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record identity, authoritative and canonical status, source designation, provenance requirements, and correction lineage.</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Claims, Disputes, and Authority Model; Master Audit Event and Evidence Model; domain canon; Master Reporting, Analytics, and Business Intelligence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database row, newest timestamp, UI label, vendor record, report, or file does not automatically become constitutional truth.</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AUTH-052</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Record stewardship, authorship, custody, and maintenance responsibility</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Record Stewardship and Retention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record stewardship and maintenance authority while preserving distinctions from authorship, ownership, custody, and access.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Relationship Model; Master Permission and Access-Control Model; Master Media, Files, and Digital Asset Governance Model; Master Audit Event and Evidence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Stewardship permits governed maintenance but does not independently grant broad visibility, disclosure, export, or deletion.</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AUTH-053</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Retention, archival, disposition, legal hold, and preservation</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Record Stewardship and Retention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retention basis, schedules, legal holds, archival states, disposal prerequisites, restoration, and historical preservation.</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Privacy and Data Protection Model; Master Claims, Disputes, and Authority Model; Master Audit Event and Evidence Model; Master Media, Files, and Digital Asset Governance Model; Master Platform Resilience, Backup, and Recovery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Retention does not guarantee ordinary visibility, and deletion must not rewrite history where minimum lineage remains required.</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AUTH-054</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Record correction, version history, supersession, and non-destructive change</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Record Stewardship and Retention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correction and version-history principles for records, including preservation of prior state and effective-time distinctions.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Audit Event and Evidence Model; Master Claims, Disputes, and Authority Model; Master Media, Files, and Digital Asset Governance Model; domain canon</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Material correction should preserve who changed what, why, when, supporting evidence, downstream impact, and supersession state.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AUTH-055</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Claims, disputes, assertions, evidence conflicts, and authority challenges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Claims, Disputes, and Authority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the lifecycle of claims and disputes, evidence status, authority assertions, challenge, resolution, and non-erasure of contested history.</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Relationship Model; Master Record Stewardship and Retention Model; Master Audit Event and Evidence Model; Master Communication, Notification, and Notice Model; Master Horse Transfer and Continuity Policy; Master Financial Truth and Responsibility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claim is not automatically truth; a disputed assertion must remain attributed and must not silently mutate authoritative records.</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AUTH-056</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Audit events, evidence packages, recorded time, and effective time</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Audit Event and Evidence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structured audit events, event attribution, evidence sufficiency, time semantics, tamper resistance, and reconstruction capability.</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Record Stewardship and Retention Model; Master Security and Trust Model; all action-owning canons</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Audit evidence proves what was recorded or done; it does not itself legitimize an unauthorized act.</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AUTH-057</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Messages, communications, conversation records, and delivery content</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Communication, Notification, and Notice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communication objects, recipients, channel behavior, message state, delivery evidence, and communication lifecycle.</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Privacy and Data Protection Model; Master Permission and Access-Control Model; Master Record Stewardship and Retention Model; Master Audit Event and Evidence Model; Master Media, Files, and Digital Asset Governance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message may notify, request, or evidence an action but does not automatically create agreement, consent, or authorization.</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AUTH-058</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Notifications, formal notices, required recipients, and notice effectiveness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Communication, Notification, and Notice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notification and notice distinction, channel selection, timing, delivery, failure handling, retry, escalation, and evidence.</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Agreement, Consent, and Authorization Model; Master Claims, Disputes, and Authority Model; Master Security Incident Response and Disclosure Model; Master Financial Truth and Responsibility Model; Master Horse Transfer and Continuity Policy</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 successful technical send does not always prove legal or contractual notice; the applicable domain defines required effectiveness.</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AUTH-059</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Communication consent, channel preferences, quiet hours, and contact restrictions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Communication, Notification, and Notice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channel-level consent and communication preferences within the bounds of safety, law, contract, and required notice.</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Agreement, Consent, and Authorization Model; Master Privacy and Data Protection Model; Minor, Guardian, Safeguarding, and Delegated-Assistance Canon; Master Permission and Access-Control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user preference cannot suppress legally required, safety-critical, safeguarding, security, or essential horse-care communications.</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AUTH-060</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Digital assets, files, attachments, versions, renditions, and storage objects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Media, Files, and Digital Asset Governance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digital-asset semantics, logical asset identity, original and derived versions, attachments, renditions, storage-object separation, and delivery projections.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Record Stewardship and Retention Model; Master Privacy and Data Protection Model; Master Security and Trust Model; Master Permission and Access-Control Model; Master Audit Event and Evidence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Storage location, uploader, filename, or parent record does not determine rights, authority, authenticity, or retention by itself.</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AUTH-061</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Asset rights, copyright, consent, publication, public sharing, and brand use</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Media, Files, and Digital Asset Governance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asset-specific rights, rights-holder evidence, consent, publication state, public sharing, marketing use, and withdrawal propagation.</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Agreement, Consent, and Authorization Model; Master Privacy and Data Protection Model; Minor, Guardian, Safeguarding, and Delegated-Assistance Canon; Master Communication, Notification, and Notice Model; Master Claims, Disputes, and Authority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Permission to view or store an asset is not permission to publish, market, train a model, sell, or reuse it for unrelated purposes.</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AUTH-062</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OCR, transcription, thumbnails, previews, redactions, and other derived assets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Media, Files, and Digital Asset Governance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derived-asset identity, lineage, error handling, propagation of classification and rights, and distinction from the original.</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AI Governance and Decision Boundary Model; Master Record Stewardship and Retention Model; Master Privacy and Data Protection Model; Master Security and Trust Model; Master Search, Discovery, Ranking, and Retrieval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 derived representation must not silently replace the original, invent authority, or shed access, retention, or legal-hold constraints.</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AUTH-063</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Malware, harmful content, quarantine, restricted access, and content safety</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Security and Trust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the security control floor for scanning, quarantine, threat containment, restricted handling, and safe release of digital content.</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Media, Files, and Digital Asset Governance Model; Master Security Incident Response and Disclosure Model; Master Privacy and Data Protection Model; Master Audit Event and Evidence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Quarantine does not erase retention, evidence, notice, or legal-hold duties; safety controls must remain attributable and reviewable.</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AUTH-064</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Search, indexing, retrieval, autocomplete, and result eligibility</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Search, Discovery, Ranking, and Retrieval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search and retrieval behavior, index eligibility, scope inheritance, result filtering, protected exclusions, and source linkage.</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Permission and Access-Control Model; Master Privacy and Data Protection Model; Master Record Stewardship and Retention Model; Master Media, Files, and Digital Asset Governance Model; Master AI Governance and Decision Boundary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Search may not expand underlying access or turn indexed, cached, derived, or public fragments into broader authority.</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AUTH-065</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Discoverability, ranking, recommendations, and public profile exposure</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Search, Discovery, Ranking, and Retrieval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discoverability settings, ranking and recommendation boundaries, opt-in public exposure, protected exclusions, and anti-manipulation controls.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Privacy and Data Protection Model; Minor, Guardian, Safeguarding, and Delegated-Assistance Canon; Master Permission and Access-Control Model; Master AI Governance and Decision Boundary Model; Master Reporting, Analytics, and Business Intelligence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Ranking is not truth, endorsement, professional judgment, ownership, or permission. Protected populations and sensitive records require heightened limits.</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AUTH-066</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Exports, portability packages, disclosures, and downstream copies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Record Stewardship and Retention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export as a record lifecycle action, including scope, completeness, provenance, format, retention, and downstream accountability.</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Privacy and Data Protection Model; Master Permission and Access-Control Model; Master Media, Files, and Digital Asset Governance Model; Master Audit Event and Evidence Model; Master Vendor Security and Supply Chain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Export does not extinguish access limits, confidentiality, rights, legal holds, or the duty to identify authoritative versus derived content.</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AUTH-067</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Backups, replicas, restoration copies, caches, and recovered records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Platform Resilience, Backup, and Recovery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technical continuity copies and restoration; Record governance owns the retained record meaning and disposition basis.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Record Stewardship and Retention Model; Master Data Protection, Encryption, and Key Management Model; Master Privacy and Data Protection Model; Master Audit Event and Evidence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restored, cached, or replicated copy must not silently resurrect revoked access, superseded truth, deleted public exposure, or invalid configuration.</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AUTH-068</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Accessibility of records, communications, media, and governance outputs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Product Vision</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accessibility as a permanent product-quality promise; each specialized canon owns accessibility within its artifacts and workflows.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Communication, Notification, and Notice Model; Master Media, Files, and Digital Asset Governance Model; Master Reporting, Analytics, and Business Intelligence Model; Master Platform Operations, Reliability, and Release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Accessibility requirements do not permit weakening privacy, security, evidence, or safeguarding protections; equivalent protected alternatives are required.</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AUTH-069</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Public trust claims, compliance statements, certifications, and publication approval</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Product Vision</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enduring trust promises and product identity; the applicable specialized canon owns the evidence and approval requirements for a particular claim.</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Security and Trust Model; Master Privacy and Data Protection Model; Master Reporting, Analytics, and Business Intelligence Model; Master Vendor Security and Supply Chain Model; Master Platform Operations, Reliability, and Release Model; legal review</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No draft, founder acceptance, technical capability, vendor badge, or test result automatically authorizes a public claim.</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AUTH-070</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De-identification, authorized research, cross-facility benchmarking, and publication</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Privacy and Data Protection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de-identification and privacy risk; Reporting owns analytical methodology and publication quality.</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Reporting, Analytics, and Business Intelligence Model; Master Record Stewardship and Retention Model; Master AI Governance and Decision Boundary Model; Minor, Guardian, Safeguarding, and Delegated-Assistance Canon; Master Claims, Disputes, and Authority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De-identification must be risk-based and resistant to reidentification. Research or benchmarking cannot manufacture cross-tenant authority.</w:t>
            </w:r>
          </w:p>
        </w:tc>
      </w:tr>
    </w:tbl>
    <w:p>
      <w:pPr>
        <w:pStyle w:val="Heading2"/>
        <w:spacing w:after="80"/>
        <w:keepNext/>
      </w:pPr>
      <w:r>
        <w:t>E. AI, Automation, Reporting, Analytics, and Decision Support</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24"/>
        <w:gridCol w:w="2424"/>
        <w:gridCol w:w="2424"/>
        <w:gridCol w:w="2424"/>
        <w:gridCol w:w="2424"/>
        <w:gridCol w:w="2424"/>
      </w:tblGrid>
      <w:tr>
        <w:trPr>
          <w:tblHeader w:val="true"/>
        </w:trPr>
        <w:tc>
          <w:tcPr>
            <w:tcW w:type="dxa" w:w="792"/>
            <w:shd w:fill="17365D"/>
            <w:tcMar>
              <w:top w:w="45" w:type="dxa"/>
              <w:start w:w="50" w:type="dxa"/>
              <w:bottom w:w="45" w:type="dxa"/>
              <w:end w:w="50" w:type="dxa"/>
            </w:tcMar>
            <w:vAlign w:val="center"/>
          </w:tcPr>
          <w:p>
            <w:pPr>
              <w:jc w:val="left"/>
            </w:pPr>
            <w:r>
              <w:rPr>
                <w:rFonts w:ascii="Aptos" w:hAnsi="Aptos"/>
                <w:b/>
                <w:color w:val="FFFFFF"/>
                <w:sz w:val="14"/>
              </w:rPr>
              <w:t>ID</w:t>
            </w:r>
          </w:p>
        </w:tc>
        <w:tc>
          <w:tcPr>
            <w:tcW w:type="dxa" w:w="2059"/>
            <w:shd w:fill="17365D"/>
            <w:tcMar>
              <w:top w:w="45" w:type="dxa"/>
              <w:start w:w="50" w:type="dxa"/>
              <w:bottom w:w="45" w:type="dxa"/>
              <w:end w:w="50" w:type="dxa"/>
            </w:tcMar>
            <w:vAlign w:val="center"/>
          </w:tcPr>
          <w:p>
            <w:pPr>
              <w:jc w:val="left"/>
            </w:pPr>
            <w:r>
              <w:rPr>
                <w:rFonts w:ascii="Aptos" w:hAnsi="Aptos"/>
                <w:b/>
                <w:color w:val="FFFFFF"/>
                <w:sz w:val="14"/>
              </w:rPr>
              <w:t>Governance Subject</w:t>
            </w:r>
          </w:p>
        </w:tc>
        <w:tc>
          <w:tcPr>
            <w:tcW w:type="dxa" w:w="2563"/>
            <w:shd w:fill="17365D"/>
            <w:tcMar>
              <w:top w:w="45" w:type="dxa"/>
              <w:start w:w="50" w:type="dxa"/>
              <w:bottom w:w="45" w:type="dxa"/>
              <w:end w:w="50" w:type="dxa"/>
            </w:tcMar>
            <w:vAlign w:val="center"/>
          </w:tcPr>
          <w:p>
            <w:pPr>
              <w:jc w:val="left"/>
            </w:pPr>
            <w:r>
              <w:rPr>
                <w:rFonts w:ascii="Aptos" w:hAnsi="Aptos"/>
                <w:b/>
                <w:color w:val="FFFFFF"/>
                <w:sz w:val="14"/>
              </w:rPr>
              <w:t>Primary Constitutional Authority</w:t>
            </w:r>
          </w:p>
        </w:tc>
        <w:tc>
          <w:tcPr>
            <w:tcW w:type="dxa" w:w="3283"/>
            <w:shd w:fill="17365D"/>
            <w:tcMar>
              <w:top w:w="45" w:type="dxa"/>
              <w:start w:w="50" w:type="dxa"/>
              <w:bottom w:w="45" w:type="dxa"/>
              <w:end w:w="50" w:type="dxa"/>
            </w:tcMar>
            <w:vAlign w:val="center"/>
          </w:tcPr>
          <w:p>
            <w:pPr>
              <w:jc w:val="left"/>
            </w:pPr>
            <w:r>
              <w:rPr>
                <w:rFonts w:ascii="Aptos" w:hAnsi="Aptos"/>
                <w:b/>
                <w:color w:val="FFFFFF"/>
                <w:sz w:val="14"/>
              </w:rPr>
              <w:t>Authority Scope</w:t>
            </w:r>
          </w:p>
        </w:tc>
        <w:tc>
          <w:tcPr>
            <w:tcW w:type="dxa" w:w="2966"/>
            <w:shd w:fill="17365D"/>
            <w:tcMar>
              <w:top w:w="45" w:type="dxa"/>
              <w:start w:w="50" w:type="dxa"/>
              <w:bottom w:w="45" w:type="dxa"/>
              <w:end w:w="50" w:type="dxa"/>
            </w:tcMar>
            <w:vAlign w:val="center"/>
          </w:tcPr>
          <w:p>
            <w:pPr>
              <w:jc w:val="left"/>
            </w:pPr>
            <w:r>
              <w:rPr>
                <w:rFonts w:ascii="Aptos" w:hAnsi="Aptos"/>
                <w:b/>
                <w:color w:val="FFFFFF"/>
                <w:sz w:val="14"/>
              </w:rPr>
              <w:t>Supporting / Boundary Authorities</w:t>
            </w:r>
          </w:p>
        </w:tc>
        <w:tc>
          <w:tcPr>
            <w:tcW w:type="dxa" w:w="2592"/>
            <w:shd w:fill="17365D"/>
            <w:tcMar>
              <w:top w:w="45" w:type="dxa"/>
              <w:start w:w="50" w:type="dxa"/>
              <w:bottom w:w="45" w:type="dxa"/>
              <w:end w:w="50" w:type="dxa"/>
            </w:tcMar>
            <w:vAlign w:val="center"/>
          </w:tcPr>
          <w:p>
            <w:pPr>
              <w:jc w:val="left"/>
            </w:pPr>
            <w:r>
              <w:rPr>
                <w:rFonts w:ascii="Aptos" w:hAnsi="Aptos"/>
                <w:b/>
                <w:color w:val="FFFFFF"/>
                <w:sz w:val="14"/>
              </w:rPr>
              <w:t>Boundary / Precedence Rule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AUTH-071</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AI systems, models, agents, use cases, registries, and safety cases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AI Governance and Decision Boundary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the AI-specific governance overlay, use-case classification, safety cases, provider controls, human review, monitoring, suspension, and contestability.</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all underlying domain canons; Master Security and Trust Model; Master Privacy and Data Protection Model; Master Vendor Security and Supply Chain Model; Master EquineSync Implementation Atlas and Authorized RF Packages</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AI is a tool, not an authority. The controlling domain canon owns the underlying right, duty, record, or decision.</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AUTH-072</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AI training, fine-tuning, evaluation data, and shared-model data use</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AI Governance and Decision Boundary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AI-specific training and evaluation restrictions, including prohibitions on general or shared model training with customer operational data.</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Privacy and Data Protection Model; Master Vendor Security and Supply Chain Model; Master Record Stewardship and Retention Model; Master Agreement, Consent, and Authorization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User access, vendor possession, de-identification labels, or model-provider defaults do not create training authority.</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AUTH-073</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AI outputs, source grounding, fact, inference, estimate, and uncertainty</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AI Governance and Decision Boundary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labeling, source attribution, separation of fact from inference and estimate, uncertainty disclosure, and refusal when evidence is insufficient.</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Record Stewardship and Retention Model; Master Claims, Disputes, and Authority Model; Master Audit Event and Evidence Model; domain canon</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Fluency, confidence, ranking, or repeated output does not convert AI content into canonical or authoritative truth.</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AUTH-074</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Meaningful human review and AI-assisted consequential decisions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AI Governance and Decision Boundary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standards for meaningful human review, reviewer independence, competence, time, information, and the prohibition on sham review.</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Permission and Access-Control Model; Minor, Guardian, Safeguarding, and Delegated-Assistance Canon; Master Financial Truth and Responsibility Model; Master Horse Transfer and Continuity Policy; professional restrictions</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The authorized human must independently hold substantive authority. Human confirmation cannot legalize an otherwise prohibited action.</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AUTH-075</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Embeddings, retrieval indexes, vector stores, and AI retrieval context</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AI Governance and Decision Boundary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AI-specific retrieval-index and embedding governance, provenance, deletion propagation, provider exit, and isolation.</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Search, Discovery, Ranking, and Retrieval Model; Master Privacy and Data Protection Model; Master Media, Files, and Digital Asset Governance Model; Master Record Stewardship and Retention Model; Master Security and Trust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An embedding or index is derived data and cannot broaden access, outlive governing retention without authority, or become an uncontrolled shadow record.</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AUTH-076</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AI agents, tool use, supervised automation, and automated actions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AI Governance and Decision Boundary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AI-selected or AI-influenced tool use, approval levels, bounded action, reversibility, interruption, and execution evidence.</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Permission and Access-Control Model; Master Platform Operations, Reliability, and Release Model; Master Audit Event and Evidence Model; action-owning domain canon</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AI may not independently exercise consequential legal, financial, medical, welfare, safeguarding, ownership, disciplinary, or access-control authority.</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AUTH-077</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Reports, dashboards, business intelligence, metrics, and analytical views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Reporting, Analytics, and Business Intelligence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reporting classification, sources, formulas, freshness, quality, provenance, permissions, lifecycle, and presentation standards.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Record Stewardship and Retention Model; Master Permission and Access-Control Model; Master Privacy and Data Protection Model; Master AI Governance and Decision Boundary Model; domain canons</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Reporting is interpretive and read-only by default. It does not replace or silently mutate authoritative records.</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AUTH-078</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Conflicting source data in reports and analytical reconciliation</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Reporting, Analytics, and Business Intelligence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disclosure of conflicts, source comparison, newest-record context, possible explanations, correction paths, and preservation of uncertainty.</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Record Stewardship and Retention Model; Master Claims, Disputes, and Authority Model; Master Audit Event and Evidence Model; source-owning domain canon</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Recency is not automatic correctness. A report may expose conflict but may not silently adjudicate it.</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AUTH-079</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Official KPIs, local metrics, formulas, dimensions, and metric versions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Reporting, Analytics, and Business Intelligence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metric definition, formula versioning, source registration, certification, local-versus-official distinction, and reproducibility.</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Financial Truth and Responsibility Model; Master Barn Lifecycle and Operations Canon; Master Platform Operations, Reliability, and Release Model; Master Record Stewardship and Retention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spreadsheet, dashboard widget, or customer formula does not become an official KPI without governed definition and approval.</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AUTH-080</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Forecasts, predictions, scores, comparisons, and benchmarks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Reporting, Analytics, and Business Intelligence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analytical methodology, assumptions, estimates, confidence, fairness, limitations, and comparative-period integrity.</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AI Governance and Decision Boundary Model; Master Privacy and Data Protection Model; Minor, Guardian, Safeguarding, and Delegated-Assistance Canon; Master Financial Truth and Responsibility Model; domain canon</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Predictions and scores are decision support, not diagnoses, ownership findings, rider-ability determinations, credit judgments, or disciplinary conclusions.</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AUTH-081</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Report challenge, correction, withdrawal, supersession, and downstream impact</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Reporting, Analytics, and Business Intelligence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report-specific challenge and correction workflows, preservation of prior versions, recipient notice, export impact, and withdrawal state.</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Record Stewardship and Retention Model; Master Audit Event and Evidence Model; Master Communication, Notification, and Notice Model; Master Claims, Disputes, and Authority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Correcting a report does not automatically correct the source record; source correction requires the source-owning workflow.</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AUTH-082</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Visualization integrity, accessibility, chart honesty, units, and comparative periods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Reporting, Analytics, and Business Intelligence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truthful analytical presentation, unit and currency handling, period comparability, chart accessibility, and anti-manipulation controls.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Product Vision; Master Financial Truth and Responsibility Model; Master Record Stewardship and Retention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Presentation must not conceal missing data, uncertainty, incompatible units, selective omissions, distorted scales, or material assumptions.</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AUTH-083</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Public reports, research outputs, methodology disclosure, and trust review</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Reporting, Analytics, and Business Intelligence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report publication review, methodology, privacy checks, reidentification risk, statistical integrity, accessibility, and correction duties.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Privacy and Data Protection Model; Minor, Guardian, Safeguarding, and Delegated-Assistance Canon; Master Claims, Disputes, and Authority Model; Master Product Vision; legal review</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Public reporting requires separate approval and does not arise from internal report access or founder acceptance of the reporting model.</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AUTH-084</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Analytical extracts, report exports, caches, and analytics retention</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Reporting, Analytics, and Business Intelligence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report-specific lifecycle and retention needs; Record and Privacy canons control the underlying data and lawful retention basis.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Record Stewardship and Retention Model; Master Privacy and Data Protection Model; Master Media, Files, and Digital Asset Governance Model; Master Platform Resilience, Backup, and Recovery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Analytical stores, materialized views, and exports must not become constitutionally superior shadow systems of record.</w:t>
            </w:r>
          </w:p>
        </w:tc>
      </w:tr>
    </w:tbl>
    <w:p>
      <w:pPr>
        <w:pStyle w:val="Heading2"/>
        <w:spacing w:after="80"/>
        <w:keepNext/>
      </w:pPr>
      <w:r>
        <w:t>F. Financial, Commercial, External Architecture, Developers, Plugins, and Vendors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24"/>
        <w:gridCol w:w="2424"/>
        <w:gridCol w:w="2424"/>
        <w:gridCol w:w="2424"/>
        <w:gridCol w:w="2424"/>
        <w:gridCol w:w="2424"/>
      </w:tblGrid>
      <w:tr>
        <w:trPr>
          <w:tblHeader w:val="true"/>
        </w:trPr>
        <w:tc>
          <w:tcPr>
            <w:tcW w:type="dxa" w:w="792"/>
            <w:shd w:fill="17365D"/>
            <w:tcMar>
              <w:top w:w="45" w:type="dxa"/>
              <w:start w:w="50" w:type="dxa"/>
              <w:bottom w:w="45" w:type="dxa"/>
              <w:end w:w="50" w:type="dxa"/>
            </w:tcMar>
            <w:vAlign w:val="center"/>
          </w:tcPr>
          <w:p>
            <w:pPr>
              <w:jc w:val="left"/>
            </w:pPr>
            <w:r>
              <w:rPr>
                <w:rFonts w:ascii="Aptos" w:hAnsi="Aptos"/>
                <w:b/>
                <w:color w:val="FFFFFF"/>
                <w:sz w:val="14"/>
              </w:rPr>
              <w:t>ID</w:t>
            </w:r>
          </w:p>
        </w:tc>
        <w:tc>
          <w:tcPr>
            <w:tcW w:type="dxa" w:w="2059"/>
            <w:shd w:fill="17365D"/>
            <w:tcMar>
              <w:top w:w="45" w:type="dxa"/>
              <w:start w:w="50" w:type="dxa"/>
              <w:bottom w:w="45" w:type="dxa"/>
              <w:end w:w="50" w:type="dxa"/>
            </w:tcMar>
            <w:vAlign w:val="center"/>
          </w:tcPr>
          <w:p>
            <w:pPr>
              <w:jc w:val="left"/>
            </w:pPr>
            <w:r>
              <w:rPr>
                <w:rFonts w:ascii="Aptos" w:hAnsi="Aptos"/>
                <w:b/>
                <w:color w:val="FFFFFF"/>
                <w:sz w:val="14"/>
              </w:rPr>
              <w:t>Governance Subject</w:t>
            </w:r>
          </w:p>
        </w:tc>
        <w:tc>
          <w:tcPr>
            <w:tcW w:type="dxa" w:w="2563"/>
            <w:shd w:fill="17365D"/>
            <w:tcMar>
              <w:top w:w="45" w:type="dxa"/>
              <w:start w:w="50" w:type="dxa"/>
              <w:bottom w:w="45" w:type="dxa"/>
              <w:end w:w="50" w:type="dxa"/>
            </w:tcMar>
            <w:vAlign w:val="center"/>
          </w:tcPr>
          <w:p>
            <w:pPr>
              <w:jc w:val="left"/>
            </w:pPr>
            <w:r>
              <w:rPr>
                <w:rFonts w:ascii="Aptos" w:hAnsi="Aptos"/>
                <w:b/>
                <w:color w:val="FFFFFF"/>
                <w:sz w:val="14"/>
              </w:rPr>
              <w:t>Primary Constitutional Authority</w:t>
            </w:r>
          </w:p>
        </w:tc>
        <w:tc>
          <w:tcPr>
            <w:tcW w:type="dxa" w:w="3283"/>
            <w:shd w:fill="17365D"/>
            <w:tcMar>
              <w:top w:w="45" w:type="dxa"/>
              <w:start w:w="50" w:type="dxa"/>
              <w:bottom w:w="45" w:type="dxa"/>
              <w:end w:w="50" w:type="dxa"/>
            </w:tcMar>
            <w:vAlign w:val="center"/>
          </w:tcPr>
          <w:p>
            <w:pPr>
              <w:jc w:val="left"/>
            </w:pPr>
            <w:r>
              <w:rPr>
                <w:rFonts w:ascii="Aptos" w:hAnsi="Aptos"/>
                <w:b/>
                <w:color w:val="FFFFFF"/>
                <w:sz w:val="14"/>
              </w:rPr>
              <w:t>Authority Scope</w:t>
            </w:r>
          </w:p>
        </w:tc>
        <w:tc>
          <w:tcPr>
            <w:tcW w:type="dxa" w:w="2966"/>
            <w:shd w:fill="17365D"/>
            <w:tcMar>
              <w:top w:w="45" w:type="dxa"/>
              <w:start w:w="50" w:type="dxa"/>
              <w:bottom w:w="45" w:type="dxa"/>
              <w:end w:w="50" w:type="dxa"/>
            </w:tcMar>
            <w:vAlign w:val="center"/>
          </w:tcPr>
          <w:p>
            <w:pPr>
              <w:jc w:val="left"/>
            </w:pPr>
            <w:r>
              <w:rPr>
                <w:rFonts w:ascii="Aptos" w:hAnsi="Aptos"/>
                <w:b/>
                <w:color w:val="FFFFFF"/>
                <w:sz w:val="14"/>
              </w:rPr>
              <w:t>Supporting / Boundary Authorities</w:t>
            </w:r>
          </w:p>
        </w:tc>
        <w:tc>
          <w:tcPr>
            <w:tcW w:type="dxa" w:w="2592"/>
            <w:shd w:fill="17365D"/>
            <w:tcMar>
              <w:top w:w="45" w:type="dxa"/>
              <w:start w:w="50" w:type="dxa"/>
              <w:bottom w:w="45" w:type="dxa"/>
              <w:end w:w="50" w:type="dxa"/>
            </w:tcMar>
            <w:vAlign w:val="center"/>
          </w:tcPr>
          <w:p>
            <w:pPr>
              <w:jc w:val="left"/>
            </w:pPr>
            <w:r>
              <w:rPr>
                <w:rFonts w:ascii="Aptos" w:hAnsi="Aptos"/>
                <w:b/>
                <w:color w:val="FFFFFF"/>
                <w:sz w:val="14"/>
              </w:rPr>
              <w:t>Boundary / Precedence Rule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AUTH-085</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Financial truth, financial responsibility, and program separation</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Financial Truth and Responsibility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financial object meanings, financial programs, source hierarchy, responsibility roles, reconciliation, and separation from identity and relationships.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Relationship Model; Master Agreement, Consent, and Authorization Model; Master Record Stewardship and Retention Model; Master Audit Event and Evidence Model; Master Privacy and Data Protection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Payment status, processor state, accounting treatment, or who receives an invoice does not prove ownership, guardianship, authority, or care duty.</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AUTH-086</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Invoices, charges, obligations, statements, responsible parties, and payers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Financial Truth and Responsibility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invoice, charge, obligation, payer, guarantor, beneficiary, service-recipient, and statement distinctions and lifecycle.</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Agreement, Consent, and Authorization Model; Master Relationship Model; Master Audit Event and Evidence Model; Master Communication, Notification, and Notice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The service recipient, owner, guardian, payer, guarantor, invoice recipient, and beneficiary may be different parties and must remain explicit.</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AUTH-087</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Payment attempts, authorization, capture, settlement, refunds, and reversals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Financial Truth and Responsibility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internal financial representation and reconciliation of payment-rail evidence, including state distinctions and correction by reversal or supersession.</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External Architecture and Adapter Model; payment-rail RF; Master Audit Event and Evidence Model; Master Vendor Security and Supply Chain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Processor events are scoped evidence, not universal financial truth. External rail activation requires separate authority.</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AUTH-088</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Connected accounts, payouts, marketplace funds, and merchant identity</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Financial Truth and Responsibility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constitutional separation of legal entities, merchant identity, settlement beneficiaries, connected-account roles, and funds-flow boundaries.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External Architecture and Adapter Model; Master Vendor Security and Supply Chain Model; marketplace canon; rail-specific RF</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The financial canon does not by itself make EquineSync a merchant of record, escrow holder, money transmitter, lender, payroll provider, or bank.</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AUTH-089</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Revenue recognition, accounting projections, close, and ledger interfaces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Financial Truth and Responsibility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separation of invoicing, collection, settlement, payout, revenue recognition, accounting projection, period close, and reconciliation.</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Reporting, Analytics, and Business Intelligence Model; Master External Architecture and Adapter Model; accounting integration authority</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Accounting exports and processor reports are projections or evidence and must not silently rewrite operational financial truth.</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AUTH-090</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Financial disputes, unpaid balances, liens, service restrictions, and welfare continuity</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Financial Truth and Responsibility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financial dispute and restriction boundaries while preserving horse welfare, emergency care, record continuity, and authority separation.</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Claims, Disputes, and Authority Model; Master Horse Transfer and Continuity Policy; Master Relationship Model; Master Communication, Notification, and Notice Model; applicable law</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Nonpayment alone does not establish lien validity, transfer authority, ownership, creditworthiness, fraud, or permission to withhold essential records or emergency care.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AUTH-091</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External architecture, provider neutrality, adapters, and constitutional service boundaries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External Architecture and Adapter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provider-neutral architecture, adapter boundaries, external-service classification, authoritative service boundaries, reversibility, and provider exit.</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Vendor Security and Supply Chain Model; Master Developer, Platform, and Integration Governance Model; Master Platform Extensibility and Plugin Governance Model; Master Security and Trust Model; Master Platform Resilience, Backup, and Recovery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provider may store, transmit, sign, settle, or process but does not become constitutional authority over the underlying domain.</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AUTH-092</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Integrations, APIs, webhooks, data exchange, and integration lifecycle</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Developer, Platform, and Integration Governance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general integration lifecycle, API exposure, credentials, service accounts, synchronization, webhooks, data exchange, monitoring, suspension, and removal.</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External Architecture and Adapter Model; Master Platform Extensibility and Plugin Governance Model; Master Permission and Access-Control Model; Master Audit Event and Evidence Model; Master Vendor Security and Supply Chain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An integration may act only within its installation, tenant, purpose, data, and permission scope. Technical connectivity is not authority.</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AUTH-093</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Developer eligibility, developer access, sandboxes, credentials, and testing</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Developer, Platform, and Integration Governance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developer verification, environment access, test data, credential issuance, documentation, support, suspension, and offboarding.</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Security and Trust Model; Master Identity, Account, and Actor Model; Master Vendor Security and Supply Chain Model; Master Platform Operations, Reliability, and Release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Developer access is a privilege and must not become standing production access, customer-data access, or privileged administration by default.</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AUTH-094</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Plugins, extensions, embedded services, extension points, and marketplace lifecycle</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Platform Extensibility and Plugin Governance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extension mechanisms, plugin installation, publisher responsibility, runtime, updates, material changes, marketplace governance, quarantine, and removal.</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Developer, Platform, and Integration Governance Model; Master External Architecture and Adapter Model; Master Vendor Security and Supply Chain Model; Master Permission and Access-Control Model; Master Audit Event and Evidence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Plugins are subordinate participants and may not replace protected constitutional domains, authoritative services, or final decision authority.</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AUTH-095</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Integration and plugin risk classification</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Constitutional Domain Ownership and Boundary Register</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the harmonized Tier 0 through Tier 5 risk taxonomy and mapping of retired classifications.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Developer, Platform, and Integration Governance Model; Master Platform Extensibility and Plugin Governance Model; Master Vendor Security and Supply Chain Model; Master Security and Trust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A risk tier sets a minimum control floor. Combined behavior receives the risk posture of its highest-risk component or effect.</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AUTH-096</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Vendor selection, due diligence, contracting, monitoring, and exit</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Vendor Security and Supply Chain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vendor lifecycle and risk controls from need identification through due diligence, approval, onboarding, monitoring, suspension, migration, and termination.</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External Architecture and Adapter Model; Master Privacy and Data Protection Model; Master Security and Trust Model; Master Platform Resilience, Backup, and Recovery Model; Master Record Stewardship and Retention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Commercial convenience, existing account status, technical popularity, or marketplace availability does not substitute for approval.</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AUTH-097</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External processing, geographic location, data residency, and cross-border transfer</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Privacy and Data Protection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lawful processing and transfer basis; External Architecture owns technical boundary; Vendor governance owns vendor evidence and obligations.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External Architecture and Adapter Model; Master Vendor Security and Supply Chain Model; Master Data Protection, Encryption, and Key Management Model; Master Record Stewardship and Retention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Regional claims must reflect actual storage, access, support, key management, subprocessor, and recovery locations.</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AUTH-098</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Provider exit, data return, deletion verification, continuity, and substitution</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External Architecture and Adapter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architectural replaceability, exportability, migration boundary, continuity, and avoidance of provider lock-in.</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Vendor Security and Supply Chain Model; Master Record Stewardship and Retention Model; Master Platform Resilience, Backup, and Recovery Model; Master Data Protection, Encryption, and Key Management Model; Master AI Governance and Decision Boundary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Exit must preserve authoritative records, evidence, rights, keys, configurations, derived data, and essential operations without silent loss or duplication.</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AUTH-099</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Public APIs, developer marketplace, publisher listings, and external developer claims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Platform Extensibility and Plugin Governance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public extension-marketplace and publisher-facing governance; Developer governance owns technical API and developer lifecycle.</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Developer, Platform, and Integration Governance Model; Master External Architecture and Adapter Model; Master Communication, Notification, and Notice Model; Master Product Vision</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Public API or marketplace launch requires separate implementation, production, legal, security, and public-launch authority.</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AUTH-100</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Connected devices, sensors, IoT, and device-generated operational data</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Developer, Platform, and Integration Governance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connected-device integration identity, credentials, data exchange, synchronization, security, lifecycle, and external technical access.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Identity, Account, and Actor Model; Master Security and Trust Model; Master Privacy and Data Protection Model; Master Record Stewardship and Retention Model; Master Horse Lifecycle and Passport Model; Master Barn Lifecycle and Operations Canon</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Device data is attributed evidence, not automatic medical truth, welfare adjudication, ownership evidence, or permission.</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AUTH-101</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External communications, signature, storage, analytics, and AI providers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External Architecture and Adapter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the provider-neutral architectural role and adapter boundary for external services.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Communication, Notification, and Notice Model; Master Agreement, Consent, and Authorization Model; Master Media, Files, and Digital Asset Governance Model; Master Reporting, Analytics, and Business Intelligence Model; Master AI Governance and Decision Boundary Model; Master Vendor Security and Supply Chain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The specialized domain canon owns the substantive workflow. Provider-specific behavior remains subordinate and replaceable.</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AUTH-102</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Payment rails, accounting integrations, and financial service providers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Financial Truth and Responsibility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financial truth and responsibility; External Architecture and rail-specific authority own technical connection and activation.</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External Architecture and Adapter Model; Master Vendor Security and Supply Chain Model; Master Developer, Platform, and Integration Governance Model; rail-specific RF</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No payment, connected-account, payout, tax, accounting synchronization, or production financial mutation is authorized without separate scoped approval.</w:t>
            </w:r>
          </w:p>
        </w:tc>
      </w:tr>
    </w:tbl>
    <w:p>
      <w:pPr>
        <w:pStyle w:val="Heading2"/>
        <w:spacing w:after="80"/>
        <w:keepNext/>
      </w:pPr>
      <w:r>
        <w:t>G. Platform Operations, Configuration, Resilience, Offline, and Execution Authority</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424"/>
        <w:gridCol w:w="2424"/>
        <w:gridCol w:w="2424"/>
        <w:gridCol w:w="2424"/>
        <w:gridCol w:w="2424"/>
        <w:gridCol w:w="2424"/>
      </w:tblGrid>
      <w:tr>
        <w:trPr>
          <w:tblHeader w:val="true"/>
        </w:trPr>
        <w:tc>
          <w:tcPr>
            <w:tcW w:type="dxa" w:w="792"/>
            <w:shd w:fill="17365D"/>
            <w:tcMar>
              <w:top w:w="45" w:type="dxa"/>
              <w:start w:w="50" w:type="dxa"/>
              <w:bottom w:w="45" w:type="dxa"/>
              <w:end w:w="50" w:type="dxa"/>
            </w:tcMar>
            <w:vAlign w:val="center"/>
          </w:tcPr>
          <w:p>
            <w:pPr>
              <w:jc w:val="left"/>
            </w:pPr>
            <w:r>
              <w:rPr>
                <w:rFonts w:ascii="Aptos" w:hAnsi="Aptos"/>
                <w:b/>
                <w:color w:val="FFFFFF"/>
                <w:sz w:val="14"/>
              </w:rPr>
              <w:t>ID</w:t>
            </w:r>
          </w:p>
        </w:tc>
        <w:tc>
          <w:tcPr>
            <w:tcW w:type="dxa" w:w="2059"/>
            <w:shd w:fill="17365D"/>
            <w:tcMar>
              <w:top w:w="45" w:type="dxa"/>
              <w:start w:w="50" w:type="dxa"/>
              <w:bottom w:w="45" w:type="dxa"/>
              <w:end w:w="50" w:type="dxa"/>
            </w:tcMar>
            <w:vAlign w:val="center"/>
          </w:tcPr>
          <w:p>
            <w:pPr>
              <w:jc w:val="left"/>
            </w:pPr>
            <w:r>
              <w:rPr>
                <w:rFonts w:ascii="Aptos" w:hAnsi="Aptos"/>
                <w:b/>
                <w:color w:val="FFFFFF"/>
                <w:sz w:val="14"/>
              </w:rPr>
              <w:t>Governance Subject</w:t>
            </w:r>
          </w:p>
        </w:tc>
        <w:tc>
          <w:tcPr>
            <w:tcW w:type="dxa" w:w="2563"/>
            <w:shd w:fill="17365D"/>
            <w:tcMar>
              <w:top w:w="45" w:type="dxa"/>
              <w:start w:w="50" w:type="dxa"/>
              <w:bottom w:w="45" w:type="dxa"/>
              <w:end w:w="50" w:type="dxa"/>
            </w:tcMar>
            <w:vAlign w:val="center"/>
          </w:tcPr>
          <w:p>
            <w:pPr>
              <w:jc w:val="left"/>
            </w:pPr>
            <w:r>
              <w:rPr>
                <w:rFonts w:ascii="Aptos" w:hAnsi="Aptos"/>
                <w:b/>
                <w:color w:val="FFFFFF"/>
                <w:sz w:val="14"/>
              </w:rPr>
              <w:t>Primary Constitutional Authority</w:t>
            </w:r>
          </w:p>
        </w:tc>
        <w:tc>
          <w:tcPr>
            <w:tcW w:type="dxa" w:w="3283"/>
            <w:shd w:fill="17365D"/>
            <w:tcMar>
              <w:top w:w="45" w:type="dxa"/>
              <w:start w:w="50" w:type="dxa"/>
              <w:bottom w:w="45" w:type="dxa"/>
              <w:end w:w="50" w:type="dxa"/>
            </w:tcMar>
            <w:vAlign w:val="center"/>
          </w:tcPr>
          <w:p>
            <w:pPr>
              <w:jc w:val="left"/>
            </w:pPr>
            <w:r>
              <w:rPr>
                <w:rFonts w:ascii="Aptos" w:hAnsi="Aptos"/>
                <w:b/>
                <w:color w:val="FFFFFF"/>
                <w:sz w:val="14"/>
              </w:rPr>
              <w:t>Authority Scope</w:t>
            </w:r>
          </w:p>
        </w:tc>
        <w:tc>
          <w:tcPr>
            <w:tcW w:type="dxa" w:w="2966"/>
            <w:shd w:fill="17365D"/>
            <w:tcMar>
              <w:top w:w="45" w:type="dxa"/>
              <w:start w:w="50" w:type="dxa"/>
              <w:bottom w:w="45" w:type="dxa"/>
              <w:end w:w="50" w:type="dxa"/>
            </w:tcMar>
            <w:vAlign w:val="center"/>
          </w:tcPr>
          <w:p>
            <w:pPr>
              <w:jc w:val="left"/>
            </w:pPr>
            <w:r>
              <w:rPr>
                <w:rFonts w:ascii="Aptos" w:hAnsi="Aptos"/>
                <w:b/>
                <w:color w:val="FFFFFF"/>
                <w:sz w:val="14"/>
              </w:rPr>
              <w:t>Supporting / Boundary Authorities</w:t>
            </w:r>
          </w:p>
        </w:tc>
        <w:tc>
          <w:tcPr>
            <w:tcW w:type="dxa" w:w="2592"/>
            <w:shd w:fill="17365D"/>
            <w:tcMar>
              <w:top w:w="45" w:type="dxa"/>
              <w:start w:w="50" w:type="dxa"/>
              <w:bottom w:w="45" w:type="dxa"/>
              <w:end w:w="50" w:type="dxa"/>
            </w:tcMar>
            <w:vAlign w:val="center"/>
          </w:tcPr>
          <w:p>
            <w:pPr>
              <w:jc w:val="left"/>
            </w:pPr>
            <w:r>
              <w:rPr>
                <w:rFonts w:ascii="Aptos" w:hAnsi="Aptos"/>
                <w:b/>
                <w:color w:val="FFFFFF"/>
                <w:sz w:val="14"/>
              </w:rPr>
              <w:t>Boundary / Precedence Rule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AUTH-103</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Platform operations, reliability, release management, and operational readiness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Platform Operations, Reliability, and Release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operational control, service readiness, reliability objectives, release gates, rollback, maintenance, change windows, and production operations.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Security and Trust Model; Master Platform Resilience, Backup, and Recovery Model; Master Configuration and Feature Flag Governance Model; Master Audit Event and Evidence Model; Master EquineSync Implementation Atlas and Authorized RF Packages</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Operational readiness does not supersede constitutional policy and does not create authority for a feature whose domain prerequisites are incomplete.</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AUTH-104</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Configuration, feature flags, thresholds, kill switches, and tenant settings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Configuration and Feature Flag Governance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configuration identity, lifecycle, ownership, approval, validation, defaulting, change history, emergency disablement, and environment boundaries.</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Platform Operations, Reliability, and Release Model; Master Permission and Access-Control Model; Master Audit Event and Evidence Model; domain canon</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Configuration may select among already authorized behaviors. It may not manufacture a new right, weaken a prohibition, or bypass required review.</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AUTH-105</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Schema changes, migrations, backfills, data transformations, and cutovers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Platform Operations, Reliability, and Release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production change-control mechanics; Record and domain canons own meaning, preservation, authority, and acceptance criteria.</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Record Stewardship and Retention Model; Master Audit Event and Evidence Model; Master Platform Resilience, Backup, and Recovery Model; Master EquineSync Implementation Atlas and Authorized RF Packages; affected domain canon</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No migration may infer canonical truth from legacy implementation alone, erase history, broaden access, or proceed without rollback and reconciliation evidence.</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AUTH-106</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Environment separation, promotion, deployment, rollback, and release trains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Platform Operations, Reliability, and Release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development, test, staging, and production separation, promotion controls, deployment evidence, rollback, and release sequencing.</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Security and Trust Model; Master Configuration and Feature Flag Governance Model; Master EquineSync Implementation Atlas and Authorized RF Packages; Master Audit Event and Evidence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 build, merge, deploy, or successful test does not equal founder acceptance, implementation authority, production authority, or launch authority.</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AUTH-107</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Observability, runtime logs, telemetry, alerting, and operational diagnostics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Platform Operations, Reliability, and Release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operational observability, service-health metrics, alerts, diagnostic access, and incident detection.</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Audit Event and Evidence Model; Master Privacy and Data Protection Model; Master Security and Trust Model; Master Record Stewardship and Retention Model; Master Reporting, Analytics, and Business Intelligence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Telemetry must be minimum necessary and must not become uncontrolled surveillance, shadow audit, cross-tenant analytics, or indefinite retention.</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AUTH-108</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Resilience architecture, backup, restoration, disaster recovery, and safe degradation</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Platform Resilience, Backup, and Recovery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service criticality, continuity architecture, backup and restore, recovery objectives, safe degradation, failover, failback, and recovery evidence.</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Record Stewardship and Retention Model; Master Data Protection, Encryption, and Key Management Model; Master Security and Trust Model; Master Horse Lifecycle and Passport Model; Master Financial Truth and Responsibility Model; Master Communication, Notification, and Notice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Recovery must preserve authorization, welfare continuity, financial reconciliation, evidence, and the distinction between recovered data and current truth.</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AUTH-109</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Disaster declaration, incident command, failover, failback, and recovery acceptance</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Platform Resilience, Backup, and Recovery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disaster-specific operational authority, command roles, recovery sequencing, verification, and return-to-normal evidence.</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Platform Operations, Reliability, and Release Model; Master Security Incident Response and Disclosure Model; Master Audit Event and Evidence Model; Master Communication, Notification, and Notice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Disaster status does not grant unlimited access or permit silent abandonment of privacy, safeguarding, financial, or evidentiary duties.</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AUTH-110</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Offline capture, local storage, synchronization, revocation, and conflict handling</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Native Offline Synchronization Canon and Locked Readiness Instruments</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offline-specific readiness and implementation controls for local operation, synchronization, conflict, revocation, safe resumption, and evidence.</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Permission and Access-Control Model; Master Record Stewardship and Retention Model; Master Security and Trust Model; Master Data Protection, Encryption, and Key Management Model; Master Platform Resilience, Backup, and Recovery Model; domain canon</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Offline operation may not silently expand permissions, mutate authoritative truth without governed reconciliation, or preserve revoked access indefinitely.</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AUTH-111</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Operational incident command, continuity actions, and emergency change</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Platform Operations, Reliability, and Release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non-security operational incident response, service restoration, emergency change, communication, and post-incident review.</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Security Incident Response and Disclosure Model; Master Platform Resilience, Backup, and Recovery Model; Master Communication, Notification, and Notice Model; Master Audit Event and Evidence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Emergency operational action must remain scoped, attributable, reversible where practicable, and subject to post-event review.</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AUTH-112</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Privileged administration, customer support access, impersonation, and support tooling</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Security and Trust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the security floor for privileged access; Identity and Permission govern principal attribution and authorization; Audit governs evidence.</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Identity, Account, and Actor Model; Master Permission and Access-Control Model; Master Audit Event and Evidence Model; Master Privacy and Data Protection Model; Master Platform Operations, Reliability, and Release Model</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Support need, administrator status, or technical capability does not create unrestricted customer-data access or authority to act as the customer.</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AUTH-113</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Test data, synthetic data, fixtures, sandboxes, and production-data restrictions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Platform Operations, Reliability, and Release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operational test-environment controls; Privacy and Security govern data use and protection; domain canons define semantic validity.</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Privacy and Data Protection Model; Master Security and Trust Model; Master Developer, Platform, and Integration Governance Model; Master AI Governance and Decision Boundary Model; Master Record Stewardship and Retention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Production personal, financial, safeguarding, or horse-health data must not be copied into testing merely for convenience.</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AUTH-114</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Release certification, compliance evidence, acceptance tests, and production readiness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Platform Operations, Reliability, and Release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the release-evidence package, readiness determination, rollback proof, and operational acceptance criteria.</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EquineSync Implementation Atlas and Authorized RF Packages; Master Audit Event and Evidence Model; affected domain canon; founder authority</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Passing tests proves only the tested behavior. It does not cure missing governance, invalid authority, unsupported public claims, or unapproved scope.</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AUTH-115</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Implementation authority for code, schemas, integrations, migrations, and activation</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Founder Decision Register and Adoption Evidence</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the explicit grant, scope, conditions, duration, and exclusions of implementation authority through founder directive or authorized governance mechanism.</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EquineSync Implementation Atlas and Authorized RF Packages; Controlled Canon Index and Constitutional Completeness Register; affected domain canon</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Drafting, review, founder acceptance of substantive text, adoption, or repository lock does not automatically authorize implementation.</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AUTH-116</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Production authority, customer-data processing, live credentials, and production mutation</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Founder Decision Register and Adoption Evidence</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explicit production authorization and its exact scope, prerequisites, environment, controls, and evidence.</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Platform Operations, Reliability, and Release Model; Master Security and Trust Model; Master Privacy and Data Protection Model; Master Platform Resilience, Backup, and Recovery Model; affected domain canon</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Implementation authority is not production authority. Production access, mutation, external processing, and credentials require separate evidence-backed approval.</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AUTH-117</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Public launch, marketplace launch, public sharing, and public trust representations</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Founder Decision Register and Adoption Evidence</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the explicit decision to expose EquineSync or a capability publicly and the scope of claims and audiences authorized.</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Product Vision; Master Platform Operations, Reliability, and Release Model; Master Privacy and Data Protection Model; Master Security and Trust Model; Master Communication, Notification, and Notice Model; applicable domain canon</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Production availability does not equal public launch, and private pilot authority does not authorize public claims or general availability.</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AUTH-118</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Mobile application distribution, app-store release, and native production channels</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Platform Operations, Reliability, and Release Model</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operational mobile release mechanics; Product Vision and domain canons own product and workflow requirements; founder authority owns launch.</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Master Product Vision; Master Security and Trust Model; Master Privacy and Data Protection Model; Master Platform Resilience, Backup, and Recovery Model; Master EquineSync Implementation Atlas and Authorized RF Packages</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A signed build, beta distribution, or store approval does not itself authorize customer onboarding or public launch.</w:t>
            </w:r>
          </w:p>
        </w:tc>
      </w:tr>
      <w:tr>
        <w:tc>
          <w:tcPr>
            <w:tcW w:type="dxa" w:w="792"/>
            <w:tcMar>
              <w:top w:w="45" w:type="dxa"/>
              <w:start w:w="50" w:type="dxa"/>
              <w:bottom w:w="45" w:type="dxa"/>
              <w:end w:w="50" w:type="dxa"/>
            </w:tcMar>
            <w:vAlign w:val="top"/>
            <w:shd w:fill="F4F7FA"/>
          </w:tcPr>
          <w:p>
            <w:pPr>
              <w:spacing w:after="0" w:line="221" w:lineRule="auto"/>
              <w:jc w:val="center"/>
            </w:pPr>
            <w:r>
              <w:rPr>
                <w:rFonts w:ascii="Aptos" w:hAnsi="Aptos"/>
                <w:b/>
                <w:color w:val="0B2748"/>
                <w:sz w:val="14"/>
              </w:rPr>
              <w:t>AUTH-119</w:t>
            </w:r>
          </w:p>
        </w:tc>
        <w:tc>
          <w:tcPr>
            <w:tcW w:type="dxa" w:w="2059"/>
            <w:tcMar>
              <w:top w:w="45" w:type="dxa"/>
              <w:start w:w="50" w:type="dxa"/>
              <w:bottom w:w="45" w:type="dxa"/>
              <w:end w:w="50" w:type="dxa"/>
            </w:tcMar>
            <w:vAlign w:val="top"/>
            <w:shd w:fill="F4F7FA"/>
          </w:tcPr>
          <w:p>
            <w:pPr>
              <w:spacing w:after="0" w:line="221" w:lineRule="auto"/>
            </w:pPr>
            <w:r>
              <w:rPr>
                <w:rFonts w:ascii="Aptos" w:hAnsi="Aptos"/>
                <w:b w:val="0"/>
                <w:color w:val="1E1E1E"/>
                <w:sz w:val="14"/>
              </w:rPr>
              <w:t>Platform decommissioning, tenant exit, service termination, and durable continuity</w:t>
            </w:r>
          </w:p>
        </w:tc>
        <w:tc>
          <w:tcPr>
            <w:tcW w:type="dxa" w:w="2563"/>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Platform Resilience, Backup, and Recovery Model</w:t>
            </w:r>
          </w:p>
        </w:tc>
        <w:tc>
          <w:tcPr>
            <w:tcW w:type="dxa" w:w="3283"/>
            <w:tcMar>
              <w:top w:w="45" w:type="dxa"/>
              <w:start w:w="50" w:type="dxa"/>
              <w:bottom w:w="45" w:type="dxa"/>
              <w:end w:w="50" w:type="dxa"/>
            </w:tcMar>
            <w:vAlign w:val="top"/>
            <w:shd w:fill="F4F7FA"/>
          </w:tcPr>
          <w:p>
            <w:pPr>
              <w:spacing w:after="0" w:line="221" w:lineRule="auto"/>
            </w:pPr>
            <w:r>
              <w:rPr>
                <w:rFonts w:ascii="Aptos" w:hAnsi="Aptos"/>
                <w:b w:val="0"/>
                <w:color w:val="1E1E1E"/>
                <w:sz w:val="14"/>
              </w:rPr>
              <w:t>Owns technical continuity and shutdown planning; Record, Privacy, Agreement, Financial, and External Architecture canons own their respective exit duties.</w:t>
            </w:r>
          </w:p>
        </w:tc>
        <w:tc>
          <w:tcPr>
            <w:tcW w:type="dxa" w:w="2966"/>
            <w:tcMar>
              <w:top w:w="45" w:type="dxa"/>
              <w:start w:w="50" w:type="dxa"/>
              <w:bottom w:w="45" w:type="dxa"/>
              <w:end w:w="50" w:type="dxa"/>
            </w:tcMar>
            <w:vAlign w:val="top"/>
            <w:shd w:fill="F4F7FA"/>
          </w:tcPr>
          <w:p>
            <w:pPr>
              <w:spacing w:after="0" w:line="221" w:lineRule="auto"/>
            </w:pPr>
            <w:r>
              <w:rPr>
                <w:rFonts w:ascii="Aptos" w:hAnsi="Aptos"/>
                <w:b w:val="0"/>
                <w:color w:val="1E1E1E"/>
                <w:sz w:val="14"/>
              </w:rPr>
              <w:t>Master Record Stewardship and Retention Model; Master Privacy and Data Protection Model; Master Agreement, Consent, and Authorization Model; Master Financial Truth and Responsibility Model; Master External Architecture and Adapter Model; Master Communication, Notification, and Notice Model</w:t>
            </w:r>
          </w:p>
        </w:tc>
        <w:tc>
          <w:tcPr>
            <w:tcW w:type="dxa" w:w="2592"/>
            <w:tcMar>
              <w:top w:w="45" w:type="dxa"/>
              <w:start w:w="50" w:type="dxa"/>
              <w:bottom w:w="45" w:type="dxa"/>
              <w:end w:w="50" w:type="dxa"/>
            </w:tcMar>
            <w:vAlign w:val="top"/>
            <w:shd w:fill="F4F7FA"/>
          </w:tcPr>
          <w:p>
            <w:pPr>
              <w:spacing w:after="0" w:line="221" w:lineRule="auto"/>
            </w:pPr>
            <w:r>
              <w:rPr>
                <w:rFonts w:ascii="Aptos" w:hAnsi="Aptos"/>
                <w:b w:val="0"/>
                <w:color w:val="1E1E1E"/>
                <w:sz w:val="14"/>
              </w:rPr>
              <w:t>Decommissioning must preserve required records and evidence, return or delete data appropriately, settle obligations, revoke access, and avoid provider orphaning.</w:t>
            </w:r>
          </w:p>
        </w:tc>
      </w:tr>
      <w:tr>
        <w:tc>
          <w:tcPr>
            <w:tcW w:type="dxa" w:w="792"/>
            <w:tcMar>
              <w:top w:w="45" w:type="dxa"/>
              <w:start w:w="50" w:type="dxa"/>
              <w:bottom w:w="45" w:type="dxa"/>
              <w:end w:w="50" w:type="dxa"/>
            </w:tcMar>
            <w:vAlign w:val="top"/>
            <w:shd w:fill="FFFFFF"/>
          </w:tcPr>
          <w:p>
            <w:pPr>
              <w:spacing w:after="0" w:line="221" w:lineRule="auto"/>
              <w:jc w:val="center"/>
            </w:pPr>
            <w:r>
              <w:rPr>
                <w:rFonts w:ascii="Aptos" w:hAnsi="Aptos"/>
                <w:b/>
                <w:color w:val="0B2748"/>
                <w:sz w:val="14"/>
              </w:rPr>
              <w:t>AUTH-120</w:t>
            </w:r>
          </w:p>
        </w:tc>
        <w:tc>
          <w:tcPr>
            <w:tcW w:type="dxa" w:w="2059"/>
            <w:tcMar>
              <w:top w:w="45" w:type="dxa"/>
              <w:start w:w="50" w:type="dxa"/>
              <w:bottom w:w="45" w:type="dxa"/>
              <w:end w:w="50" w:type="dxa"/>
            </w:tcMar>
            <w:vAlign w:val="top"/>
            <w:shd w:fill="FFFFFF"/>
          </w:tcPr>
          <w:p>
            <w:pPr>
              <w:spacing w:after="0" w:line="221" w:lineRule="auto"/>
            </w:pPr>
            <w:r>
              <w:rPr>
                <w:rFonts w:ascii="Aptos" w:hAnsi="Aptos"/>
                <w:b w:val="0"/>
                <w:color w:val="1E1E1E"/>
                <w:sz w:val="14"/>
              </w:rPr>
              <w:t>Maintenance and amendment of this Constitutional Authority Matrix</w:t>
            </w:r>
          </w:p>
        </w:tc>
        <w:tc>
          <w:tcPr>
            <w:tcW w:type="dxa" w:w="2563"/>
            <w:tcMar>
              <w:top w:w="45" w:type="dxa"/>
              <w:start w:w="50" w:type="dxa"/>
              <w:bottom w:w="45" w:type="dxa"/>
              <w:end w:w="50" w:type="dxa"/>
            </w:tcMar>
            <w:vAlign w:val="top"/>
            <w:shd w:fill="FFFFFF"/>
          </w:tcPr>
          <w:p>
            <w:pPr>
              <w:spacing w:after="0" w:line="221" w:lineRule="auto"/>
            </w:pPr>
            <w:r>
              <w:rPr>
                <w:rFonts w:ascii="Aptos" w:hAnsi="Aptos"/>
                <w:b w:val="0"/>
                <w:color w:val="1E1E1E"/>
                <w:sz w:val="14"/>
              </w:rPr>
              <w:t>Constitutional Domain Ownership and Boundary Register</w:t>
            </w:r>
          </w:p>
        </w:tc>
        <w:tc>
          <w:tcPr>
            <w:tcW w:type="dxa" w:w="3283"/>
            <w:tcMar>
              <w:top w:w="45" w:type="dxa"/>
              <w:start w:w="50" w:type="dxa"/>
              <w:bottom w:w="45" w:type="dxa"/>
              <w:end w:w="50" w:type="dxa"/>
            </w:tcMar>
            <w:vAlign w:val="top"/>
            <w:shd w:fill="FFFFFF"/>
          </w:tcPr>
          <w:p>
            <w:pPr>
              <w:spacing w:after="0" w:line="221" w:lineRule="auto"/>
            </w:pPr>
            <w:r>
              <w:rPr>
                <w:rFonts w:ascii="Aptos" w:hAnsi="Aptos"/>
                <w:b w:val="0"/>
                <w:color w:val="1E1E1E"/>
                <w:sz w:val="14"/>
              </w:rPr>
              <w:t>Owns assignment of domain authority and boundary updates reflected in this Matrix.</w:t>
            </w:r>
          </w:p>
        </w:tc>
        <w:tc>
          <w:tcPr>
            <w:tcW w:type="dxa" w:w="2966"/>
            <w:tcMar>
              <w:top w:w="45" w:type="dxa"/>
              <w:start w:w="50" w:type="dxa"/>
              <w:bottom w:w="45" w:type="dxa"/>
              <w:end w:w="50" w:type="dxa"/>
            </w:tcMar>
            <w:vAlign w:val="top"/>
            <w:shd w:fill="FFFFFF"/>
          </w:tcPr>
          <w:p>
            <w:pPr>
              <w:spacing w:after="0" w:line="221" w:lineRule="auto"/>
            </w:pPr>
            <w:r>
              <w:rPr>
                <w:rFonts w:ascii="Aptos" w:hAnsi="Aptos"/>
                <w:b w:val="0"/>
                <w:color w:val="1E1E1E"/>
                <w:sz w:val="14"/>
              </w:rPr>
              <w:t>Controlled Canon Index and Constitutional Completeness Register; Constitutional Vocabulary and Definitions Index; Cross-Canon Reference Normalization Register; Founder Decision Register and Adoption Evidence</w:t>
            </w:r>
          </w:p>
        </w:tc>
        <w:tc>
          <w:tcPr>
            <w:tcW w:type="dxa" w:w="2592"/>
            <w:tcMar>
              <w:top w:w="45" w:type="dxa"/>
              <w:start w:w="50" w:type="dxa"/>
              <w:bottom w:w="45" w:type="dxa"/>
              <w:end w:w="50" w:type="dxa"/>
            </w:tcMar>
            <w:vAlign w:val="top"/>
            <w:shd w:fill="FFFFFF"/>
          </w:tcPr>
          <w:p>
            <w:pPr>
              <w:spacing w:after="0" w:line="221" w:lineRule="auto"/>
            </w:pPr>
            <w:r>
              <w:rPr>
                <w:rFonts w:ascii="Aptos" w:hAnsi="Aptos"/>
                <w:b w:val="0"/>
                <w:color w:val="1E1E1E"/>
                <w:sz w:val="14"/>
              </w:rPr>
              <w:t>This Matrix is navigational. It must be updated after new canon, successor acceptance, boundary changes, or reconciliation, and may not independently create substantive authority.</w:t>
            </w:r>
          </w:p>
        </w:tc>
      </w:tr>
    </w:tbl>
    <w:p>
      <w:pPr>
        <w:sectPr>
          <w:headerReference w:type="default" r:id="rId11"/>
          <w:footerReference w:type="default" r:id="rId12"/>
          <w:pgSz w:w="15840" w:h="12240" w:orient="landscape"/>
          <w:pgMar w:top="749" w:right="648" w:bottom="792" w:left="648" w:header="720" w:footer="720" w:gutter="0"/>
          <w:cols w:space="720"/>
          <w:docGrid w:linePitch="360"/>
        </w:sectPr>
      </w:pPr>
    </w:p>
    <w:p>
      <w:pPr>
        <w:pStyle w:val="Heading1"/>
      </w:pPr>
      <w:r>
        <w:t>6. Version and Lifecycle Resolution</w:t>
      </w:r>
    </w:p>
    <w:p>
      <w:pPr>
        <w:spacing w:after="120"/>
      </w:pPr>
      <w:r>
        <w:rPr>
          <w:rFonts w:ascii="Aptos" w:hAnsi="Aptos"/>
          <w:b w:val="0"/>
          <w:color w:val="262626"/>
          <w:sz w:val="19"/>
        </w:rPr>
        <w:t>This Matrix intentionally uses constitutional family titles in most rows. The Controlled Canon Index and Founder Decision Register must resolve the active version, lifecycle state, successor relationship, checksum, and exact authority posture. Where a founder-accepted newest substantive successor has been recorded, that successor governs within its scope even if a subordinate artifact retains an older title or suffix.</w:t>
      </w:r>
    </w:p>
    <w:p>
      <w:pPr>
        <w:pStyle w:val="Heading1"/>
      </w:pPr>
      <w:r>
        <w:t>7. Required Companion Artifacts</w:t>
      </w:r>
    </w:p>
    <w:p>
      <w:pPr>
        <w:spacing w:after="120"/>
      </w:pPr>
      <w:r>
        <w:rPr>
          <w:rFonts w:ascii="Aptos" w:hAnsi="Aptos"/>
          <w:b w:val="0"/>
          <w:color w:val="262626"/>
          <w:sz w:val="19"/>
        </w:rPr>
        <w:t>1. Controlled Canon Index and Constitutional Completeness Register</w:t>
      </w:r>
      <w:r>
        <w:br/>
      </w:r>
      <w:r>
        <w:rPr>
          <w:rFonts w:ascii="Aptos" w:hAnsi="Aptos"/>
          <w:b w:val="0"/>
          <w:color w:val="262626"/>
          <w:sz w:val="19"/>
        </w:rPr>
        <w:t>2. Constitutional Vocabulary and Definitions Index</w:t>
      </w:r>
      <w:r>
        <w:br/>
      </w:r>
      <w:r>
        <w:rPr>
          <w:rFonts w:ascii="Aptos" w:hAnsi="Aptos"/>
          <w:b w:val="0"/>
          <w:color w:val="262626"/>
          <w:sz w:val="19"/>
        </w:rPr>
        <w:t>3. Constitutional Domain Ownership and Boundary Register</w:t>
      </w:r>
      <w:r>
        <w:br/>
      </w:r>
      <w:r>
        <w:rPr>
          <w:rFonts w:ascii="Aptos" w:hAnsi="Aptos"/>
          <w:b w:val="0"/>
          <w:color w:val="262626"/>
          <w:sz w:val="19"/>
        </w:rPr>
        <w:t>4. Cross-Canon Reference Normalization Register</w:t>
      </w:r>
      <w:r>
        <w:br/>
      </w:r>
      <w:r>
        <w:rPr>
          <w:rFonts w:ascii="Aptos" w:hAnsi="Aptos"/>
          <w:b w:val="0"/>
          <w:color w:val="262626"/>
          <w:sz w:val="19"/>
        </w:rPr>
        <w:t>5. Canon Dependency Map</w:t>
      </w:r>
      <w:r>
        <w:br/>
      </w:r>
      <w:r>
        <w:rPr>
          <w:rFonts w:ascii="Aptos" w:hAnsi="Aptos"/>
          <w:b w:val="0"/>
          <w:color w:val="262626"/>
          <w:sz w:val="19"/>
        </w:rPr>
        <w:t>6. Founder Decision Register</w:t>
      </w:r>
      <w:r>
        <w:br/>
      </w:r>
      <w:r>
        <w:rPr>
          <w:rFonts w:ascii="Aptos" w:hAnsi="Aptos"/>
          <w:b w:val="0"/>
          <w:color w:val="262626"/>
          <w:sz w:val="19"/>
        </w:rPr>
        <w:t>7. Governance Requirement Index</w:t>
      </w:r>
      <w:r>
        <w:br/>
      </w:r>
      <w:r>
        <w:rPr>
          <w:rFonts w:ascii="Aptos" w:hAnsi="Aptos"/>
          <w:b w:val="0"/>
          <w:color w:val="262626"/>
          <w:sz w:val="19"/>
        </w:rPr>
        <w:t>8. Requirement Traceability Matrix</w:t>
      </w:r>
    </w:p>
    <w:p>
      <w:pPr>
        <w:pStyle w:val="Heading1"/>
      </w:pPr>
      <w:r>
        <w:t>8. Maintenance Triggers</w:t>
      </w:r>
    </w:p>
    <w:p>
      <w:pPr>
        <w:spacing w:after="120"/>
      </w:pPr>
      <w:r>
        <w:rPr>
          <w:rFonts w:ascii="Aptos" w:hAnsi="Aptos"/>
          <w:b w:val="0"/>
          <w:color w:val="262626"/>
          <w:sz w:val="19"/>
        </w:rPr>
        <w:t>Update this Matrix when a new constitutional family is created, a successor is founder accepted, a domain boundary changes, a cross-canon conflict is reconciled, a legacy implementation attempts to claim authority, a new protected or regulated subject is introduced, or an implementation RF identifies a subject with no clear owner. Each update should preserve prior versions and record added, reassigned, narrowed, broadened, retired, and unresolved rows.</w:t>
      </w:r>
    </w:p>
    <w:p>
      <w:pPr>
        <w:pStyle w:val="Heading1"/>
      </w:pPr>
      <w:r>
        <w:t>9. Authority Boundary</w:t>
      </w:r>
    </w:p>
    <w:p>
      <w:pPr>
        <w:spacing w:after="120"/>
      </w:pPr>
      <w:r>
        <w:rPr>
          <w:rFonts w:ascii="Aptos" w:hAnsi="Aptos"/>
          <w:b w:val="0"/>
          <w:color w:val="262626"/>
          <w:sz w:val="19"/>
        </w:rPr>
        <w:t>Creation or founder acceptance of this Matrix does not authorize schema creation, code changes, migrations, permission changes, external processing, provider activation, AI activation, live payments, production mutation, public sharing, public trust claims, customer onboarding, or launch. It is a constitutional navigation, ownership, and precedence artifact only.</w:t>
      </w:r>
    </w:p>
    <w:sectPr w:rsidR="00FC693F" w:rsidRPr="0006063C" w:rsidSect="00034616">
      <w:headerReference w:type="default" r:id="rId13"/>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05050"/>
        <w:sz w:val="16"/>
      </w:rPr>
      <w:t xml:space="preserve">Constitutional Authority Matrix V1.1 | Founder Accepted | No Implementation Authority | Page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05050"/>
        <w:sz w:val="16"/>
      </w:rPr>
      <w:t xml:space="preserve">Constitutional Authority Matrix V1.1 | Founder Accepted | No Implementation Authority | Page </w:t>
    </w: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05050"/>
        <w:sz w:val="16"/>
      </w:rPr>
      <w:t xml:space="preserve">Constitutional Authority Matrix V1.1 | Founder Accepted | No Implementation Authority | Page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1" w:color="B4A7D6"/>
      </w:pBdr>
    </w:pPr>
    <w:r>
      <w:rPr>
        <w:rFonts w:ascii="Aptos" w:hAnsi="Aptos"/>
        <w:b/>
        <w:color w:val="0B2748"/>
        <w:sz w:val="16"/>
      </w:rPr>
      <w:t>EQUINESYNC | CONSTITUTIONAL GOVERNANCE CANON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1" w:color="B4A7D6"/>
      </w:pBdr>
    </w:pPr>
    <w:r>
      <w:rPr>
        <w:rFonts w:ascii="Aptos" w:hAnsi="Aptos"/>
        <w:b/>
        <w:color w:val="0B2748"/>
        <w:sz w:val="16"/>
      </w:rPr>
      <w:t>EQUINESYNC | CONSTITUTIONAL GOVERNANCE CANON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1" w:color="B4A7D6"/>
      </w:pBdr>
    </w:pPr>
    <w:r>
      <w:rPr>
        <w:rFonts w:ascii="Aptos" w:hAnsi="Aptos"/>
        <w:b/>
        <w:color w:val="0B2748"/>
        <w:sz w:val="16"/>
      </w:rPr>
      <w:t>EQUINESYNC | CONSTITUTIONAL GOVERNANCE CANON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7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74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EquineSync Constitutional Authority Matrix V1.1</dc:title>
  <dc:subject>Founder-accepted constitutional support artifact</dc:subject>
  <dc:creator>EquineSync</dc:creator>
  <cp:keywords>EquineSync, constitutional canon, governance, authority matrix, precedence</cp:keywords>
  <dc:description>Controlled draft for founder review. No implementation, production, or public launch authority.</dc:description>
  <cp:lastModifiedBy/>
  <cp:revision>1</cp:revision>
  <dcterms:created xsi:type="dcterms:W3CDTF">2013-12-23T23:15:00Z</dcterms:created>
  <dcterms:modified xsi:type="dcterms:W3CDTF">2013-12-23T23:15:00Z</dcterms:modified>
  <cp:category/>
</cp:coreProperties>
</file>