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Display" w:hAnsi="Aptos Display"/>
          <w:b/>
          <w:color w:val="0B2748"/>
          <w:sz w:val="47"/>
        </w:rPr>
        <w:t>EQUINESYNC CONSTITUTIONAL</w:t>
        <w:br/>
        <w:t>CROSS REFERENCE INDEX V1.1</w:t>
      </w:r>
    </w:p>
    <w:p>
      <w:pPr>
        <w:spacing w:after="180"/>
        <w:jc w:val="center"/>
      </w:pPr>
      <w:r>
        <w:rPr>
          <w:rFonts w:ascii="Aptos" w:hAnsi="Aptos"/>
          <w:b/>
          <w:color w:val="1F4E79"/>
          <w:sz w:val="22"/>
        </w:rPr>
        <w:t>Topic-to-Canon and Canon-to-Topic Navigator</w:t>
      </w:r>
    </w:p>
    <w:tbl>
      <w:tblPr>
        <w:tblW w:type="auto" w:w="0"/>
        <w:jc w:val="center"/>
        <w:tblLook w:firstColumn="1" w:firstRow="1" w:lastColumn="0" w:lastRow="0" w:noHBand="0" w:noVBand="1" w:val="04A0"/>
        <w:tblBorders>
          <w:top w:val="single" w:sz="5" w:space="0" w:color="AFC0CF"/>
          <w:left w:val="single" w:sz="5" w:space="0" w:color="AFC0CF"/>
          <w:bottom w:val="single" w:sz="5" w:space="0" w:color="AFC0CF"/>
          <w:right w:val="single" w:sz="5" w:space="0" w:color="AFC0CF"/>
          <w:insideH w:val="single" w:sz="5" w:space="0" w:color="AFC0CF"/>
          <w:insideV w:val="single" w:sz="5" w:space="0" w:color="AFC0CF"/>
        </w:tblBorders>
      </w:tblPr>
      <w:tblGrid>
        <w:gridCol w:w="5083"/>
        <w:gridCol w:w="5083"/>
      </w:tblGrid>
      <w:tr>
        <w:tc>
          <w:tcPr>
            <w:tcW w:type="dxa" w:w="2520"/>
            <w:tcMar>
              <w:top w:w="60" w:type="dxa"/>
              <w:start w:w="80" w:type="dxa"/>
              <w:bottom w:w="60" w:type="dxa"/>
              <w:end w:w="80" w:type="dxa"/>
            </w:tcMar>
            <w:vAlign w:val="center"/>
            <w:shd w:fill="DCE6F1"/>
          </w:tcPr>
          <w:p>
            <w:r>
              <w:rPr>
                <w:rFonts w:ascii="Aptos" w:hAnsi="Aptos"/>
                <w:b/>
                <w:color w:val="0B2748"/>
                <w:sz w:val="16"/>
              </w:rPr>
              <w:t>Document Identifier</w:t>
            </w:r>
          </w:p>
        </w:tc>
        <w:tc>
          <w:tcPr>
            <w:tcW w:type="dxa" w:w="7416"/>
            <w:tcMar>
              <w:top w:w="60" w:type="dxa"/>
              <w:start w:w="80" w:type="dxa"/>
              <w:bottom w:w="60" w:type="dxa"/>
              <w:end w:w="80" w:type="dxa"/>
            </w:tcMar>
            <w:vAlign w:val="center"/>
            <w:shd w:fill="FFFFFF"/>
          </w:tcPr>
          <w:p>
            <w:r>
              <w:rPr>
                <w:rFonts w:ascii="Aptos" w:hAnsi="Aptos"/>
                <w:b w:val="0"/>
                <w:color w:val="3C4650"/>
                <w:sz w:val="14"/>
              </w:rPr>
              <w:t>EQUINESYNC_CONSTITUTIONAL_CROSS_REFERENCE_INDEX_V1_1</w:t>
            </w:r>
          </w:p>
        </w:tc>
      </w:tr>
      <w:tr>
        <w:tc>
          <w:tcPr>
            <w:tcW w:type="dxa" w:w="2520"/>
            <w:tcMar>
              <w:top w:w="60" w:type="dxa"/>
              <w:start w:w="80" w:type="dxa"/>
              <w:bottom w:w="60" w:type="dxa"/>
              <w:end w:w="80" w:type="dxa"/>
            </w:tcMar>
            <w:vAlign w:val="center"/>
            <w:shd w:fill="DCE6F1"/>
          </w:tcPr>
          <w:p>
            <w:r>
              <w:rPr>
                <w:rFonts w:ascii="Aptos" w:hAnsi="Aptos"/>
                <w:b/>
                <w:color w:val="0B2748"/>
                <w:sz w:val="16"/>
              </w:rPr>
              <w:t>Document Type</w:t>
            </w:r>
          </w:p>
        </w:tc>
        <w:tc>
          <w:tcPr>
            <w:tcW w:type="dxa" w:w="7416"/>
            <w:tcMar>
              <w:top w:w="60" w:type="dxa"/>
              <w:start w:w="80" w:type="dxa"/>
              <w:bottom w:w="60" w:type="dxa"/>
              <w:end w:w="80" w:type="dxa"/>
            </w:tcMar>
            <w:vAlign w:val="center"/>
            <w:shd w:fill="F3F5F7"/>
          </w:tcPr>
          <w:p>
            <w:r>
              <w:rPr>
                <w:rFonts w:ascii="Aptos" w:hAnsi="Aptos"/>
                <w:b w:val="0"/>
                <w:color w:val="3C4650"/>
                <w:sz w:val="16"/>
              </w:rPr>
              <w:t>Constitutional Support Artifact / Topic-to-Canon and Canon-to-Topic Navigator</w:t>
            </w:r>
          </w:p>
        </w:tc>
      </w:tr>
      <w:tr>
        <w:tc>
          <w:tcPr>
            <w:tcW w:type="dxa" w:w="2520"/>
            <w:tcMar>
              <w:top w:w="60" w:type="dxa"/>
              <w:start w:w="80" w:type="dxa"/>
              <w:bottom w:w="60" w:type="dxa"/>
              <w:end w:w="80" w:type="dxa"/>
            </w:tcMar>
            <w:vAlign w:val="center"/>
            <w:shd w:fill="DCE6F1"/>
          </w:tcPr>
          <w:p>
            <w:r>
              <w:rPr>
                <w:rFonts w:ascii="Aptos" w:hAnsi="Aptos"/>
                <w:b/>
                <w:color w:val="0B2748"/>
                <w:sz w:val="16"/>
              </w:rPr>
              <w:t>Status</w:t>
            </w:r>
          </w:p>
        </w:tc>
        <w:tc>
          <w:tcPr>
            <w:tcW w:type="dxa" w:w="7416"/>
            <w:tcMar>
              <w:top w:w="60" w:type="dxa"/>
              <w:start w:w="80" w:type="dxa"/>
              <w:bottom w:w="60" w:type="dxa"/>
              <w:end w:w="80" w:type="dxa"/>
            </w:tcMar>
            <w:vAlign w:val="center"/>
            <w:shd w:fill="FFFFFF"/>
          </w:tcPr>
          <w:p>
            <w:r>
              <w:rPr>
                <w:rFonts w:ascii="Aptos" w:hAnsi="Aptos"/>
                <w:b w:val="0"/>
                <w:color w:val="3C4650"/>
                <w:sz w:val="16"/>
              </w:rPr>
              <w:t>Founder-Accepted Constitutional Support Artifact</w:t>
            </w:r>
          </w:p>
        </w:tc>
      </w:tr>
      <w:tr>
        <w:tc>
          <w:tcPr>
            <w:tcW w:type="dxa" w:w="2520"/>
            <w:tcMar>
              <w:top w:w="60" w:type="dxa"/>
              <w:start w:w="80" w:type="dxa"/>
              <w:bottom w:w="60" w:type="dxa"/>
              <w:end w:w="80" w:type="dxa"/>
            </w:tcMar>
            <w:vAlign w:val="center"/>
            <w:shd w:fill="DCE6F1"/>
          </w:tcPr>
          <w:p>
            <w:r>
              <w:rPr>
                <w:rFonts w:ascii="Aptos" w:hAnsi="Aptos"/>
                <w:b/>
                <w:color w:val="0B2748"/>
                <w:sz w:val="16"/>
              </w:rPr>
              <w:t>Implementation Authority</w:t>
            </w:r>
          </w:p>
        </w:tc>
        <w:tc>
          <w:tcPr>
            <w:tcW w:type="dxa" w:w="7416"/>
            <w:tcMar>
              <w:top w:w="60" w:type="dxa"/>
              <w:start w:w="80" w:type="dxa"/>
              <w:bottom w:w="60" w:type="dxa"/>
              <w:end w:w="80" w:type="dxa"/>
            </w:tcMar>
            <w:vAlign w:val="center"/>
            <w:shd w:fill="F3F5F7"/>
          </w:tcPr>
          <w:p>
            <w:r>
              <w:rPr>
                <w:rFonts w:ascii="Aptos" w:hAnsi="Aptos"/>
                <w:b/>
                <w:color w:val="3C4650"/>
                <w:sz w:val="16"/>
              </w:rPr>
              <w:t>FALSE</w:t>
            </w:r>
          </w:p>
        </w:tc>
      </w:tr>
      <w:tr>
        <w:tc>
          <w:tcPr>
            <w:tcW w:type="dxa" w:w="2520"/>
            <w:tcMar>
              <w:top w:w="60" w:type="dxa"/>
              <w:start w:w="80" w:type="dxa"/>
              <w:bottom w:w="60" w:type="dxa"/>
              <w:end w:w="80" w:type="dxa"/>
            </w:tcMar>
            <w:vAlign w:val="center"/>
            <w:shd w:fill="DCE6F1"/>
          </w:tcPr>
          <w:p>
            <w:r>
              <w:rPr>
                <w:rFonts w:ascii="Aptos" w:hAnsi="Aptos"/>
                <w:b/>
                <w:color w:val="0B2748"/>
                <w:sz w:val="16"/>
              </w:rPr>
              <w:t>Production Authority</w:t>
            </w:r>
          </w:p>
        </w:tc>
        <w:tc>
          <w:tcPr>
            <w:tcW w:type="dxa" w:w="7416"/>
            <w:tcMar>
              <w:top w:w="60" w:type="dxa"/>
              <w:start w:w="80" w:type="dxa"/>
              <w:bottom w:w="60" w:type="dxa"/>
              <w:end w:w="80" w:type="dxa"/>
            </w:tcMar>
            <w:vAlign w:val="center"/>
            <w:shd w:fill="FFFFFF"/>
          </w:tcPr>
          <w:p>
            <w:r>
              <w:rPr>
                <w:rFonts w:ascii="Aptos" w:hAnsi="Aptos"/>
                <w:b/>
                <w:color w:val="3C4650"/>
                <w:sz w:val="16"/>
              </w:rPr>
              <w:t>FALSE</w:t>
            </w:r>
          </w:p>
        </w:tc>
      </w:tr>
      <w:tr>
        <w:tc>
          <w:tcPr>
            <w:tcW w:type="dxa" w:w="2520"/>
            <w:tcMar>
              <w:top w:w="60" w:type="dxa"/>
              <w:start w:w="80" w:type="dxa"/>
              <w:bottom w:w="60" w:type="dxa"/>
              <w:end w:w="80" w:type="dxa"/>
            </w:tcMar>
            <w:vAlign w:val="center"/>
            <w:shd w:fill="DCE6F1"/>
          </w:tcPr>
          <w:p>
            <w:r>
              <w:rPr>
                <w:rFonts w:ascii="Aptos" w:hAnsi="Aptos"/>
                <w:b/>
                <w:color w:val="0B2748"/>
                <w:sz w:val="16"/>
              </w:rPr>
              <w:t>Public Launch Authority</w:t>
            </w:r>
          </w:p>
        </w:tc>
        <w:tc>
          <w:tcPr>
            <w:tcW w:type="dxa" w:w="7416"/>
            <w:tcMar>
              <w:top w:w="60" w:type="dxa"/>
              <w:start w:w="80" w:type="dxa"/>
              <w:bottom w:w="60" w:type="dxa"/>
              <w:end w:w="80" w:type="dxa"/>
            </w:tcMar>
            <w:vAlign w:val="center"/>
            <w:shd w:fill="F3F5F7"/>
          </w:tcPr>
          <w:p>
            <w:r>
              <w:rPr>
                <w:rFonts w:ascii="Aptos" w:hAnsi="Aptos"/>
                <w:b/>
                <w:color w:val="3C4650"/>
                <w:sz w:val="16"/>
              </w:rPr>
              <w:t>FALSE</w:t>
            </w:r>
          </w:p>
        </w:tc>
      </w:tr>
      <w:tr>
        <w:tc>
          <w:tcPr>
            <w:tcW w:type="dxa" w:w="2520"/>
            <w:tcMar>
              <w:top w:w="60" w:type="dxa"/>
              <w:start w:w="80" w:type="dxa"/>
              <w:bottom w:w="60" w:type="dxa"/>
              <w:end w:w="80" w:type="dxa"/>
            </w:tcMar>
            <w:vAlign w:val="center"/>
            <w:shd w:fill="DCE6F1"/>
          </w:tcPr>
          <w:p>
            <w:r>
              <w:rPr>
                <w:rFonts w:ascii="Aptos" w:hAnsi="Aptos"/>
                <w:b/>
                <w:color w:val="0B2748"/>
                <w:sz w:val="16"/>
              </w:rPr>
              <w:t>Date</w:t>
            </w:r>
          </w:p>
        </w:tc>
        <w:tc>
          <w:tcPr>
            <w:tcW w:type="dxa" w:w="7416"/>
            <w:tcMar>
              <w:top w:w="60" w:type="dxa"/>
              <w:start w:w="80" w:type="dxa"/>
              <w:bottom w:w="60" w:type="dxa"/>
              <w:end w:w="80" w:type="dxa"/>
            </w:tcMar>
            <w:vAlign w:val="center"/>
            <w:shd w:fill="FFFFFF"/>
          </w:tcPr>
          <w:p>
            <w:r>
              <w:rPr>
                <w:rFonts w:ascii="Aptos" w:hAnsi="Aptos"/>
                <w:b w:val="0"/>
                <w:color w:val="3C4650"/>
                <w:sz w:val="16"/>
              </w:rPr>
              <w:t>July 14, 2026</w:t>
            </w:r>
          </w:p>
        </w:tc>
      </w:tr>
      <w:tr>
        <w:tc>
          <w:tcPr>
            <w:tcW w:type="dxa" w:w="2520"/>
            <w:tcMar>
              <w:top w:w="60" w:type="dxa"/>
              <w:start w:w="80" w:type="dxa"/>
              <w:bottom w:w="60" w:type="dxa"/>
              <w:end w:w="80" w:type="dxa"/>
            </w:tcMar>
            <w:vAlign w:val="center"/>
            <w:shd w:fill="DCE6F1"/>
          </w:tcPr>
          <w:p>
            <w:r>
              <w:rPr>
                <w:rFonts w:ascii="Aptos" w:hAnsi="Aptos"/>
                <w:b/>
                <w:color w:val="0B2748"/>
                <w:sz w:val="16"/>
              </w:rPr>
              <w:t>Coverage</w:t>
            </w:r>
          </w:p>
        </w:tc>
        <w:tc>
          <w:tcPr>
            <w:tcW w:type="dxa" w:w="7416"/>
            <w:tcMar>
              <w:top w:w="60" w:type="dxa"/>
              <w:start w:w="80" w:type="dxa"/>
              <w:bottom w:w="60" w:type="dxa"/>
              <w:end w:w="80" w:type="dxa"/>
            </w:tcMar>
            <w:vAlign w:val="center"/>
            <w:shd w:fill="F3F5F7"/>
          </w:tcPr>
          <w:p>
            <w:r>
              <w:rPr>
                <w:rFonts w:ascii="Aptos" w:hAnsi="Aptos"/>
                <w:b w:val="0"/>
                <w:color w:val="3C4650"/>
                <w:sz w:val="16"/>
              </w:rPr>
              <w:t>120 topic entries; complete reverse index; 16 high-risk reading sets</w:t>
            </w:r>
          </w:p>
        </w:tc>
      </w:tr>
    </w:tbl>
    <w:p>
      <w:pPr>
        <w:spacing w:after="0"/>
      </w:pPr>
    </w:p>
    <w:tbl>
      <w:tblPr>
        <w:tblW w:type="auto" w:w="0"/>
        <w:jc w:val="center"/>
        <w:tblLook w:firstColumn="1" w:firstRow="1" w:lastColumn="0" w:lastRow="0" w:noHBand="0" w:noVBand="1" w:val="04A0"/>
        <w:tblBorders>
          <w:top w:val="single" w:sz="5" w:space="0" w:color="B8C8D6"/>
          <w:left w:val="single" w:sz="5" w:space="0" w:color="B8C8D6"/>
          <w:bottom w:val="single" w:sz="5" w:space="0" w:color="B8C8D6"/>
          <w:right w:val="single" w:sz="5" w:space="0" w:color="B8C8D6"/>
          <w:insideH w:val="single" w:sz="5" w:space="0" w:color="B8C8D6"/>
          <w:insideV w:val="single" w:sz="5" w:space="0" w:color="B8C8D6"/>
        </w:tblBorders>
      </w:tblPr>
      <w:tblGrid>
        <w:gridCol w:w="10166"/>
      </w:tblGrid>
      <w:tr>
        <w:tc>
          <w:tcPr>
            <w:tcW w:type="dxa" w:w="10166"/>
            <w:shd w:fill="EEF4F8"/>
            <w:tcMar>
              <w:top w:w="100" w:type="dxa"/>
              <w:start w:w="120" w:type="dxa"/>
              <w:bottom w:w="100" w:type="dxa"/>
              <w:end w:w="120" w:type="dxa"/>
            </w:tcMar>
          </w:tcPr>
          <w:p>
            <w:pPr>
              <w:spacing w:after="0"/>
            </w:pPr>
            <w:r>
              <w:rPr>
                <w:rFonts w:ascii="Aptos" w:hAnsi="Aptos"/>
                <w:b/>
                <w:color w:val="0B2748"/>
                <w:sz w:val="18"/>
              </w:rPr>
              <w:t xml:space="preserve">Constitutional function: </w:t>
            </w:r>
            <w:r>
              <w:rPr>
                <w:rFonts w:ascii="Aptos" w:hAnsi="Aptos"/>
                <w:color w:val="3C4650"/>
                <w:sz w:val="18"/>
              </w:rPr>
              <w:t>This Index is the front-door locator for finding the primary canon and required companion authorities for a subject. It is not a substitute for the substantive canon, the Authority Matrix, or lifecycle evidence.</w:t>
            </w:r>
          </w:p>
        </w:tc>
      </w:tr>
    </w:tbl>
    <w:p>
      <w:pPr>
        <w:spacing w:after="0"/>
      </w:pPr>
    </w:p>
    <w:p>
      <w:pPr>
        <w:pStyle w:val="Heading1"/>
      </w:pPr>
      <w:r>
        <w:t>1. Purpose</w:t>
      </w:r>
    </w:p>
    <w:p>
      <w:pPr>
        <w:keepNext w:val="0"/>
        <w:spacing w:after="60" w:line="245" w:lineRule="auto"/>
      </w:pPr>
      <w:r>
        <w:rPr>
          <w:rFonts w:ascii="Aptos" w:hAnsi="Aptos"/>
          <w:i w:val="0"/>
          <w:color w:val="3C4650"/>
          <w:sz w:val="18"/>
        </w:rPr>
        <w:t>This Index answers the operational constitutional question: Where is this subject governed, and what else must be read with it? It provides a topic-to-canon index, a canon-to-topic reverse index, and consolidated reading sets for high-risk cross-domain matters.</w:t>
      </w:r>
    </w:p>
    <w:p>
      <w:pPr>
        <w:keepNext w:val="0"/>
        <w:spacing w:after="60" w:line="245" w:lineRule="auto"/>
      </w:pPr>
      <w:r>
        <w:rPr>
          <w:rFonts w:ascii="Aptos" w:hAnsi="Aptos"/>
          <w:i w:val="0"/>
          <w:color w:val="3C4650"/>
          <w:sz w:val="18"/>
        </w:rPr>
        <w:t>The Index is navigational. It does not independently create, expand, narrow, adopt, lock, implement, or supersede substantive constitutional authority. The controlling version and lifecycle posture of each referenced family must be resolved through the Controlled Canon Index, founder evidence, and applicable lock or implementation records.</w:t>
      </w:r>
    </w:p>
    <w:p>
      <w:pPr>
        <w:pStyle w:val="Heading1"/>
      </w:pPr>
      <w:r>
        <w:t>2. Governing Cross-Reference Rules</w:t>
      </w:r>
    </w:p>
    <w:p>
      <w:pPr>
        <w:pStyle w:val="ListBullet"/>
        <w:spacing w:after="40" w:line="240" w:lineRule="auto"/>
        <w:ind w:left="259" w:hanging="202"/>
      </w:pPr>
      <w:r>
        <w:rPr>
          <w:rFonts w:ascii="Aptos" w:hAnsi="Aptos"/>
          <w:color w:val="3C4650"/>
          <w:sz w:val="17"/>
        </w:rPr>
        <w:t>Start with the identified primary canon, then read every companion canon needed for the actual facts and risk.</w:t>
      </w:r>
    </w:p>
    <w:p>
      <w:pPr>
        <w:pStyle w:val="ListBullet"/>
        <w:spacing w:after="40" w:line="240" w:lineRule="auto"/>
        <w:ind w:left="259" w:hanging="202"/>
      </w:pPr>
      <w:r>
        <w:rPr>
          <w:rFonts w:ascii="Aptos" w:hAnsi="Aptos"/>
          <w:color w:val="3C4650"/>
          <w:sz w:val="17"/>
        </w:rPr>
        <w:t>A cross-reference does not transfer subject-matter ownership from the primary canon to a supporting canon.</w:t>
      </w:r>
    </w:p>
    <w:p>
      <w:pPr>
        <w:pStyle w:val="ListBullet"/>
        <w:spacing w:after="40" w:line="240" w:lineRule="auto"/>
        <w:ind w:left="259" w:hanging="202"/>
      </w:pPr>
      <w:r>
        <w:rPr>
          <w:rFonts w:ascii="Aptos" w:hAnsi="Aptos"/>
          <w:color w:val="3C4650"/>
          <w:sz w:val="17"/>
        </w:rPr>
        <w:t>A specialized overlay, including AI, reporting, media, search, plugin, security, or operations governance, controls its layer but does not replace the underlying legal, financial, welfare, relationship, permission, or record authority.</w:t>
      </w:r>
    </w:p>
    <w:p>
      <w:pPr>
        <w:pStyle w:val="ListBullet"/>
        <w:spacing w:after="40" w:line="240" w:lineRule="auto"/>
        <w:ind w:left="259" w:hanging="202"/>
      </w:pPr>
      <w:r>
        <w:rPr>
          <w:rFonts w:ascii="Aptos" w:hAnsi="Aptos"/>
          <w:color w:val="3C4650"/>
          <w:sz w:val="17"/>
        </w:rPr>
        <w:t>The more protective compatible privacy, safeguarding, security, welfare, evidentiary, or permission rule applies.</w:t>
      </w:r>
    </w:p>
    <w:p>
      <w:pPr>
        <w:pStyle w:val="ListBullet"/>
        <w:spacing w:after="40" w:line="240" w:lineRule="auto"/>
        <w:ind w:left="259" w:hanging="202"/>
      </w:pPr>
      <w:r>
        <w:rPr>
          <w:rFonts w:ascii="Aptos" w:hAnsi="Aptos"/>
          <w:color w:val="3C4650"/>
          <w:sz w:val="17"/>
        </w:rPr>
        <w:t>A filename, schema field, route, user-interface label, provider feature, or existing code path is not constitutional authority.</w:t>
      </w:r>
    </w:p>
    <w:p>
      <w:pPr>
        <w:pStyle w:val="ListBullet"/>
        <w:spacing w:after="40" w:line="240" w:lineRule="auto"/>
        <w:ind w:left="259" w:hanging="202"/>
      </w:pPr>
      <w:r>
        <w:rPr>
          <w:rFonts w:ascii="Aptos" w:hAnsi="Aptos"/>
          <w:color w:val="3C4650"/>
          <w:sz w:val="17"/>
        </w:rPr>
        <w:t>Where ambiguity materially affects safety, welfare, minors, privacy, legal rights, ownership, finance, evidence, retention, or access, work must pause for controlled reconciliation.</w:t>
      </w:r>
    </w:p>
    <w:p>
      <w:pPr>
        <w:pStyle w:val="ListBullet"/>
        <w:spacing w:after="40" w:line="240" w:lineRule="auto"/>
        <w:ind w:left="259" w:hanging="202"/>
      </w:pPr>
      <w:r>
        <w:rPr>
          <w:rFonts w:ascii="Aptos" w:hAnsi="Aptos"/>
          <w:color w:val="3C4650"/>
          <w:sz w:val="17"/>
        </w:rPr>
        <w:t>Version suffixes are not proof of adoption, lock, implementation authority, production authority, or public-launch authority.</w:t>
      </w:r>
      <w:r>
        <w:br/>
        <w:t>Founder-designated exception: the Security Foundational Models V1.0 package controls within its reconciled scope until expressly superseded, notwithstanding higher-numbered references elsewhere.</w:t>
      </w:r>
    </w:p>
    <w:p>
      <w:pPr>
        <w:pStyle w:val="Heading1"/>
      </w:pPr>
      <w:r>
        <w:t>3. How to Use This Index</w:t>
      </w:r>
    </w:p>
    <w:p>
      <w:pPr>
        <w:pStyle w:val="ListNumber"/>
        <w:spacing w:after="40" w:line="240" w:lineRule="auto"/>
        <w:ind w:left="288" w:hanging="230"/>
      </w:pPr>
      <w:r>
        <w:rPr>
          <w:rFonts w:ascii="Aptos" w:hAnsi="Aptos"/>
          <w:color w:val="3C4650"/>
          <w:sz w:val="17"/>
        </w:rPr>
        <w:t>Locate the closest topic in Section 5 or use the consolidated reading sets in Section 7.</w:t>
      </w:r>
    </w:p>
    <w:p>
      <w:pPr>
        <w:pStyle w:val="ListNumber"/>
        <w:spacing w:after="40" w:line="240" w:lineRule="auto"/>
        <w:ind w:left="288" w:hanging="230"/>
      </w:pPr>
      <w:r>
        <w:rPr>
          <w:rFonts w:ascii="Aptos" w:hAnsi="Aptos"/>
          <w:color w:val="3C4650"/>
          <w:sz w:val="17"/>
        </w:rPr>
        <w:t>Begin with the Start With canon family.</w:t>
      </w:r>
    </w:p>
    <w:p>
      <w:pPr>
        <w:pStyle w:val="ListNumber"/>
        <w:spacing w:after="40" w:line="240" w:lineRule="auto"/>
        <w:ind w:left="288" w:hanging="230"/>
      </w:pPr>
      <w:r>
        <w:rPr>
          <w:rFonts w:ascii="Aptos" w:hAnsi="Aptos"/>
          <w:color w:val="3C4650"/>
          <w:sz w:val="17"/>
        </w:rPr>
        <w:t>Review all Read With families that are relevant to the facts, actor, data, horse, facility, payment, workflow, or risk.</w:t>
      </w:r>
    </w:p>
    <w:p>
      <w:pPr>
        <w:pStyle w:val="ListNumber"/>
        <w:spacing w:after="40" w:line="240" w:lineRule="auto"/>
        <w:ind w:left="288" w:hanging="230"/>
      </w:pPr>
      <w:r>
        <w:rPr>
          <w:rFonts w:ascii="Aptos" w:hAnsi="Aptos"/>
          <w:color w:val="3C4650"/>
          <w:sz w:val="17"/>
        </w:rPr>
        <w:t>Open the linked Authority Matrix entry to confirm ownership and the anti-drift boundary.</w:t>
      </w:r>
    </w:p>
    <w:p>
      <w:pPr>
        <w:pStyle w:val="ListNumber"/>
        <w:spacing w:after="40" w:line="240" w:lineRule="auto"/>
        <w:ind w:left="288" w:hanging="230"/>
      </w:pPr>
      <w:r>
        <w:rPr>
          <w:rFonts w:ascii="Aptos" w:hAnsi="Aptos"/>
          <w:color w:val="3C4650"/>
          <w:sz w:val="17"/>
        </w:rPr>
        <w:t>Resolve the active version and lifecycle status through the Controlled Canon Index and Founder Decision Register.</w:t>
      </w:r>
    </w:p>
    <w:p>
      <w:pPr>
        <w:pStyle w:val="ListNumber"/>
        <w:spacing w:after="40" w:line="240" w:lineRule="auto"/>
        <w:ind w:left="288" w:hanging="230"/>
      </w:pPr>
      <w:r>
        <w:rPr>
          <w:rFonts w:ascii="Aptos" w:hAnsi="Aptos"/>
          <w:color w:val="3C4650"/>
          <w:sz w:val="17"/>
        </w:rPr>
        <w:t>Use the Vocabulary and Definitions Index for controlling meanings and aliases.</w:t>
      </w:r>
    </w:p>
    <w:p>
      <w:pPr>
        <w:pStyle w:val="Heading1"/>
      </w:pPr>
      <w:r>
        <w:t>4. Field Guide</w:t>
      </w:r>
    </w:p>
    <w:p>
      <w:pPr>
        <w:pStyle w:val="ListBullet"/>
        <w:spacing w:after="40" w:line="240" w:lineRule="auto"/>
        <w:ind w:left="259" w:hanging="202"/>
      </w:pPr>
      <w:r>
        <w:rPr>
          <w:rFonts w:ascii="Aptos" w:hAnsi="Aptos"/>
          <w:color w:val="3C4650"/>
          <w:sz w:val="17"/>
        </w:rPr>
        <w:t>XREF ID: stable locator for this Index.</w:t>
      </w:r>
    </w:p>
    <w:p>
      <w:pPr>
        <w:pStyle w:val="ListBullet"/>
        <w:spacing w:after="40" w:line="240" w:lineRule="auto"/>
        <w:ind w:left="259" w:hanging="202"/>
      </w:pPr>
      <w:r>
        <w:rPr>
          <w:rFonts w:ascii="Aptos" w:hAnsi="Aptos"/>
          <w:color w:val="3C4650"/>
          <w:sz w:val="17"/>
        </w:rPr>
        <w:t>Topic / Common Search Terms: the subject a reader is trying to govern or locate.</w:t>
      </w:r>
    </w:p>
    <w:p>
      <w:pPr>
        <w:pStyle w:val="ListBullet"/>
        <w:spacing w:after="40" w:line="240" w:lineRule="auto"/>
        <w:ind w:left="259" w:hanging="202"/>
      </w:pPr>
      <w:r>
        <w:rPr>
          <w:rFonts w:ascii="Aptos" w:hAnsi="Aptos"/>
          <w:color w:val="3C4650"/>
          <w:sz w:val="17"/>
        </w:rPr>
        <w:t>Start With: the primary constitutional owner for the subject.</w:t>
      </w:r>
    </w:p>
    <w:p>
      <w:pPr>
        <w:pStyle w:val="ListBullet"/>
        <w:spacing w:after="40" w:line="240" w:lineRule="auto"/>
        <w:ind w:left="259" w:hanging="202"/>
      </w:pPr>
      <w:r>
        <w:rPr>
          <w:rFonts w:ascii="Aptos" w:hAnsi="Aptos"/>
          <w:color w:val="3C4650"/>
          <w:sz w:val="17"/>
        </w:rPr>
        <w:t>Read With: principal supporting, boundary, evidence, or overlay authorities.</w:t>
      </w:r>
    </w:p>
    <w:p>
      <w:pPr>
        <w:pStyle w:val="ListBullet"/>
        <w:spacing w:after="40" w:line="240" w:lineRule="auto"/>
        <w:ind w:left="259" w:hanging="202"/>
      </w:pPr>
      <w:r>
        <w:rPr>
          <w:rFonts w:ascii="Aptos" w:hAnsi="Aptos"/>
          <w:color w:val="3C4650"/>
          <w:sz w:val="17"/>
        </w:rPr>
        <w:t>Authority Matrix: the corresponding ownership and precedence entry.</w:t>
      </w:r>
    </w:p>
    <w:p>
      <w:pPr>
        <w:pStyle w:val="Heading1"/>
      </w:pPr>
      <w:r>
        <w:t>5. Topic-to-Canon Cross Reference Index</w:t>
      </w:r>
    </w:p>
    <w:tbl>
      <w:tblPr>
        <w:tblW w:type="auto" w:w="0"/>
        <w:jc w:val="center"/>
        <w:tblLook w:firstColumn="1" w:firstRow="1" w:lastColumn="0" w:lastRow="0" w:noHBand="0" w:noVBand="1" w:val="04A0"/>
        <w:tblBorders>
          <w:top w:val="single" w:sz="5" w:space="0" w:color="B8C8D6"/>
          <w:left w:val="single" w:sz="5" w:space="0" w:color="B8C8D6"/>
          <w:bottom w:val="single" w:sz="5" w:space="0" w:color="B8C8D6"/>
          <w:right w:val="single" w:sz="5" w:space="0" w:color="B8C8D6"/>
          <w:insideH w:val="single" w:sz="5" w:space="0" w:color="B8C8D6"/>
          <w:insideV w:val="single" w:sz="5" w:space="0" w:color="B8C8D6"/>
        </w:tblBorders>
      </w:tblPr>
      <w:tblGrid>
        <w:gridCol w:w="10166"/>
      </w:tblGrid>
      <w:tr>
        <w:tc>
          <w:tcPr>
            <w:tcW w:type="dxa" w:w="10166"/>
            <w:shd w:fill="EEF4F8"/>
            <w:tcMar>
              <w:top w:w="100" w:type="dxa"/>
              <w:start w:w="120" w:type="dxa"/>
              <w:bottom w:w="100" w:type="dxa"/>
              <w:end w:w="120" w:type="dxa"/>
            </w:tcMar>
          </w:tcPr>
          <w:p>
            <w:pPr>
              <w:spacing w:after="0"/>
            </w:pPr>
            <w:r>
              <w:rPr>
                <w:rFonts w:ascii="Aptos" w:hAnsi="Aptos"/>
                <w:b/>
                <w:color w:val="0B2748"/>
                <w:sz w:val="18"/>
              </w:rPr>
              <w:t xml:space="preserve">Reading rule: </w:t>
            </w:r>
            <w:r>
              <w:rPr>
                <w:rFonts w:ascii="Aptos" w:hAnsi="Aptos"/>
                <w:color w:val="3C4650"/>
                <w:sz w:val="18"/>
              </w:rPr>
              <w:t>The Start With canon owns the subject. Read With canons constrain, evidence, or apply the rule but do not silently take ownership.</w:t>
            </w:r>
          </w:p>
        </w:tc>
      </w:tr>
    </w:tbl>
    <w:p>
      <w:pPr>
        <w:spacing w:after="0"/>
      </w:pPr>
    </w:p>
    <w:p>
      <w:pPr>
        <w:pStyle w:val="Heading2"/>
      </w:pPr>
      <w:r>
        <w:t>A. Constitutional System, Hierarchy, and Interpretation</w:t>
      </w:r>
    </w:p>
    <w:tbl>
      <w:tblPr>
        <w:tblW w:type="auto" w:w="0"/>
        <w:jc w:val="center"/>
        <w:tblLayout w:type="fixed"/>
        <w:tblLook w:firstColumn="1" w:firstRow="1" w:lastColumn="0" w:lastRow="0" w:noHBand="0" w:noVBand="1" w:val="04A0"/>
        <w:tblBorders>
          <w:top w:val="single" w:sz="4" w:space="0" w:color="A7B5C3"/>
          <w:left w:val="single" w:sz="4" w:space="0" w:color="A7B5C3"/>
          <w:bottom w:val="single" w:sz="4" w:space="0" w:color="A7B5C3"/>
          <w:right w:val="single" w:sz="4" w:space="0" w:color="A7B5C3"/>
          <w:insideH w:val="single" w:sz="4" w:space="0" w:color="A7B5C3"/>
          <w:insideV w:val="single" w:sz="4" w:space="0" w:color="A7B5C3"/>
        </w:tblBorders>
      </w:tblPr>
      <w:tblGrid>
        <w:gridCol w:w="2033"/>
        <w:gridCol w:w="2033"/>
        <w:gridCol w:w="2033"/>
        <w:gridCol w:w="2033"/>
        <w:gridCol w:w="2033"/>
      </w:tblGrid>
      <w:tr>
        <w:trPr>
          <w:tblHeader w:val="true"/>
        </w:trPr>
        <w:tc>
          <w:tcPr>
            <w:tcW w:type="dxa" w:w="864"/>
            <w:shd w:fill="0B2748"/>
            <w:tcMar>
              <w:top w:w="70" w:type="dxa"/>
              <w:start w:w="55" w:type="dxa"/>
              <w:bottom w:w="70" w:type="dxa"/>
              <w:end w:w="55" w:type="dxa"/>
            </w:tcMar>
            <w:vAlign w:val="center"/>
          </w:tcPr>
          <w:p>
            <w:pPr>
              <w:spacing w:after="0"/>
              <w:jc w:val="center"/>
            </w:pPr>
            <w:r>
              <w:rPr>
                <w:rFonts w:ascii="Aptos" w:hAnsi="Aptos"/>
                <w:b/>
                <w:color w:val="FFFFFF"/>
                <w:sz w:val="13"/>
              </w:rPr>
              <w:t>XREF ID</w:t>
            </w:r>
          </w:p>
        </w:tc>
        <w:tc>
          <w:tcPr>
            <w:tcW w:type="dxa" w:w="2534"/>
            <w:shd w:fill="0B2748"/>
            <w:tcMar>
              <w:top w:w="70" w:type="dxa"/>
              <w:start w:w="55" w:type="dxa"/>
              <w:bottom w:w="70" w:type="dxa"/>
              <w:end w:w="55" w:type="dxa"/>
            </w:tcMar>
            <w:vAlign w:val="center"/>
          </w:tcPr>
          <w:p>
            <w:pPr>
              <w:spacing w:after="0"/>
              <w:jc w:val="center"/>
            </w:pPr>
            <w:r>
              <w:rPr>
                <w:rFonts w:ascii="Aptos" w:hAnsi="Aptos"/>
                <w:b/>
                <w:color w:val="FFFFFF"/>
                <w:sz w:val="13"/>
              </w:rPr>
              <w:t>Topic / Common Search Terms</w:t>
            </w:r>
          </w:p>
        </w:tc>
        <w:tc>
          <w:tcPr>
            <w:tcW w:type="dxa" w:w="2088"/>
            <w:shd w:fill="0B2748"/>
            <w:tcMar>
              <w:top w:w="70" w:type="dxa"/>
              <w:start w:w="55" w:type="dxa"/>
              <w:bottom w:w="70" w:type="dxa"/>
              <w:end w:w="55" w:type="dxa"/>
            </w:tcMar>
            <w:vAlign w:val="center"/>
          </w:tcPr>
          <w:p>
            <w:pPr>
              <w:spacing w:after="0"/>
              <w:jc w:val="center"/>
            </w:pPr>
            <w:r>
              <w:rPr>
                <w:rFonts w:ascii="Aptos" w:hAnsi="Aptos"/>
                <w:b/>
                <w:color w:val="FFFFFF"/>
                <w:sz w:val="13"/>
              </w:rPr>
              <w:t>Start With</w:t>
            </w:r>
          </w:p>
        </w:tc>
        <w:tc>
          <w:tcPr>
            <w:tcW w:type="dxa" w:w="3542"/>
            <w:shd w:fill="0B2748"/>
            <w:tcMar>
              <w:top w:w="70" w:type="dxa"/>
              <w:start w:w="55" w:type="dxa"/>
              <w:bottom w:w="70" w:type="dxa"/>
              <w:end w:w="55" w:type="dxa"/>
            </w:tcMar>
            <w:vAlign w:val="center"/>
          </w:tcPr>
          <w:p>
            <w:pPr>
              <w:spacing w:after="0"/>
              <w:jc w:val="center"/>
            </w:pPr>
            <w:r>
              <w:rPr>
                <w:rFonts w:ascii="Aptos" w:hAnsi="Aptos"/>
                <w:b/>
                <w:color w:val="FFFFFF"/>
                <w:sz w:val="13"/>
              </w:rPr>
              <w:t>Read With</w:t>
            </w:r>
          </w:p>
        </w:tc>
        <w:tc>
          <w:tcPr>
            <w:tcW w:type="dxa" w:w="1051"/>
            <w:shd w:fill="0B2748"/>
            <w:tcMar>
              <w:top w:w="70" w:type="dxa"/>
              <w:start w:w="55" w:type="dxa"/>
              <w:bottom w:w="70" w:type="dxa"/>
              <w:end w:w="55" w:type="dxa"/>
            </w:tcMar>
            <w:vAlign w:val="center"/>
          </w:tcPr>
          <w:p>
            <w:pPr>
              <w:spacing w:after="0"/>
              <w:jc w:val="center"/>
            </w:pPr>
            <w:r>
              <w:rPr>
                <w:rFonts w:ascii="Aptos" w:hAnsi="Aptos"/>
                <w:b/>
                <w:color w:val="FFFFFF"/>
                <w:sz w:val="13"/>
              </w:rPr>
              <w:t>Authority Matrix</w:t>
            </w:r>
          </w:p>
        </w:tc>
      </w:tr>
      <w:tr>
        <w:trPr/>
        <w:tc>
          <w:tcPr>
            <w:tcW w:type="dxa" w:w="864"/>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XREF-001</w:t>
            </w:r>
          </w:p>
        </w:tc>
        <w:tc>
          <w:tcPr>
            <w:tcW w:type="dxa" w:w="2534"/>
            <w:tcMar>
              <w:top w:w="45" w:type="dxa"/>
              <w:start w:w="45" w:type="dxa"/>
              <w:bottom w:w="45" w:type="dxa"/>
              <w:end w:w="45" w:type="dxa"/>
            </w:tcMar>
            <w:vAlign w:val="top"/>
            <w:shd w:fill="FFFFFF"/>
          </w:tcPr>
          <w:p>
            <w:pPr>
              <w:spacing w:after="0" w:line="228" w:lineRule="auto"/>
            </w:pPr>
            <w:r>
              <w:rPr>
                <w:rFonts w:ascii="Aptos" w:hAnsi="Aptos"/>
                <w:b w:val="0"/>
                <w:color w:val="3C4650"/>
                <w:sz w:val="12"/>
              </w:rPr>
              <w:t>Product purpose, promise, product doctrine, and enduring boundaries</w:t>
            </w:r>
          </w:p>
        </w:tc>
        <w:tc>
          <w:tcPr>
            <w:tcW w:type="dxa" w:w="2088"/>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Product Vision</w:t>
            </w:r>
          </w:p>
        </w:tc>
        <w:tc>
          <w:tcPr>
            <w:tcW w:type="dxa" w:w="3542"/>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Ecosystem Model; all specialized canon</w:t>
            </w:r>
          </w:p>
        </w:tc>
        <w:tc>
          <w:tcPr>
            <w:tcW w:type="dxa" w:w="1051"/>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AUTH-001</w:t>
            </w:r>
          </w:p>
        </w:tc>
      </w:tr>
      <w:tr>
        <w:trPr/>
        <w:tc>
          <w:tcPr>
            <w:tcW w:type="dxa" w:w="864"/>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XREF-002</w:t>
            </w:r>
          </w:p>
        </w:tc>
        <w:tc>
          <w:tcPr>
            <w:tcW w:type="dxa" w:w="2534"/>
            <w:tcMar>
              <w:top w:w="45" w:type="dxa"/>
              <w:start w:w="45" w:type="dxa"/>
              <w:bottom w:w="45" w:type="dxa"/>
              <w:end w:w="45" w:type="dxa"/>
            </w:tcMar>
            <w:vAlign w:val="top"/>
            <w:shd w:fill="EEF4F8"/>
          </w:tcPr>
          <w:p>
            <w:pPr>
              <w:spacing w:after="0" w:line="228" w:lineRule="auto"/>
            </w:pPr>
            <w:r>
              <w:rPr>
                <w:rFonts w:ascii="Aptos" w:hAnsi="Aptos"/>
                <w:b w:val="0"/>
                <w:color w:val="3C4650"/>
                <w:sz w:val="12"/>
              </w:rPr>
              <w:t>Ecosystem entities, major systems, and structural domain relationships</w:t>
            </w:r>
          </w:p>
        </w:tc>
        <w:tc>
          <w:tcPr>
            <w:tcW w:type="dxa" w:w="2088"/>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Ecosystem Model</w:t>
            </w:r>
          </w:p>
        </w:tc>
        <w:tc>
          <w:tcPr>
            <w:tcW w:type="dxa" w:w="3542"/>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Product Vision; Master Relationship Model; lifecycle canons</w:t>
            </w:r>
          </w:p>
        </w:tc>
        <w:tc>
          <w:tcPr>
            <w:tcW w:type="dxa" w:w="1051"/>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AUTH-002</w:t>
            </w:r>
          </w:p>
        </w:tc>
      </w:tr>
      <w:tr>
        <w:trPr/>
        <w:tc>
          <w:tcPr>
            <w:tcW w:type="dxa" w:w="864"/>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XREF-003</w:t>
            </w:r>
          </w:p>
        </w:tc>
        <w:tc>
          <w:tcPr>
            <w:tcW w:type="dxa" w:w="2534"/>
            <w:tcMar>
              <w:top w:w="45" w:type="dxa"/>
              <w:start w:w="45" w:type="dxa"/>
              <w:bottom w:w="45" w:type="dxa"/>
              <w:end w:w="45" w:type="dxa"/>
            </w:tcMar>
            <w:vAlign w:val="top"/>
            <w:shd w:fill="FFFFFF"/>
          </w:tcPr>
          <w:p>
            <w:pPr>
              <w:spacing w:after="0" w:line="228" w:lineRule="auto"/>
            </w:pPr>
            <w:r>
              <w:rPr>
                <w:rFonts w:ascii="Aptos" w:hAnsi="Aptos"/>
                <w:b w:val="0"/>
                <w:color w:val="3C4650"/>
                <w:sz w:val="12"/>
              </w:rPr>
              <w:t>Active constitutional inventory, document status, versions, and checksums</w:t>
            </w:r>
          </w:p>
        </w:tc>
        <w:tc>
          <w:tcPr>
            <w:tcW w:type="dxa" w:w="2088"/>
            <w:tcMar>
              <w:top w:w="45" w:type="dxa"/>
              <w:start w:w="45" w:type="dxa"/>
              <w:bottom w:w="45" w:type="dxa"/>
              <w:end w:w="45" w:type="dxa"/>
            </w:tcMar>
            <w:vAlign w:val="top"/>
            <w:shd w:fill="FFFFFF"/>
          </w:tcPr>
          <w:p>
            <w:pPr>
              <w:spacing w:after="0" w:line="228" w:lineRule="auto"/>
            </w:pPr>
            <w:r>
              <w:rPr>
                <w:rFonts w:ascii="Aptos" w:hAnsi="Aptos"/>
                <w:b w:val="0"/>
                <w:color w:val="3C4650"/>
                <w:sz w:val="12"/>
              </w:rPr>
              <w:t>Controlled Canon Index and Constitutional Completeness Register</w:t>
            </w:r>
          </w:p>
        </w:tc>
        <w:tc>
          <w:tcPr>
            <w:tcW w:type="dxa" w:w="3542"/>
            <w:tcMar>
              <w:top w:w="45" w:type="dxa"/>
              <w:start w:w="45" w:type="dxa"/>
              <w:bottom w:w="45" w:type="dxa"/>
              <w:end w:w="45" w:type="dxa"/>
            </w:tcMar>
            <w:vAlign w:val="top"/>
            <w:shd w:fill="FFFFFF"/>
          </w:tcPr>
          <w:p>
            <w:pPr>
              <w:spacing w:after="0" w:line="228" w:lineRule="auto"/>
            </w:pPr>
            <w:r>
              <w:rPr>
                <w:rFonts w:ascii="Aptos" w:hAnsi="Aptos"/>
                <w:b w:val="0"/>
                <w:color w:val="3C4650"/>
                <w:sz w:val="12"/>
              </w:rPr>
              <w:t>Founder Decision Register and Adoption Evidence; publication-control inventory</w:t>
            </w:r>
          </w:p>
        </w:tc>
        <w:tc>
          <w:tcPr>
            <w:tcW w:type="dxa" w:w="1051"/>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AUTH-003</w:t>
            </w:r>
          </w:p>
        </w:tc>
      </w:tr>
      <w:tr>
        <w:trPr/>
        <w:tc>
          <w:tcPr>
            <w:tcW w:type="dxa" w:w="864"/>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XREF-004</w:t>
            </w:r>
          </w:p>
        </w:tc>
        <w:tc>
          <w:tcPr>
            <w:tcW w:type="dxa" w:w="2534"/>
            <w:tcMar>
              <w:top w:w="45" w:type="dxa"/>
              <w:start w:w="45" w:type="dxa"/>
              <w:bottom w:w="45" w:type="dxa"/>
              <w:end w:w="45" w:type="dxa"/>
            </w:tcMar>
            <w:vAlign w:val="top"/>
            <w:shd w:fill="EEF4F8"/>
          </w:tcPr>
          <w:p>
            <w:pPr>
              <w:spacing w:after="0" w:line="228" w:lineRule="auto"/>
            </w:pPr>
            <w:r>
              <w:rPr>
                <w:rFonts w:ascii="Aptos" w:hAnsi="Aptos"/>
                <w:b w:val="0"/>
                <w:color w:val="3C4650"/>
                <w:sz w:val="12"/>
              </w:rPr>
              <w:t>Canonical vocabulary, definitions, and term aliases</w:t>
            </w:r>
          </w:p>
        </w:tc>
        <w:tc>
          <w:tcPr>
            <w:tcW w:type="dxa" w:w="2088"/>
            <w:tcMar>
              <w:top w:w="45" w:type="dxa"/>
              <w:start w:w="45" w:type="dxa"/>
              <w:bottom w:w="45" w:type="dxa"/>
              <w:end w:w="45" w:type="dxa"/>
            </w:tcMar>
            <w:vAlign w:val="top"/>
            <w:shd w:fill="EEF4F8"/>
          </w:tcPr>
          <w:p>
            <w:pPr>
              <w:spacing w:after="0" w:line="228" w:lineRule="auto"/>
            </w:pPr>
            <w:r>
              <w:rPr>
                <w:rFonts w:ascii="Aptos" w:hAnsi="Aptos"/>
                <w:b w:val="0"/>
                <w:color w:val="3C4650"/>
                <w:sz w:val="12"/>
              </w:rPr>
              <w:t>Constitutional Vocabulary and Definitions Index</w:t>
            </w:r>
          </w:p>
        </w:tc>
        <w:tc>
          <w:tcPr>
            <w:tcW w:type="dxa" w:w="3542"/>
            <w:tcMar>
              <w:top w:w="45" w:type="dxa"/>
              <w:start w:w="45" w:type="dxa"/>
              <w:bottom w:w="45" w:type="dxa"/>
              <w:end w:w="45" w:type="dxa"/>
            </w:tcMar>
            <w:vAlign w:val="top"/>
            <w:shd w:fill="EEF4F8"/>
          </w:tcPr>
          <w:p>
            <w:pPr>
              <w:spacing w:after="0" w:line="228" w:lineRule="auto"/>
            </w:pPr>
            <w:r>
              <w:rPr>
                <w:rFonts w:ascii="Aptos" w:hAnsi="Aptos"/>
                <w:b w:val="0"/>
                <w:color w:val="3C4650"/>
                <w:sz w:val="12"/>
              </w:rPr>
              <w:t>Constitutional Domain Ownership and Boundary Register; Cross-Canon Reference Normalization Register; source canon for each term</w:t>
            </w:r>
          </w:p>
        </w:tc>
        <w:tc>
          <w:tcPr>
            <w:tcW w:type="dxa" w:w="1051"/>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AUTH-004</w:t>
            </w:r>
          </w:p>
        </w:tc>
      </w:tr>
      <w:tr>
        <w:trPr/>
        <w:tc>
          <w:tcPr>
            <w:tcW w:type="dxa" w:w="864"/>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XREF-005</w:t>
            </w:r>
          </w:p>
        </w:tc>
        <w:tc>
          <w:tcPr>
            <w:tcW w:type="dxa" w:w="2534"/>
            <w:tcMar>
              <w:top w:w="45" w:type="dxa"/>
              <w:start w:w="45" w:type="dxa"/>
              <w:bottom w:w="45" w:type="dxa"/>
              <w:end w:w="45" w:type="dxa"/>
            </w:tcMar>
            <w:vAlign w:val="top"/>
            <w:shd w:fill="FFFFFF"/>
          </w:tcPr>
          <w:p>
            <w:pPr>
              <w:spacing w:after="0" w:line="228" w:lineRule="auto"/>
            </w:pPr>
            <w:r>
              <w:rPr>
                <w:rFonts w:ascii="Aptos" w:hAnsi="Aptos"/>
                <w:b w:val="0"/>
                <w:color w:val="3C4650"/>
                <w:sz w:val="12"/>
              </w:rPr>
              <w:t>Constitutional domain ownership and boundaries</w:t>
            </w:r>
          </w:p>
        </w:tc>
        <w:tc>
          <w:tcPr>
            <w:tcW w:type="dxa" w:w="2088"/>
            <w:tcMar>
              <w:top w:w="45" w:type="dxa"/>
              <w:start w:w="45" w:type="dxa"/>
              <w:bottom w:w="45" w:type="dxa"/>
              <w:end w:w="45" w:type="dxa"/>
            </w:tcMar>
            <w:vAlign w:val="top"/>
            <w:shd w:fill="FFFFFF"/>
          </w:tcPr>
          <w:p>
            <w:pPr>
              <w:spacing w:after="0" w:line="228" w:lineRule="auto"/>
            </w:pPr>
            <w:r>
              <w:rPr>
                <w:rFonts w:ascii="Aptos" w:hAnsi="Aptos"/>
                <w:b w:val="0"/>
                <w:color w:val="3C4650"/>
                <w:sz w:val="12"/>
              </w:rPr>
              <w:t>Constitutional Domain Ownership and Boundary Register</w:t>
            </w:r>
          </w:p>
        </w:tc>
        <w:tc>
          <w:tcPr>
            <w:tcW w:type="dxa" w:w="3542"/>
            <w:tcMar>
              <w:top w:w="45" w:type="dxa"/>
              <w:start w:w="45" w:type="dxa"/>
              <w:bottom w:w="45" w:type="dxa"/>
              <w:end w:w="45" w:type="dxa"/>
            </w:tcMar>
            <w:vAlign w:val="top"/>
            <w:shd w:fill="FFFFFF"/>
          </w:tcPr>
          <w:p>
            <w:pPr>
              <w:spacing w:after="0" w:line="228" w:lineRule="auto"/>
            </w:pPr>
            <w:r>
              <w:rPr>
                <w:rFonts w:ascii="Aptos" w:hAnsi="Aptos"/>
                <w:b w:val="0"/>
                <w:color w:val="3C4650"/>
                <w:sz w:val="12"/>
              </w:rPr>
              <w:t>Controlled Canon Index and Constitutional Completeness Register; this Matrix; cross-canon reconciliation records</w:t>
            </w:r>
          </w:p>
        </w:tc>
        <w:tc>
          <w:tcPr>
            <w:tcW w:type="dxa" w:w="1051"/>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AUTH-005</w:t>
            </w:r>
          </w:p>
        </w:tc>
      </w:tr>
      <w:tr>
        <w:trPr/>
        <w:tc>
          <w:tcPr>
            <w:tcW w:type="dxa" w:w="864"/>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XREF-006</w:t>
            </w:r>
          </w:p>
        </w:tc>
        <w:tc>
          <w:tcPr>
            <w:tcW w:type="dxa" w:w="2534"/>
            <w:tcMar>
              <w:top w:w="45" w:type="dxa"/>
              <w:start w:w="45" w:type="dxa"/>
              <w:bottom w:w="45" w:type="dxa"/>
              <w:end w:w="45" w:type="dxa"/>
            </w:tcMar>
            <w:vAlign w:val="top"/>
            <w:shd w:fill="EEF4F8"/>
          </w:tcPr>
          <w:p>
            <w:pPr>
              <w:spacing w:after="0" w:line="228" w:lineRule="auto"/>
            </w:pPr>
            <w:r>
              <w:rPr>
                <w:rFonts w:ascii="Aptos" w:hAnsi="Aptos"/>
                <w:b w:val="0"/>
                <w:color w:val="3C4650"/>
                <w:sz w:val="12"/>
              </w:rPr>
              <w:t>Canonical titles, successor references, and cross-canon naming</w:t>
            </w:r>
          </w:p>
        </w:tc>
        <w:tc>
          <w:tcPr>
            <w:tcW w:type="dxa" w:w="2088"/>
            <w:tcMar>
              <w:top w:w="45" w:type="dxa"/>
              <w:start w:w="45" w:type="dxa"/>
              <w:bottom w:w="45" w:type="dxa"/>
              <w:end w:w="45" w:type="dxa"/>
            </w:tcMar>
            <w:vAlign w:val="top"/>
            <w:shd w:fill="EEF4F8"/>
          </w:tcPr>
          <w:p>
            <w:pPr>
              <w:spacing w:after="0" w:line="228" w:lineRule="auto"/>
            </w:pPr>
            <w:r>
              <w:rPr>
                <w:rFonts w:ascii="Aptos" w:hAnsi="Aptos"/>
                <w:b w:val="0"/>
                <w:color w:val="3C4650"/>
                <w:sz w:val="12"/>
              </w:rPr>
              <w:t>Cross-Canon Reference Normalization Register</w:t>
            </w:r>
          </w:p>
        </w:tc>
        <w:tc>
          <w:tcPr>
            <w:tcW w:type="dxa" w:w="3542"/>
            <w:tcMar>
              <w:top w:w="45" w:type="dxa"/>
              <w:start w:w="45" w:type="dxa"/>
              <w:bottom w:w="45" w:type="dxa"/>
              <w:end w:w="45" w:type="dxa"/>
            </w:tcMar>
            <w:vAlign w:val="top"/>
            <w:shd w:fill="EEF4F8"/>
          </w:tcPr>
          <w:p>
            <w:pPr>
              <w:spacing w:after="0" w:line="228" w:lineRule="auto"/>
            </w:pPr>
            <w:r>
              <w:rPr>
                <w:rFonts w:ascii="Aptos" w:hAnsi="Aptos"/>
                <w:b w:val="0"/>
                <w:color w:val="3C4650"/>
                <w:sz w:val="12"/>
              </w:rPr>
              <w:t>Controlled Canon Index and Constitutional Completeness Register; successor acceptance records</w:t>
            </w:r>
          </w:p>
        </w:tc>
        <w:tc>
          <w:tcPr>
            <w:tcW w:type="dxa" w:w="1051"/>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AUTH-006</w:t>
            </w:r>
          </w:p>
        </w:tc>
      </w:tr>
      <w:tr>
        <w:trPr/>
        <w:tc>
          <w:tcPr>
            <w:tcW w:type="dxa" w:w="864"/>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XREF-007</w:t>
            </w:r>
          </w:p>
        </w:tc>
        <w:tc>
          <w:tcPr>
            <w:tcW w:type="dxa" w:w="2534"/>
            <w:tcMar>
              <w:top w:w="45" w:type="dxa"/>
              <w:start w:w="45" w:type="dxa"/>
              <w:bottom w:w="45" w:type="dxa"/>
              <w:end w:w="45" w:type="dxa"/>
            </w:tcMar>
            <w:vAlign w:val="top"/>
            <w:shd w:fill="FFFFFF"/>
          </w:tcPr>
          <w:p>
            <w:pPr>
              <w:spacing w:after="0" w:line="228" w:lineRule="auto"/>
            </w:pPr>
            <w:r>
              <w:rPr>
                <w:rFonts w:ascii="Aptos" w:hAnsi="Aptos"/>
                <w:b w:val="0"/>
                <w:color w:val="3C4650"/>
                <w:sz w:val="12"/>
              </w:rPr>
              <w:t>Founder decisions, constitutional acceptance, adoption, and legislative history</w:t>
            </w:r>
          </w:p>
        </w:tc>
        <w:tc>
          <w:tcPr>
            <w:tcW w:type="dxa" w:w="2088"/>
            <w:tcMar>
              <w:top w:w="45" w:type="dxa"/>
              <w:start w:w="45" w:type="dxa"/>
              <w:bottom w:w="45" w:type="dxa"/>
              <w:end w:w="45" w:type="dxa"/>
            </w:tcMar>
            <w:vAlign w:val="top"/>
            <w:shd w:fill="FFFFFF"/>
          </w:tcPr>
          <w:p>
            <w:pPr>
              <w:spacing w:after="0" w:line="228" w:lineRule="auto"/>
            </w:pPr>
            <w:r>
              <w:rPr>
                <w:rFonts w:ascii="Aptos" w:hAnsi="Aptos"/>
                <w:b w:val="0"/>
                <w:color w:val="3C4650"/>
                <w:sz w:val="12"/>
              </w:rPr>
              <w:t>Founder Decision Register and Adoption Evidence</w:t>
            </w:r>
          </w:p>
        </w:tc>
        <w:tc>
          <w:tcPr>
            <w:tcW w:type="dxa" w:w="3542"/>
            <w:tcMar>
              <w:top w:w="45" w:type="dxa"/>
              <w:start w:w="45" w:type="dxa"/>
              <w:bottom w:w="45" w:type="dxa"/>
              <w:end w:w="45" w:type="dxa"/>
            </w:tcMar>
            <w:vAlign w:val="top"/>
            <w:shd w:fill="FFFFFF"/>
          </w:tcPr>
          <w:p>
            <w:pPr>
              <w:spacing w:after="0" w:line="228" w:lineRule="auto"/>
            </w:pPr>
            <w:r>
              <w:rPr>
                <w:rFonts w:ascii="Aptos" w:hAnsi="Aptos"/>
                <w:b w:val="0"/>
                <w:color w:val="3C4650"/>
                <w:sz w:val="12"/>
              </w:rPr>
              <w:t>Controlled Canon Index and Constitutional Completeness Register; amendment records; RF ledgers</w:t>
            </w:r>
          </w:p>
        </w:tc>
        <w:tc>
          <w:tcPr>
            <w:tcW w:type="dxa" w:w="1051"/>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AUTH-007</w:t>
            </w:r>
          </w:p>
        </w:tc>
      </w:tr>
      <w:tr>
        <w:trPr/>
        <w:tc>
          <w:tcPr>
            <w:tcW w:type="dxa" w:w="864"/>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XREF-008</w:t>
            </w:r>
          </w:p>
        </w:tc>
        <w:tc>
          <w:tcPr>
            <w:tcW w:type="dxa" w:w="2534"/>
            <w:tcMar>
              <w:top w:w="45" w:type="dxa"/>
              <w:start w:w="45" w:type="dxa"/>
              <w:bottom w:w="45" w:type="dxa"/>
              <w:end w:w="45" w:type="dxa"/>
            </w:tcMar>
            <w:vAlign w:val="top"/>
            <w:shd w:fill="EEF4F8"/>
          </w:tcPr>
          <w:p>
            <w:pPr>
              <w:spacing w:after="0" w:line="228" w:lineRule="auto"/>
            </w:pPr>
            <w:r>
              <w:rPr>
                <w:rFonts w:ascii="Aptos" w:hAnsi="Aptos"/>
                <w:b w:val="0"/>
                <w:color w:val="3C4650"/>
                <w:sz w:val="12"/>
              </w:rPr>
              <w:t>Constitutional amendment, supersession, and newest-version resolution</w:t>
            </w:r>
          </w:p>
        </w:tc>
        <w:tc>
          <w:tcPr>
            <w:tcW w:type="dxa" w:w="2088"/>
            <w:tcMar>
              <w:top w:w="45" w:type="dxa"/>
              <w:start w:w="45" w:type="dxa"/>
              <w:bottom w:w="45" w:type="dxa"/>
              <w:end w:w="45" w:type="dxa"/>
            </w:tcMar>
            <w:vAlign w:val="top"/>
            <w:shd w:fill="EEF4F8"/>
          </w:tcPr>
          <w:p>
            <w:pPr>
              <w:spacing w:after="0" w:line="228" w:lineRule="auto"/>
            </w:pPr>
            <w:r>
              <w:rPr>
                <w:rFonts w:ascii="Aptos" w:hAnsi="Aptos"/>
                <w:b w:val="0"/>
                <w:color w:val="3C4650"/>
                <w:sz w:val="12"/>
              </w:rPr>
              <w:t>Controlled Canon Index and Constitutional Completeness Register</w:t>
            </w:r>
          </w:p>
        </w:tc>
        <w:tc>
          <w:tcPr>
            <w:tcW w:type="dxa" w:w="3542"/>
            <w:tcMar>
              <w:top w:w="45" w:type="dxa"/>
              <w:start w:w="45" w:type="dxa"/>
              <w:bottom w:w="45" w:type="dxa"/>
              <w:end w:w="45" w:type="dxa"/>
            </w:tcMar>
            <w:vAlign w:val="top"/>
            <w:shd w:fill="EEF4F8"/>
          </w:tcPr>
          <w:p>
            <w:pPr>
              <w:spacing w:after="0" w:line="228" w:lineRule="auto"/>
            </w:pPr>
            <w:r>
              <w:rPr>
                <w:rFonts w:ascii="Aptos" w:hAnsi="Aptos"/>
                <w:b w:val="0"/>
                <w:color w:val="3C4650"/>
                <w:sz w:val="12"/>
              </w:rPr>
              <w:t>Founder Decision Register and Adoption Evidence; Cross-Canon Reference Normalization Register; change history</w:t>
            </w:r>
          </w:p>
        </w:tc>
        <w:tc>
          <w:tcPr>
            <w:tcW w:type="dxa" w:w="1051"/>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AUTH-008</w:t>
            </w:r>
          </w:p>
        </w:tc>
      </w:tr>
      <w:tr>
        <w:trPr/>
        <w:tc>
          <w:tcPr>
            <w:tcW w:type="dxa" w:w="864"/>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XREF-009</w:t>
            </w:r>
          </w:p>
        </w:tc>
        <w:tc>
          <w:tcPr>
            <w:tcW w:type="dxa" w:w="2534"/>
            <w:tcMar>
              <w:top w:w="45" w:type="dxa"/>
              <w:start w:w="45" w:type="dxa"/>
              <w:bottom w:w="45" w:type="dxa"/>
              <w:end w:w="45" w:type="dxa"/>
            </w:tcMar>
            <w:vAlign w:val="top"/>
            <w:shd w:fill="FFFFFF"/>
          </w:tcPr>
          <w:p>
            <w:pPr>
              <w:spacing w:after="0" w:line="228" w:lineRule="auto"/>
            </w:pPr>
            <w:r>
              <w:rPr>
                <w:rFonts w:ascii="Aptos" w:hAnsi="Aptos"/>
                <w:b w:val="0"/>
                <w:color w:val="3C4650"/>
                <w:sz w:val="12"/>
              </w:rPr>
              <w:t>Cross-canon conflict identification and reconciliation</w:t>
            </w:r>
          </w:p>
        </w:tc>
        <w:tc>
          <w:tcPr>
            <w:tcW w:type="dxa" w:w="2088"/>
            <w:tcMar>
              <w:top w:w="45" w:type="dxa"/>
              <w:start w:w="45" w:type="dxa"/>
              <w:bottom w:w="45" w:type="dxa"/>
              <w:end w:w="45" w:type="dxa"/>
            </w:tcMar>
            <w:vAlign w:val="top"/>
            <w:shd w:fill="FFFFFF"/>
          </w:tcPr>
          <w:p>
            <w:pPr>
              <w:spacing w:after="0" w:line="228" w:lineRule="auto"/>
            </w:pPr>
            <w:r>
              <w:rPr>
                <w:rFonts w:ascii="Aptos" w:hAnsi="Aptos"/>
                <w:b w:val="0"/>
                <w:color w:val="3C4650"/>
                <w:sz w:val="12"/>
              </w:rPr>
              <w:t>Constitutional Domain Ownership and Boundary Register</w:t>
            </w:r>
          </w:p>
        </w:tc>
        <w:tc>
          <w:tcPr>
            <w:tcW w:type="dxa" w:w="3542"/>
            <w:tcMar>
              <w:top w:w="45" w:type="dxa"/>
              <w:start w:w="45" w:type="dxa"/>
              <w:bottom w:w="45" w:type="dxa"/>
              <w:end w:w="45" w:type="dxa"/>
            </w:tcMar>
            <w:vAlign w:val="top"/>
            <w:shd w:fill="FFFFFF"/>
          </w:tcPr>
          <w:p>
            <w:pPr>
              <w:spacing w:after="0" w:line="228" w:lineRule="auto"/>
            </w:pPr>
            <w:r>
              <w:rPr>
                <w:rFonts w:ascii="Aptos" w:hAnsi="Aptos"/>
                <w:b w:val="0"/>
                <w:color w:val="3C4650"/>
                <w:sz w:val="12"/>
              </w:rPr>
              <w:t>Controlled Canon Index and Constitutional Completeness Register; affected specialized canons; reconciliation memoranda</w:t>
            </w:r>
          </w:p>
        </w:tc>
        <w:tc>
          <w:tcPr>
            <w:tcW w:type="dxa" w:w="1051"/>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AUTH-009</w:t>
            </w:r>
          </w:p>
        </w:tc>
      </w:tr>
      <w:tr>
        <w:trPr/>
        <w:tc>
          <w:tcPr>
            <w:tcW w:type="dxa" w:w="864"/>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XREF-010</w:t>
            </w:r>
          </w:p>
        </w:tc>
        <w:tc>
          <w:tcPr>
            <w:tcW w:type="dxa" w:w="2534"/>
            <w:tcMar>
              <w:top w:w="45" w:type="dxa"/>
              <w:start w:w="45" w:type="dxa"/>
              <w:bottom w:w="45" w:type="dxa"/>
              <w:end w:w="45" w:type="dxa"/>
            </w:tcMar>
            <w:vAlign w:val="top"/>
            <w:shd w:fill="EEF4F8"/>
          </w:tcPr>
          <w:p>
            <w:pPr>
              <w:spacing w:after="0" w:line="228" w:lineRule="auto"/>
            </w:pPr>
            <w:r>
              <w:rPr>
                <w:rFonts w:ascii="Aptos" w:hAnsi="Aptos"/>
                <w:b w:val="0"/>
                <w:color w:val="3C4650"/>
                <w:sz w:val="12"/>
              </w:rPr>
              <w:t>Implementation sequencing and execution orchestration</w:t>
            </w:r>
          </w:p>
        </w:tc>
        <w:tc>
          <w:tcPr>
            <w:tcW w:type="dxa" w:w="2088"/>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EquineSync Implementation Atlas and Authorized RF Packages</w:t>
            </w:r>
          </w:p>
        </w:tc>
        <w:tc>
          <w:tcPr>
            <w:tcW w:type="dxa" w:w="3542"/>
            <w:tcMar>
              <w:top w:w="45" w:type="dxa"/>
              <w:start w:w="45" w:type="dxa"/>
              <w:bottom w:w="45" w:type="dxa"/>
              <w:end w:w="45" w:type="dxa"/>
            </w:tcMar>
            <w:vAlign w:val="top"/>
            <w:shd w:fill="EEF4F8"/>
          </w:tcPr>
          <w:p>
            <w:pPr>
              <w:spacing w:after="0" w:line="228" w:lineRule="auto"/>
            </w:pPr>
            <w:r>
              <w:rPr>
                <w:rFonts w:ascii="Aptos" w:hAnsi="Aptos"/>
                <w:b w:val="0"/>
                <w:color w:val="3C4650"/>
                <w:sz w:val="12"/>
              </w:rPr>
              <w:t>Controlled Canon Index and Constitutional Completeness Register; all applicable canon; release authority</w:t>
            </w:r>
          </w:p>
        </w:tc>
        <w:tc>
          <w:tcPr>
            <w:tcW w:type="dxa" w:w="1051"/>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AUTH-010</w:t>
            </w:r>
          </w:p>
        </w:tc>
      </w:tr>
    </w:tbl>
    <w:p>
      <w:pPr>
        <w:spacing w:after="0"/>
      </w:pPr>
    </w:p>
    <w:p>
      <w:pPr>
        <w:pStyle w:val="Heading2"/>
      </w:pPr>
      <w:r>
        <w:t>B. Horse, Facility, Business, and Operational Domain Truth</w:t>
      </w:r>
    </w:p>
    <w:tbl>
      <w:tblPr>
        <w:tblW w:type="auto" w:w="0"/>
        <w:jc w:val="center"/>
        <w:tblLayout w:type="fixed"/>
        <w:tblLook w:firstColumn="1" w:firstRow="1" w:lastColumn="0" w:lastRow="0" w:noHBand="0" w:noVBand="1" w:val="04A0"/>
        <w:tblBorders>
          <w:top w:val="single" w:sz="4" w:space="0" w:color="A7B5C3"/>
          <w:left w:val="single" w:sz="4" w:space="0" w:color="A7B5C3"/>
          <w:bottom w:val="single" w:sz="4" w:space="0" w:color="A7B5C3"/>
          <w:right w:val="single" w:sz="4" w:space="0" w:color="A7B5C3"/>
          <w:insideH w:val="single" w:sz="4" w:space="0" w:color="A7B5C3"/>
          <w:insideV w:val="single" w:sz="4" w:space="0" w:color="A7B5C3"/>
        </w:tblBorders>
      </w:tblPr>
      <w:tblGrid>
        <w:gridCol w:w="2033"/>
        <w:gridCol w:w="2033"/>
        <w:gridCol w:w="2033"/>
        <w:gridCol w:w="2033"/>
        <w:gridCol w:w="2033"/>
      </w:tblGrid>
      <w:tr>
        <w:trPr>
          <w:tblHeader w:val="true"/>
        </w:trPr>
        <w:tc>
          <w:tcPr>
            <w:tcW w:type="dxa" w:w="864"/>
            <w:shd w:fill="0B2748"/>
            <w:tcMar>
              <w:top w:w="70" w:type="dxa"/>
              <w:start w:w="55" w:type="dxa"/>
              <w:bottom w:w="70" w:type="dxa"/>
              <w:end w:w="55" w:type="dxa"/>
            </w:tcMar>
            <w:vAlign w:val="center"/>
          </w:tcPr>
          <w:p>
            <w:pPr>
              <w:spacing w:after="0"/>
              <w:jc w:val="center"/>
            </w:pPr>
            <w:r>
              <w:rPr>
                <w:rFonts w:ascii="Aptos" w:hAnsi="Aptos"/>
                <w:b/>
                <w:color w:val="FFFFFF"/>
                <w:sz w:val="13"/>
              </w:rPr>
              <w:t>XREF ID</w:t>
            </w:r>
          </w:p>
        </w:tc>
        <w:tc>
          <w:tcPr>
            <w:tcW w:type="dxa" w:w="2534"/>
            <w:shd w:fill="0B2748"/>
            <w:tcMar>
              <w:top w:w="70" w:type="dxa"/>
              <w:start w:w="55" w:type="dxa"/>
              <w:bottom w:w="70" w:type="dxa"/>
              <w:end w:w="55" w:type="dxa"/>
            </w:tcMar>
            <w:vAlign w:val="center"/>
          </w:tcPr>
          <w:p>
            <w:pPr>
              <w:spacing w:after="0"/>
              <w:jc w:val="center"/>
            </w:pPr>
            <w:r>
              <w:rPr>
                <w:rFonts w:ascii="Aptos" w:hAnsi="Aptos"/>
                <w:b/>
                <w:color w:val="FFFFFF"/>
                <w:sz w:val="13"/>
              </w:rPr>
              <w:t>Topic / Common Search Terms</w:t>
            </w:r>
          </w:p>
        </w:tc>
        <w:tc>
          <w:tcPr>
            <w:tcW w:type="dxa" w:w="2088"/>
            <w:shd w:fill="0B2748"/>
            <w:tcMar>
              <w:top w:w="70" w:type="dxa"/>
              <w:start w:w="55" w:type="dxa"/>
              <w:bottom w:w="70" w:type="dxa"/>
              <w:end w:w="55" w:type="dxa"/>
            </w:tcMar>
            <w:vAlign w:val="center"/>
          </w:tcPr>
          <w:p>
            <w:pPr>
              <w:spacing w:after="0"/>
              <w:jc w:val="center"/>
            </w:pPr>
            <w:r>
              <w:rPr>
                <w:rFonts w:ascii="Aptos" w:hAnsi="Aptos"/>
                <w:b/>
                <w:color w:val="FFFFFF"/>
                <w:sz w:val="13"/>
              </w:rPr>
              <w:t>Start With</w:t>
            </w:r>
          </w:p>
        </w:tc>
        <w:tc>
          <w:tcPr>
            <w:tcW w:type="dxa" w:w="3542"/>
            <w:shd w:fill="0B2748"/>
            <w:tcMar>
              <w:top w:w="70" w:type="dxa"/>
              <w:start w:w="55" w:type="dxa"/>
              <w:bottom w:w="70" w:type="dxa"/>
              <w:end w:w="55" w:type="dxa"/>
            </w:tcMar>
            <w:vAlign w:val="center"/>
          </w:tcPr>
          <w:p>
            <w:pPr>
              <w:spacing w:after="0"/>
              <w:jc w:val="center"/>
            </w:pPr>
            <w:r>
              <w:rPr>
                <w:rFonts w:ascii="Aptos" w:hAnsi="Aptos"/>
                <w:b/>
                <w:color w:val="FFFFFF"/>
                <w:sz w:val="13"/>
              </w:rPr>
              <w:t>Read With</w:t>
            </w:r>
          </w:p>
        </w:tc>
        <w:tc>
          <w:tcPr>
            <w:tcW w:type="dxa" w:w="1051"/>
            <w:shd w:fill="0B2748"/>
            <w:tcMar>
              <w:top w:w="70" w:type="dxa"/>
              <w:start w:w="55" w:type="dxa"/>
              <w:bottom w:w="70" w:type="dxa"/>
              <w:end w:w="55" w:type="dxa"/>
            </w:tcMar>
            <w:vAlign w:val="center"/>
          </w:tcPr>
          <w:p>
            <w:pPr>
              <w:spacing w:after="0"/>
              <w:jc w:val="center"/>
            </w:pPr>
            <w:r>
              <w:rPr>
                <w:rFonts w:ascii="Aptos" w:hAnsi="Aptos"/>
                <w:b/>
                <w:color w:val="FFFFFF"/>
                <w:sz w:val="13"/>
              </w:rPr>
              <w:t>Authority Matrix</w:t>
            </w:r>
          </w:p>
        </w:tc>
      </w:tr>
      <w:tr>
        <w:trPr/>
        <w:tc>
          <w:tcPr>
            <w:tcW w:type="dxa" w:w="864"/>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XREF-011</w:t>
            </w:r>
          </w:p>
        </w:tc>
        <w:tc>
          <w:tcPr>
            <w:tcW w:type="dxa" w:w="2534"/>
            <w:tcMar>
              <w:top w:w="45" w:type="dxa"/>
              <w:start w:w="45" w:type="dxa"/>
              <w:bottom w:w="45" w:type="dxa"/>
              <w:end w:w="45" w:type="dxa"/>
            </w:tcMar>
            <w:vAlign w:val="top"/>
            <w:shd w:fill="FFFFFF"/>
          </w:tcPr>
          <w:p>
            <w:pPr>
              <w:spacing w:after="0" w:line="228" w:lineRule="auto"/>
            </w:pPr>
            <w:r>
              <w:rPr>
                <w:rFonts w:ascii="Aptos" w:hAnsi="Aptos"/>
                <w:b w:val="0"/>
                <w:color w:val="3C4650"/>
                <w:sz w:val="12"/>
              </w:rPr>
              <w:t>Permanent horse identity, passport, lifecycle, and historical continuity</w:t>
            </w:r>
          </w:p>
        </w:tc>
        <w:tc>
          <w:tcPr>
            <w:tcW w:type="dxa" w:w="2088"/>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Horse Lifecycle and Passport Model</w:t>
            </w:r>
          </w:p>
        </w:tc>
        <w:tc>
          <w:tcPr>
            <w:tcW w:type="dxa" w:w="3542"/>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Relationship Model; Master Record Stewardship and Retention Model; Master Horse Transfer and Continuity Policy; Master Audit Event and Evidence Model</w:t>
            </w:r>
          </w:p>
        </w:tc>
        <w:tc>
          <w:tcPr>
            <w:tcW w:type="dxa" w:w="1051"/>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AUTH-011</w:t>
            </w:r>
          </w:p>
        </w:tc>
      </w:tr>
      <w:tr>
        <w:trPr/>
        <w:tc>
          <w:tcPr>
            <w:tcW w:type="dxa" w:w="864"/>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XREF-012</w:t>
            </w:r>
          </w:p>
        </w:tc>
        <w:tc>
          <w:tcPr>
            <w:tcW w:type="dxa" w:w="2534"/>
            <w:tcMar>
              <w:top w:w="45" w:type="dxa"/>
              <w:start w:w="45" w:type="dxa"/>
              <w:bottom w:w="45" w:type="dxa"/>
              <w:end w:w="45" w:type="dxa"/>
            </w:tcMar>
            <w:vAlign w:val="top"/>
            <w:shd w:fill="EEF4F8"/>
          </w:tcPr>
          <w:p>
            <w:pPr>
              <w:spacing w:after="0" w:line="228" w:lineRule="auto"/>
            </w:pPr>
            <w:r>
              <w:rPr>
                <w:rFonts w:ascii="Aptos" w:hAnsi="Aptos"/>
                <w:b w:val="0"/>
                <w:color w:val="3C4650"/>
                <w:sz w:val="12"/>
              </w:rPr>
              <w:t>Horse ownership transfer, custody transition, and continuity</w:t>
            </w:r>
          </w:p>
        </w:tc>
        <w:tc>
          <w:tcPr>
            <w:tcW w:type="dxa" w:w="2088"/>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Horse Transfer and Continuity Policy</w:t>
            </w:r>
          </w:p>
        </w:tc>
        <w:tc>
          <w:tcPr>
            <w:tcW w:type="dxa" w:w="3542"/>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Relationship Model; Master Permission and Access-Control Model; Master Record Stewardship and Retention Model; Master Claims, Disputes, and Authority Model; Master Financial Truth and Responsibility Model; Master Audit Event and Evidence Model</w:t>
            </w:r>
          </w:p>
        </w:tc>
        <w:tc>
          <w:tcPr>
            <w:tcW w:type="dxa" w:w="1051"/>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AUTH-012</w:t>
            </w:r>
          </w:p>
        </w:tc>
      </w:tr>
      <w:tr>
        <w:trPr/>
        <w:tc>
          <w:tcPr>
            <w:tcW w:type="dxa" w:w="864"/>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XREF-013</w:t>
            </w:r>
          </w:p>
        </w:tc>
        <w:tc>
          <w:tcPr>
            <w:tcW w:type="dxa" w:w="2534"/>
            <w:tcMar>
              <w:top w:w="45" w:type="dxa"/>
              <w:start w:w="45" w:type="dxa"/>
              <w:bottom w:w="45" w:type="dxa"/>
              <w:end w:w="45" w:type="dxa"/>
            </w:tcMar>
            <w:vAlign w:val="top"/>
            <w:shd w:fill="FFFFFF"/>
          </w:tcPr>
          <w:p>
            <w:pPr>
              <w:spacing w:after="0" w:line="228" w:lineRule="auto"/>
            </w:pPr>
            <w:r>
              <w:rPr>
                <w:rFonts w:ascii="Aptos" w:hAnsi="Aptos"/>
                <w:b w:val="0"/>
                <w:color w:val="3C4650"/>
                <w:sz w:val="12"/>
              </w:rPr>
              <w:t>Physical facility identity, spaces, capacity, hazards, and occupancy</w:t>
            </w:r>
          </w:p>
        </w:tc>
        <w:tc>
          <w:tcPr>
            <w:tcW w:type="dxa" w:w="2088"/>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Facility Domain Model</w:t>
            </w:r>
          </w:p>
        </w:tc>
        <w:tc>
          <w:tcPr>
            <w:tcW w:type="dxa" w:w="3542"/>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Barn Lifecycle and Operations Canon; Master Ecosystem Model; Master Record Stewardship and Retention Model; Master Platform Operations, Reliability, and Release Model</w:t>
            </w:r>
          </w:p>
        </w:tc>
        <w:tc>
          <w:tcPr>
            <w:tcW w:type="dxa" w:w="1051"/>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AUTH-013</w:t>
            </w:r>
          </w:p>
        </w:tc>
      </w:tr>
      <w:tr>
        <w:trPr/>
        <w:tc>
          <w:tcPr>
            <w:tcW w:type="dxa" w:w="864"/>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XREF-014</w:t>
            </w:r>
          </w:p>
        </w:tc>
        <w:tc>
          <w:tcPr>
            <w:tcW w:type="dxa" w:w="2534"/>
            <w:tcMar>
              <w:top w:w="45" w:type="dxa"/>
              <w:start w:w="45" w:type="dxa"/>
              <w:bottom w:w="45" w:type="dxa"/>
              <w:end w:w="45" w:type="dxa"/>
            </w:tcMar>
            <w:vAlign w:val="top"/>
            <w:shd w:fill="EEF4F8"/>
          </w:tcPr>
          <w:p>
            <w:pPr>
              <w:spacing w:after="0" w:line="228" w:lineRule="auto"/>
            </w:pPr>
            <w:r>
              <w:rPr>
                <w:rFonts w:ascii="Aptos" w:hAnsi="Aptos"/>
                <w:b w:val="0"/>
                <w:color w:val="3C4650"/>
                <w:sz w:val="12"/>
              </w:rPr>
              <w:t>Barn operating lifecycle and horse-care operational continuity</w:t>
            </w:r>
          </w:p>
        </w:tc>
        <w:tc>
          <w:tcPr>
            <w:tcW w:type="dxa" w:w="2088"/>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Barn Lifecycle and Operations Canon</w:t>
            </w:r>
          </w:p>
        </w:tc>
        <w:tc>
          <w:tcPr>
            <w:tcW w:type="dxa" w:w="3542"/>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Facility Domain Model; Master Relationship Model; Master Horse Lifecycle and Passport Model; RF29 Calendar Domain Canon; Master Communication, Notification, and Notice Model; Master Platform Resilience, Backup, and Recovery Model</w:t>
            </w:r>
          </w:p>
        </w:tc>
        <w:tc>
          <w:tcPr>
            <w:tcW w:type="dxa" w:w="1051"/>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AUTH-014</w:t>
            </w:r>
          </w:p>
        </w:tc>
      </w:tr>
      <w:tr>
        <w:trPr/>
        <w:tc>
          <w:tcPr>
            <w:tcW w:type="dxa" w:w="864"/>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XREF-015</w:t>
            </w:r>
          </w:p>
        </w:tc>
        <w:tc>
          <w:tcPr>
            <w:tcW w:type="dxa" w:w="2534"/>
            <w:tcMar>
              <w:top w:w="45" w:type="dxa"/>
              <w:start w:w="45" w:type="dxa"/>
              <w:bottom w:w="45" w:type="dxa"/>
              <w:end w:w="45" w:type="dxa"/>
            </w:tcMar>
            <w:vAlign w:val="top"/>
            <w:shd w:fill="FFFFFF"/>
          </w:tcPr>
          <w:p>
            <w:pPr>
              <w:spacing w:after="0" w:line="228" w:lineRule="auto"/>
            </w:pPr>
            <w:r>
              <w:rPr>
                <w:rFonts w:ascii="Aptos" w:hAnsi="Aptos"/>
                <w:b w:val="0"/>
                <w:color w:val="3C4650"/>
                <w:sz w:val="12"/>
              </w:rPr>
              <w:t>Equestrian business identity, lifecycle, and organizational continuity</w:t>
            </w:r>
          </w:p>
        </w:tc>
        <w:tc>
          <w:tcPr>
            <w:tcW w:type="dxa" w:w="2088"/>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Business Lifecycle Model</w:t>
            </w:r>
          </w:p>
        </w:tc>
        <w:tc>
          <w:tcPr>
            <w:tcW w:type="dxa" w:w="3542"/>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Identity, Account, and Actor Model; Master Relationship Model; Master Financial Truth and Responsibility Model; Master Agreement, Consent, and Authorization Model; Master Ecosystem Model</w:t>
            </w:r>
          </w:p>
        </w:tc>
        <w:tc>
          <w:tcPr>
            <w:tcW w:type="dxa" w:w="1051"/>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AUTH-015</w:t>
            </w:r>
          </w:p>
        </w:tc>
      </w:tr>
      <w:tr>
        <w:trPr/>
        <w:tc>
          <w:tcPr>
            <w:tcW w:type="dxa" w:w="864"/>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XREF-016</w:t>
            </w:r>
          </w:p>
        </w:tc>
        <w:tc>
          <w:tcPr>
            <w:tcW w:type="dxa" w:w="2534"/>
            <w:tcMar>
              <w:top w:w="45" w:type="dxa"/>
              <w:start w:w="45" w:type="dxa"/>
              <w:bottom w:w="45" w:type="dxa"/>
              <w:end w:w="45" w:type="dxa"/>
            </w:tcMar>
            <w:vAlign w:val="top"/>
            <w:shd w:fill="EEF4F8"/>
          </w:tcPr>
          <w:p>
            <w:pPr>
              <w:spacing w:after="0" w:line="228" w:lineRule="auto"/>
            </w:pPr>
            <w:r>
              <w:rPr>
                <w:rFonts w:ascii="Aptos" w:hAnsi="Aptos"/>
                <w:b w:val="0"/>
                <w:color w:val="3C4650"/>
                <w:sz w:val="12"/>
              </w:rPr>
              <w:t>Calendar objects, scheduling truth, recurrence, and cross-domain calendar ownership</w:t>
            </w:r>
          </w:p>
        </w:tc>
        <w:tc>
          <w:tcPr>
            <w:tcW w:type="dxa" w:w="2088"/>
            <w:tcMar>
              <w:top w:w="45" w:type="dxa"/>
              <w:start w:w="45" w:type="dxa"/>
              <w:bottom w:w="45" w:type="dxa"/>
              <w:end w:w="45" w:type="dxa"/>
            </w:tcMar>
            <w:vAlign w:val="top"/>
            <w:shd w:fill="EEF4F8"/>
          </w:tcPr>
          <w:p>
            <w:pPr>
              <w:spacing w:after="0" w:line="228" w:lineRule="auto"/>
            </w:pPr>
            <w:r>
              <w:rPr>
                <w:rFonts w:ascii="Aptos" w:hAnsi="Aptos"/>
                <w:b w:val="0"/>
                <w:color w:val="3C4650"/>
                <w:sz w:val="12"/>
              </w:rPr>
              <w:t>RF29 Calendar Domain Canon</w:t>
            </w:r>
          </w:p>
        </w:tc>
        <w:tc>
          <w:tcPr>
            <w:tcW w:type="dxa" w:w="3542"/>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Relationship Model; Master Permission and Access-Control Model; Master Communication, Notification, and Notice Model; Master Platform Operations, Reliability, and Release Model; domain canons</w:t>
            </w:r>
          </w:p>
        </w:tc>
        <w:tc>
          <w:tcPr>
            <w:tcW w:type="dxa" w:w="1051"/>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AUTH-016</w:t>
            </w:r>
          </w:p>
        </w:tc>
      </w:tr>
      <w:tr>
        <w:trPr/>
        <w:tc>
          <w:tcPr>
            <w:tcW w:type="dxa" w:w="864"/>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XREF-017</w:t>
            </w:r>
          </w:p>
        </w:tc>
        <w:tc>
          <w:tcPr>
            <w:tcW w:type="dxa" w:w="2534"/>
            <w:tcMar>
              <w:top w:w="45" w:type="dxa"/>
              <w:start w:w="45" w:type="dxa"/>
              <w:bottom w:w="45" w:type="dxa"/>
              <w:end w:w="45" w:type="dxa"/>
            </w:tcMar>
            <w:vAlign w:val="top"/>
            <w:shd w:fill="FFFFFF"/>
          </w:tcPr>
          <w:p>
            <w:pPr>
              <w:spacing w:after="0" w:line="228" w:lineRule="auto"/>
            </w:pPr>
            <w:r>
              <w:rPr>
                <w:rFonts w:ascii="Aptos" w:hAnsi="Aptos"/>
                <w:b w:val="0"/>
                <w:color w:val="3C4650"/>
                <w:sz w:val="12"/>
              </w:rPr>
              <w:t>Daily tasks, care instructions, work assignments, and completion state</w:t>
            </w:r>
          </w:p>
        </w:tc>
        <w:tc>
          <w:tcPr>
            <w:tcW w:type="dxa" w:w="2088"/>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Barn Lifecycle and Operations Canon</w:t>
            </w:r>
          </w:p>
        </w:tc>
        <w:tc>
          <w:tcPr>
            <w:tcW w:type="dxa" w:w="3542"/>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Relationship Model; Master Permission and Access-Control Model; Master Horse Lifecycle and Passport Model; Master Audit Event and Evidence Model; Master Communication, Notification, and Notice Model; RF29 Calendar Domain Canon</w:t>
            </w:r>
          </w:p>
        </w:tc>
        <w:tc>
          <w:tcPr>
            <w:tcW w:type="dxa" w:w="1051"/>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AUTH-017</w:t>
            </w:r>
          </w:p>
        </w:tc>
      </w:tr>
      <w:tr>
        <w:trPr/>
        <w:tc>
          <w:tcPr>
            <w:tcW w:type="dxa" w:w="864"/>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XREF-018</w:t>
            </w:r>
          </w:p>
        </w:tc>
        <w:tc>
          <w:tcPr>
            <w:tcW w:type="dxa" w:w="2534"/>
            <w:tcMar>
              <w:top w:w="45" w:type="dxa"/>
              <w:start w:w="45" w:type="dxa"/>
              <w:bottom w:w="45" w:type="dxa"/>
              <w:end w:w="45" w:type="dxa"/>
            </w:tcMar>
            <w:vAlign w:val="top"/>
            <w:shd w:fill="EEF4F8"/>
          </w:tcPr>
          <w:p>
            <w:pPr>
              <w:spacing w:after="0" w:line="228" w:lineRule="auto"/>
            </w:pPr>
            <w:r>
              <w:rPr>
                <w:rFonts w:ascii="Aptos" w:hAnsi="Aptos"/>
                <w:b w:val="0"/>
                <w:color w:val="3C4650"/>
                <w:sz w:val="12"/>
              </w:rPr>
              <w:t>Lessons, training sessions, rider participation, and instructional workflows</w:t>
            </w:r>
          </w:p>
        </w:tc>
        <w:tc>
          <w:tcPr>
            <w:tcW w:type="dxa" w:w="2088"/>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Ecosystem Model</w:t>
            </w:r>
          </w:p>
        </w:tc>
        <w:tc>
          <w:tcPr>
            <w:tcW w:type="dxa" w:w="3542"/>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Relationship Model; Master Agreement, Consent, and Authorization Model; Minor, Guardian, Safeguarding, and Delegated-Assistance Canon; RF29 Calendar Domain Canon; Master Financial Truth and Responsibility Model; Master Audit Event and Evidence Model</w:t>
            </w:r>
          </w:p>
        </w:tc>
        <w:tc>
          <w:tcPr>
            <w:tcW w:type="dxa" w:w="1051"/>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AUTH-018</w:t>
            </w:r>
          </w:p>
        </w:tc>
      </w:tr>
      <w:tr>
        <w:trPr/>
        <w:tc>
          <w:tcPr>
            <w:tcW w:type="dxa" w:w="864"/>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XREF-019</w:t>
            </w:r>
          </w:p>
        </w:tc>
        <w:tc>
          <w:tcPr>
            <w:tcW w:type="dxa" w:w="2534"/>
            <w:tcMar>
              <w:top w:w="45" w:type="dxa"/>
              <w:start w:w="45" w:type="dxa"/>
              <w:bottom w:w="45" w:type="dxa"/>
              <w:end w:w="45" w:type="dxa"/>
            </w:tcMar>
            <w:vAlign w:val="top"/>
            <w:shd w:fill="FFFFFF"/>
          </w:tcPr>
          <w:p>
            <w:pPr>
              <w:spacing w:after="0" w:line="228" w:lineRule="auto"/>
            </w:pPr>
            <w:r>
              <w:rPr>
                <w:rFonts w:ascii="Aptos" w:hAnsi="Aptos"/>
                <w:b w:val="0"/>
                <w:color w:val="3C4650"/>
                <w:sz w:val="12"/>
              </w:rPr>
              <w:t>Professional provider participation and service relationships</w:t>
            </w:r>
          </w:p>
        </w:tc>
        <w:tc>
          <w:tcPr>
            <w:tcW w:type="dxa" w:w="2088"/>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Relationship Model</w:t>
            </w:r>
          </w:p>
        </w:tc>
        <w:tc>
          <w:tcPr>
            <w:tcW w:type="dxa" w:w="3542"/>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Identity, Account, and Actor Model; Master Agreement, Consent, and Authorization Model; Master Permission and Access-Control Model; Master Record Stewardship and Retention Model; Master Financial Truth and Responsibility Model; professional restrictions</w:t>
            </w:r>
          </w:p>
        </w:tc>
        <w:tc>
          <w:tcPr>
            <w:tcW w:type="dxa" w:w="1051"/>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AUTH-019</w:t>
            </w:r>
          </w:p>
        </w:tc>
      </w:tr>
      <w:tr>
        <w:trPr/>
        <w:tc>
          <w:tcPr>
            <w:tcW w:type="dxa" w:w="864"/>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XREF-020</w:t>
            </w:r>
          </w:p>
        </w:tc>
        <w:tc>
          <w:tcPr>
            <w:tcW w:type="dxa" w:w="2534"/>
            <w:tcMar>
              <w:top w:w="45" w:type="dxa"/>
              <w:start w:w="45" w:type="dxa"/>
              <w:bottom w:w="45" w:type="dxa"/>
              <w:end w:w="45" w:type="dxa"/>
            </w:tcMar>
            <w:vAlign w:val="top"/>
            <w:shd w:fill="EEF4F8"/>
          </w:tcPr>
          <w:p>
            <w:pPr>
              <w:spacing w:after="0" w:line="228" w:lineRule="auto"/>
            </w:pPr>
            <w:r>
              <w:rPr>
                <w:rFonts w:ascii="Aptos" w:hAnsi="Aptos"/>
                <w:b w:val="0"/>
                <w:color w:val="3C4650"/>
                <w:sz w:val="12"/>
              </w:rPr>
              <w:t>Inventory, supplies, equipment, tack, medication stock, and physical resources</w:t>
            </w:r>
          </w:p>
        </w:tc>
        <w:tc>
          <w:tcPr>
            <w:tcW w:type="dxa" w:w="2088"/>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Ecosystem Model</w:t>
            </w:r>
          </w:p>
        </w:tc>
        <w:tc>
          <w:tcPr>
            <w:tcW w:type="dxa" w:w="3542"/>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Facility Domain Model; Master Barn Lifecycle and Operations Canon; Master Financial Truth and Responsibility Model; Master Record Stewardship and Retention Model; Master Permission and Access-Control Model</w:t>
            </w:r>
          </w:p>
        </w:tc>
        <w:tc>
          <w:tcPr>
            <w:tcW w:type="dxa" w:w="1051"/>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AUTH-020</w:t>
            </w:r>
          </w:p>
        </w:tc>
      </w:tr>
    </w:tbl>
    <w:p>
      <w:pPr>
        <w:spacing w:after="0"/>
      </w:pPr>
    </w:p>
    <w:p>
      <w:pPr>
        <w:pStyle w:val="Heading2"/>
      </w:pPr>
      <w:r>
        <w:t>C. Identity, Relationships, Agreements, Permissions, Minors, and Authority</w:t>
      </w:r>
    </w:p>
    <w:tbl>
      <w:tblPr>
        <w:tblW w:type="auto" w:w="0"/>
        <w:jc w:val="center"/>
        <w:tblLayout w:type="fixed"/>
        <w:tblLook w:firstColumn="1" w:firstRow="1" w:lastColumn="0" w:lastRow="0" w:noHBand="0" w:noVBand="1" w:val="04A0"/>
        <w:tblBorders>
          <w:top w:val="single" w:sz="4" w:space="0" w:color="A7B5C3"/>
          <w:left w:val="single" w:sz="4" w:space="0" w:color="A7B5C3"/>
          <w:bottom w:val="single" w:sz="4" w:space="0" w:color="A7B5C3"/>
          <w:right w:val="single" w:sz="4" w:space="0" w:color="A7B5C3"/>
          <w:insideH w:val="single" w:sz="4" w:space="0" w:color="A7B5C3"/>
          <w:insideV w:val="single" w:sz="4" w:space="0" w:color="A7B5C3"/>
        </w:tblBorders>
      </w:tblPr>
      <w:tblGrid>
        <w:gridCol w:w="2033"/>
        <w:gridCol w:w="2033"/>
        <w:gridCol w:w="2033"/>
        <w:gridCol w:w="2033"/>
        <w:gridCol w:w="2033"/>
      </w:tblGrid>
      <w:tr>
        <w:trPr>
          <w:tblHeader w:val="true"/>
        </w:trPr>
        <w:tc>
          <w:tcPr>
            <w:tcW w:type="dxa" w:w="864"/>
            <w:shd w:fill="0B2748"/>
            <w:tcMar>
              <w:top w:w="70" w:type="dxa"/>
              <w:start w:w="55" w:type="dxa"/>
              <w:bottom w:w="70" w:type="dxa"/>
              <w:end w:w="55" w:type="dxa"/>
            </w:tcMar>
            <w:vAlign w:val="center"/>
          </w:tcPr>
          <w:p>
            <w:pPr>
              <w:spacing w:after="0"/>
              <w:jc w:val="center"/>
            </w:pPr>
            <w:r>
              <w:rPr>
                <w:rFonts w:ascii="Aptos" w:hAnsi="Aptos"/>
                <w:b/>
                <w:color w:val="FFFFFF"/>
                <w:sz w:val="13"/>
              </w:rPr>
              <w:t>XREF ID</w:t>
            </w:r>
          </w:p>
        </w:tc>
        <w:tc>
          <w:tcPr>
            <w:tcW w:type="dxa" w:w="2534"/>
            <w:shd w:fill="0B2748"/>
            <w:tcMar>
              <w:top w:w="70" w:type="dxa"/>
              <w:start w:w="55" w:type="dxa"/>
              <w:bottom w:w="70" w:type="dxa"/>
              <w:end w:w="55" w:type="dxa"/>
            </w:tcMar>
            <w:vAlign w:val="center"/>
          </w:tcPr>
          <w:p>
            <w:pPr>
              <w:spacing w:after="0"/>
              <w:jc w:val="center"/>
            </w:pPr>
            <w:r>
              <w:rPr>
                <w:rFonts w:ascii="Aptos" w:hAnsi="Aptos"/>
                <w:b/>
                <w:color w:val="FFFFFF"/>
                <w:sz w:val="13"/>
              </w:rPr>
              <w:t>Topic / Common Search Terms</w:t>
            </w:r>
          </w:p>
        </w:tc>
        <w:tc>
          <w:tcPr>
            <w:tcW w:type="dxa" w:w="2088"/>
            <w:shd w:fill="0B2748"/>
            <w:tcMar>
              <w:top w:w="70" w:type="dxa"/>
              <w:start w:w="55" w:type="dxa"/>
              <w:bottom w:w="70" w:type="dxa"/>
              <w:end w:w="55" w:type="dxa"/>
            </w:tcMar>
            <w:vAlign w:val="center"/>
          </w:tcPr>
          <w:p>
            <w:pPr>
              <w:spacing w:after="0"/>
              <w:jc w:val="center"/>
            </w:pPr>
            <w:r>
              <w:rPr>
                <w:rFonts w:ascii="Aptos" w:hAnsi="Aptos"/>
                <w:b/>
                <w:color w:val="FFFFFF"/>
                <w:sz w:val="13"/>
              </w:rPr>
              <w:t>Start With</w:t>
            </w:r>
          </w:p>
        </w:tc>
        <w:tc>
          <w:tcPr>
            <w:tcW w:type="dxa" w:w="3542"/>
            <w:shd w:fill="0B2748"/>
            <w:tcMar>
              <w:top w:w="70" w:type="dxa"/>
              <w:start w:w="55" w:type="dxa"/>
              <w:bottom w:w="70" w:type="dxa"/>
              <w:end w:w="55" w:type="dxa"/>
            </w:tcMar>
            <w:vAlign w:val="center"/>
          </w:tcPr>
          <w:p>
            <w:pPr>
              <w:spacing w:after="0"/>
              <w:jc w:val="center"/>
            </w:pPr>
            <w:r>
              <w:rPr>
                <w:rFonts w:ascii="Aptos" w:hAnsi="Aptos"/>
                <w:b/>
                <w:color w:val="FFFFFF"/>
                <w:sz w:val="13"/>
              </w:rPr>
              <w:t>Read With</w:t>
            </w:r>
          </w:p>
        </w:tc>
        <w:tc>
          <w:tcPr>
            <w:tcW w:type="dxa" w:w="1051"/>
            <w:shd w:fill="0B2748"/>
            <w:tcMar>
              <w:top w:w="70" w:type="dxa"/>
              <w:start w:w="55" w:type="dxa"/>
              <w:bottom w:w="70" w:type="dxa"/>
              <w:end w:w="55" w:type="dxa"/>
            </w:tcMar>
            <w:vAlign w:val="center"/>
          </w:tcPr>
          <w:p>
            <w:pPr>
              <w:spacing w:after="0"/>
              <w:jc w:val="center"/>
            </w:pPr>
            <w:r>
              <w:rPr>
                <w:rFonts w:ascii="Aptos" w:hAnsi="Aptos"/>
                <w:b/>
                <w:color w:val="FFFFFF"/>
                <w:sz w:val="13"/>
              </w:rPr>
              <w:t>Authority Matrix</w:t>
            </w:r>
          </w:p>
        </w:tc>
      </w:tr>
      <w:tr>
        <w:trPr/>
        <w:tc>
          <w:tcPr>
            <w:tcW w:type="dxa" w:w="864"/>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XREF-021</w:t>
            </w:r>
          </w:p>
        </w:tc>
        <w:tc>
          <w:tcPr>
            <w:tcW w:type="dxa" w:w="2534"/>
            <w:tcMar>
              <w:top w:w="45" w:type="dxa"/>
              <w:start w:w="45" w:type="dxa"/>
              <w:bottom w:w="45" w:type="dxa"/>
              <w:end w:w="45" w:type="dxa"/>
            </w:tcMar>
            <w:vAlign w:val="top"/>
            <w:shd w:fill="FFFFFF"/>
          </w:tcPr>
          <w:p>
            <w:pPr>
              <w:spacing w:after="0" w:line="228" w:lineRule="auto"/>
            </w:pPr>
            <w:r>
              <w:rPr>
                <w:rFonts w:ascii="Aptos" w:hAnsi="Aptos"/>
                <w:b w:val="0"/>
                <w:color w:val="3C4650"/>
                <w:sz w:val="12"/>
              </w:rPr>
              <w:t>Natural-person, organization, and non-human actor identity</w:t>
            </w:r>
          </w:p>
        </w:tc>
        <w:tc>
          <w:tcPr>
            <w:tcW w:type="dxa" w:w="2088"/>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Identity, Account, and Actor Model</w:t>
            </w:r>
          </w:p>
        </w:tc>
        <w:tc>
          <w:tcPr>
            <w:tcW w:type="dxa" w:w="3542"/>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Relationship Model; Master Permission and Access-Control Model; Master Audit Event and Evidence Model; Master Security and Trust Model</w:t>
            </w:r>
          </w:p>
        </w:tc>
        <w:tc>
          <w:tcPr>
            <w:tcW w:type="dxa" w:w="1051"/>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AUTH-021</w:t>
            </w:r>
          </w:p>
        </w:tc>
      </w:tr>
      <w:tr>
        <w:trPr/>
        <w:tc>
          <w:tcPr>
            <w:tcW w:type="dxa" w:w="864"/>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XREF-022</w:t>
            </w:r>
          </w:p>
        </w:tc>
        <w:tc>
          <w:tcPr>
            <w:tcW w:type="dxa" w:w="2534"/>
            <w:tcMar>
              <w:top w:w="45" w:type="dxa"/>
              <w:start w:w="45" w:type="dxa"/>
              <w:bottom w:w="45" w:type="dxa"/>
              <w:end w:w="45" w:type="dxa"/>
            </w:tcMar>
            <w:vAlign w:val="top"/>
            <w:shd w:fill="EEF4F8"/>
          </w:tcPr>
          <w:p>
            <w:pPr>
              <w:spacing w:after="0" w:line="228" w:lineRule="auto"/>
            </w:pPr>
            <w:r>
              <w:rPr>
                <w:rFonts w:ascii="Aptos" w:hAnsi="Aptos"/>
                <w:b w:val="0"/>
                <w:color w:val="3C4650"/>
                <w:sz w:val="12"/>
              </w:rPr>
              <w:t>Accounts, credentials, authentication factors, sessions, and recovery</w:t>
            </w:r>
          </w:p>
        </w:tc>
        <w:tc>
          <w:tcPr>
            <w:tcW w:type="dxa" w:w="2088"/>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Identity, Account, and Actor Model</w:t>
            </w:r>
          </w:p>
        </w:tc>
        <w:tc>
          <w:tcPr>
            <w:tcW w:type="dxa" w:w="3542"/>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Security and Trust Model; Master Data Protection, Encryption, and Key Management Model; Master Audit Event and Evidence Model; Master Permission and Access-Control Model</w:t>
            </w:r>
          </w:p>
        </w:tc>
        <w:tc>
          <w:tcPr>
            <w:tcW w:type="dxa" w:w="1051"/>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AUTH-022</w:t>
            </w:r>
          </w:p>
        </w:tc>
      </w:tr>
      <w:tr>
        <w:trPr/>
        <w:tc>
          <w:tcPr>
            <w:tcW w:type="dxa" w:w="864"/>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XREF-023</w:t>
            </w:r>
          </w:p>
        </w:tc>
        <w:tc>
          <w:tcPr>
            <w:tcW w:type="dxa" w:w="2534"/>
            <w:tcMar>
              <w:top w:w="45" w:type="dxa"/>
              <w:start w:w="45" w:type="dxa"/>
              <w:bottom w:w="45" w:type="dxa"/>
              <w:end w:w="45" w:type="dxa"/>
            </w:tcMar>
            <w:vAlign w:val="top"/>
            <w:shd w:fill="FFFFFF"/>
          </w:tcPr>
          <w:p>
            <w:pPr>
              <w:spacing w:after="0" w:line="228" w:lineRule="auto"/>
            </w:pPr>
            <w:r>
              <w:rPr>
                <w:rFonts w:ascii="Aptos" w:hAnsi="Aptos"/>
                <w:b w:val="0"/>
                <w:color w:val="3C4650"/>
                <w:sz w:val="12"/>
              </w:rPr>
              <w:t>Service accounts, machine identities, scheduled processes, and integration actors</w:t>
            </w:r>
          </w:p>
        </w:tc>
        <w:tc>
          <w:tcPr>
            <w:tcW w:type="dxa" w:w="2088"/>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Identity, Account, and Actor Model</w:t>
            </w:r>
          </w:p>
        </w:tc>
        <w:tc>
          <w:tcPr>
            <w:tcW w:type="dxa" w:w="3542"/>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Developer, Platform, and Integration Governance Model; Master Platform Extensibility and Plugin Governance Model; Master Security and Trust Model; Master Permission and Access-Control Model; Master Audit Event and Evidence Model</w:t>
            </w:r>
          </w:p>
        </w:tc>
        <w:tc>
          <w:tcPr>
            <w:tcW w:type="dxa" w:w="1051"/>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AUTH-023</w:t>
            </w:r>
          </w:p>
        </w:tc>
      </w:tr>
      <w:tr>
        <w:trPr/>
        <w:tc>
          <w:tcPr>
            <w:tcW w:type="dxa" w:w="864"/>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XREF-024</w:t>
            </w:r>
          </w:p>
        </w:tc>
        <w:tc>
          <w:tcPr>
            <w:tcW w:type="dxa" w:w="2534"/>
            <w:tcMar>
              <w:top w:w="45" w:type="dxa"/>
              <w:start w:w="45" w:type="dxa"/>
              <w:bottom w:w="45" w:type="dxa"/>
              <w:end w:w="45" w:type="dxa"/>
            </w:tcMar>
            <w:vAlign w:val="top"/>
            <w:shd w:fill="EEF4F8"/>
          </w:tcPr>
          <w:p>
            <w:pPr>
              <w:spacing w:after="0" w:line="228" w:lineRule="auto"/>
            </w:pPr>
            <w:r>
              <w:rPr>
                <w:rFonts w:ascii="Aptos" w:hAnsi="Aptos"/>
                <w:b w:val="0"/>
                <w:color w:val="3C4650"/>
                <w:sz w:val="12"/>
              </w:rPr>
              <w:t>Authentication assurance, multi-factor authentication, and step-up controls</w:t>
            </w:r>
          </w:p>
        </w:tc>
        <w:tc>
          <w:tcPr>
            <w:tcW w:type="dxa" w:w="2088"/>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Identity, Account, and Actor Model</w:t>
            </w:r>
          </w:p>
        </w:tc>
        <w:tc>
          <w:tcPr>
            <w:tcW w:type="dxa" w:w="3542"/>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Security and Trust Model; Master Permission and Access-Control Model; Master Financial Truth and Responsibility Model; Master Agreement, Consent, and Authorization Model; Master Platform Operations, Reliability, and Release Model</w:t>
            </w:r>
          </w:p>
        </w:tc>
        <w:tc>
          <w:tcPr>
            <w:tcW w:type="dxa" w:w="1051"/>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AUTH-024</w:t>
            </w:r>
          </w:p>
        </w:tc>
      </w:tr>
      <w:tr>
        <w:trPr/>
        <w:tc>
          <w:tcPr>
            <w:tcW w:type="dxa" w:w="864"/>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XREF-025</w:t>
            </w:r>
          </w:p>
        </w:tc>
        <w:tc>
          <w:tcPr>
            <w:tcW w:type="dxa" w:w="2534"/>
            <w:tcMar>
              <w:top w:w="45" w:type="dxa"/>
              <w:start w:w="45" w:type="dxa"/>
              <w:bottom w:w="45" w:type="dxa"/>
              <w:end w:w="45" w:type="dxa"/>
            </w:tcMar>
            <w:vAlign w:val="top"/>
            <w:shd w:fill="FFFFFF"/>
          </w:tcPr>
          <w:p>
            <w:pPr>
              <w:spacing w:after="0" w:line="228" w:lineRule="auto"/>
            </w:pPr>
            <w:r>
              <w:rPr>
                <w:rFonts w:ascii="Aptos" w:hAnsi="Aptos"/>
                <w:b w:val="0"/>
                <w:color w:val="3C4650"/>
                <w:sz w:val="12"/>
              </w:rPr>
              <w:t>Representation, agency, on-behalf-of action, and represented principals</w:t>
            </w:r>
          </w:p>
        </w:tc>
        <w:tc>
          <w:tcPr>
            <w:tcW w:type="dxa" w:w="2088"/>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Identity, Account, and Actor Model</w:t>
            </w:r>
          </w:p>
        </w:tc>
        <w:tc>
          <w:tcPr>
            <w:tcW w:type="dxa" w:w="3542"/>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Relationship Model; Master Agreement, Consent, and Authorization Model; Master Permission and Access-Control Model; Master Audit Event and Evidence Model</w:t>
            </w:r>
          </w:p>
        </w:tc>
        <w:tc>
          <w:tcPr>
            <w:tcW w:type="dxa" w:w="1051"/>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AUTH-025</w:t>
            </w:r>
          </w:p>
        </w:tc>
      </w:tr>
      <w:tr>
        <w:trPr/>
        <w:tc>
          <w:tcPr>
            <w:tcW w:type="dxa" w:w="864"/>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XREF-026</w:t>
            </w:r>
          </w:p>
        </w:tc>
        <w:tc>
          <w:tcPr>
            <w:tcW w:type="dxa" w:w="2534"/>
            <w:tcMar>
              <w:top w:w="45" w:type="dxa"/>
              <w:start w:w="45" w:type="dxa"/>
              <w:bottom w:w="45" w:type="dxa"/>
              <w:end w:w="45" w:type="dxa"/>
            </w:tcMar>
            <w:vAlign w:val="top"/>
            <w:shd w:fill="EEF4F8"/>
          </w:tcPr>
          <w:p>
            <w:pPr>
              <w:spacing w:after="0" w:line="228" w:lineRule="auto"/>
            </w:pPr>
            <w:r>
              <w:rPr>
                <w:rFonts w:ascii="Aptos" w:hAnsi="Aptos"/>
                <w:b w:val="0"/>
                <w:color w:val="3C4650"/>
                <w:sz w:val="12"/>
              </w:rPr>
              <w:t>Relationship identity, type, parties, scope, lifecycle, and evidence</w:t>
            </w:r>
          </w:p>
        </w:tc>
        <w:tc>
          <w:tcPr>
            <w:tcW w:type="dxa" w:w="2088"/>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Relationship Model</w:t>
            </w:r>
          </w:p>
        </w:tc>
        <w:tc>
          <w:tcPr>
            <w:tcW w:type="dxa" w:w="3542"/>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Identity, Account, and Actor Model; Master Agreement, Consent, and Authorization Model; Master Record Stewardship and Retention Model; Master Audit Event and Evidence Model</w:t>
            </w:r>
          </w:p>
        </w:tc>
        <w:tc>
          <w:tcPr>
            <w:tcW w:type="dxa" w:w="1051"/>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AUTH-026</w:t>
            </w:r>
          </w:p>
        </w:tc>
      </w:tr>
      <w:tr>
        <w:trPr/>
        <w:tc>
          <w:tcPr>
            <w:tcW w:type="dxa" w:w="864"/>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XREF-027</w:t>
            </w:r>
          </w:p>
        </w:tc>
        <w:tc>
          <w:tcPr>
            <w:tcW w:type="dxa" w:w="2534"/>
            <w:tcMar>
              <w:top w:w="45" w:type="dxa"/>
              <w:start w:w="45" w:type="dxa"/>
              <w:bottom w:w="45" w:type="dxa"/>
              <w:end w:w="45" w:type="dxa"/>
            </w:tcMar>
            <w:vAlign w:val="top"/>
            <w:shd w:fill="FFFFFF"/>
          </w:tcPr>
          <w:p>
            <w:pPr>
              <w:spacing w:after="0" w:line="228" w:lineRule="auto"/>
            </w:pPr>
            <w:r>
              <w:rPr>
                <w:rFonts w:ascii="Aptos" w:hAnsi="Aptos"/>
                <w:b w:val="0"/>
                <w:color w:val="3C4650"/>
                <w:sz w:val="12"/>
              </w:rPr>
              <w:t>Ownership, custody, stewardship, guardianship, and care-circle distinctions</w:t>
            </w:r>
          </w:p>
        </w:tc>
        <w:tc>
          <w:tcPr>
            <w:tcW w:type="dxa" w:w="2088"/>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Relationship Model</w:t>
            </w:r>
          </w:p>
        </w:tc>
        <w:tc>
          <w:tcPr>
            <w:tcW w:type="dxa" w:w="3542"/>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Horse Transfer and Continuity Policy; Master Horse Lifecycle and Passport Model; Minor, Guardian, Safeguarding, and Delegated-Assistance Canon; Master Permission and Access-Control Model; Master Record Stewardship and Retention Model</w:t>
            </w:r>
          </w:p>
        </w:tc>
        <w:tc>
          <w:tcPr>
            <w:tcW w:type="dxa" w:w="1051"/>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AUTH-027</w:t>
            </w:r>
          </w:p>
        </w:tc>
      </w:tr>
      <w:tr>
        <w:trPr/>
        <w:tc>
          <w:tcPr>
            <w:tcW w:type="dxa" w:w="864"/>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XREF-028</w:t>
            </w:r>
          </w:p>
        </w:tc>
        <w:tc>
          <w:tcPr>
            <w:tcW w:type="dxa" w:w="2534"/>
            <w:tcMar>
              <w:top w:w="45" w:type="dxa"/>
              <w:start w:w="45" w:type="dxa"/>
              <w:bottom w:w="45" w:type="dxa"/>
              <w:end w:w="45" w:type="dxa"/>
            </w:tcMar>
            <w:vAlign w:val="top"/>
            <w:shd w:fill="EEF4F8"/>
          </w:tcPr>
          <w:p>
            <w:pPr>
              <w:spacing w:after="0" w:line="228" w:lineRule="auto"/>
            </w:pPr>
            <w:r>
              <w:rPr>
                <w:rFonts w:ascii="Aptos" w:hAnsi="Aptos"/>
                <w:b w:val="0"/>
                <w:color w:val="3C4650"/>
                <w:sz w:val="12"/>
              </w:rPr>
              <w:t>Tenant membership, organization membership, and participation context</w:t>
            </w:r>
          </w:p>
        </w:tc>
        <w:tc>
          <w:tcPr>
            <w:tcW w:type="dxa" w:w="2088"/>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Identity, Account, and Actor Model</w:t>
            </w:r>
          </w:p>
        </w:tc>
        <w:tc>
          <w:tcPr>
            <w:tcW w:type="dxa" w:w="3542"/>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Relationship Model; Master Permission and Access-Control Model; Master Security and Trust Model; Master Audit Event and Evidence Model</w:t>
            </w:r>
          </w:p>
        </w:tc>
        <w:tc>
          <w:tcPr>
            <w:tcW w:type="dxa" w:w="1051"/>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AUTH-028</w:t>
            </w:r>
          </w:p>
        </w:tc>
      </w:tr>
      <w:tr>
        <w:trPr/>
        <w:tc>
          <w:tcPr>
            <w:tcW w:type="dxa" w:w="864"/>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XREF-029</w:t>
            </w:r>
          </w:p>
        </w:tc>
        <w:tc>
          <w:tcPr>
            <w:tcW w:type="dxa" w:w="2534"/>
            <w:tcMar>
              <w:top w:w="45" w:type="dxa"/>
              <w:start w:w="45" w:type="dxa"/>
              <w:bottom w:w="45" w:type="dxa"/>
              <w:end w:w="45" w:type="dxa"/>
            </w:tcMar>
            <w:vAlign w:val="top"/>
            <w:shd w:fill="FFFFFF"/>
          </w:tcPr>
          <w:p>
            <w:pPr>
              <w:spacing w:after="0" w:line="228" w:lineRule="auto"/>
            </w:pPr>
            <w:r>
              <w:rPr>
                <w:rFonts w:ascii="Aptos" w:hAnsi="Aptos"/>
                <w:b w:val="0"/>
                <w:color w:val="3C4650"/>
                <w:sz w:val="12"/>
              </w:rPr>
              <w:t>Minor status, guardian authority, assent, and age-appropriate participation</w:t>
            </w:r>
          </w:p>
        </w:tc>
        <w:tc>
          <w:tcPr>
            <w:tcW w:type="dxa" w:w="2088"/>
            <w:tcMar>
              <w:top w:w="45" w:type="dxa"/>
              <w:start w:w="45" w:type="dxa"/>
              <w:bottom w:w="45" w:type="dxa"/>
              <w:end w:w="45" w:type="dxa"/>
            </w:tcMar>
            <w:vAlign w:val="top"/>
            <w:shd w:fill="FFFFFF"/>
          </w:tcPr>
          <w:p>
            <w:pPr>
              <w:spacing w:after="0" w:line="228" w:lineRule="auto"/>
            </w:pPr>
            <w:r>
              <w:rPr>
                <w:rFonts w:ascii="Aptos" w:hAnsi="Aptos"/>
                <w:b w:val="0"/>
                <w:color w:val="3C4650"/>
                <w:sz w:val="12"/>
              </w:rPr>
              <w:t>Minor, Guardian, Safeguarding, and Delegated-Assistance Canon</w:t>
            </w:r>
          </w:p>
        </w:tc>
        <w:tc>
          <w:tcPr>
            <w:tcW w:type="dxa" w:w="3542"/>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Identity, Account, and Actor Model; Master Relationship Model; Master Agreement, Consent, and Authorization Model; Master Privacy and Data Protection Model; Master Permission and Access-Control Model; Master Communication, Notification, and Notice Model</w:t>
            </w:r>
          </w:p>
        </w:tc>
        <w:tc>
          <w:tcPr>
            <w:tcW w:type="dxa" w:w="1051"/>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AUTH-029</w:t>
            </w:r>
          </w:p>
        </w:tc>
      </w:tr>
      <w:tr>
        <w:trPr/>
        <w:tc>
          <w:tcPr>
            <w:tcW w:type="dxa" w:w="864"/>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XREF-030</w:t>
            </w:r>
          </w:p>
        </w:tc>
        <w:tc>
          <w:tcPr>
            <w:tcW w:type="dxa" w:w="2534"/>
            <w:tcMar>
              <w:top w:w="45" w:type="dxa"/>
              <w:start w:w="45" w:type="dxa"/>
              <w:bottom w:w="45" w:type="dxa"/>
              <w:end w:w="45" w:type="dxa"/>
            </w:tcMar>
            <w:vAlign w:val="top"/>
            <w:shd w:fill="EEF4F8"/>
          </w:tcPr>
          <w:p>
            <w:pPr>
              <w:spacing w:after="0" w:line="228" w:lineRule="auto"/>
            </w:pPr>
            <w:r>
              <w:rPr>
                <w:rFonts w:ascii="Aptos" w:hAnsi="Aptos"/>
                <w:b w:val="0"/>
                <w:color w:val="3C4650"/>
                <w:sz w:val="12"/>
              </w:rPr>
              <w:t>Safeguarding, child safety, protected reports, and protective restrictions</w:t>
            </w:r>
          </w:p>
        </w:tc>
        <w:tc>
          <w:tcPr>
            <w:tcW w:type="dxa" w:w="2088"/>
            <w:tcMar>
              <w:top w:w="45" w:type="dxa"/>
              <w:start w:w="45" w:type="dxa"/>
              <w:bottom w:w="45" w:type="dxa"/>
              <w:end w:w="45" w:type="dxa"/>
            </w:tcMar>
            <w:vAlign w:val="top"/>
            <w:shd w:fill="EEF4F8"/>
          </w:tcPr>
          <w:p>
            <w:pPr>
              <w:spacing w:after="0" w:line="228" w:lineRule="auto"/>
            </w:pPr>
            <w:r>
              <w:rPr>
                <w:rFonts w:ascii="Aptos" w:hAnsi="Aptos"/>
                <w:b w:val="0"/>
                <w:color w:val="3C4650"/>
                <w:sz w:val="12"/>
              </w:rPr>
              <w:t>Minor, Guardian, Safeguarding, and Delegated-Assistance Canon</w:t>
            </w:r>
          </w:p>
        </w:tc>
        <w:tc>
          <w:tcPr>
            <w:tcW w:type="dxa" w:w="3542"/>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Privacy and Data Protection Model; Master Security and Trust Model; Master Audit Event and Evidence Model; Master Claims, Disputes, and Authority Model; Master Communication, Notification, and Notice Model; Master AI Governance and Decision Boundary Model</w:t>
            </w:r>
          </w:p>
        </w:tc>
        <w:tc>
          <w:tcPr>
            <w:tcW w:type="dxa" w:w="1051"/>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AUTH-030</w:t>
            </w:r>
          </w:p>
        </w:tc>
      </w:tr>
      <w:tr>
        <w:trPr/>
        <w:tc>
          <w:tcPr>
            <w:tcW w:type="dxa" w:w="864"/>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XREF-031</w:t>
            </w:r>
          </w:p>
        </w:tc>
        <w:tc>
          <w:tcPr>
            <w:tcW w:type="dxa" w:w="2534"/>
            <w:tcMar>
              <w:top w:w="45" w:type="dxa"/>
              <w:start w:w="45" w:type="dxa"/>
              <w:bottom w:w="45" w:type="dxa"/>
              <w:end w:w="45" w:type="dxa"/>
            </w:tcMar>
            <w:vAlign w:val="top"/>
            <w:shd w:fill="FFFFFF"/>
          </w:tcPr>
          <w:p>
            <w:pPr>
              <w:spacing w:after="0" w:line="228" w:lineRule="auto"/>
            </w:pPr>
            <w:r>
              <w:rPr>
                <w:rFonts w:ascii="Aptos" w:hAnsi="Aptos"/>
                <w:b w:val="0"/>
                <w:color w:val="3C4650"/>
                <w:sz w:val="12"/>
              </w:rPr>
              <w:t>Agreement templates, agreement instances, parties, exhibits, and lifecycle</w:t>
            </w:r>
          </w:p>
        </w:tc>
        <w:tc>
          <w:tcPr>
            <w:tcW w:type="dxa" w:w="2088"/>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Agreement, Consent, and Authorization Model</w:t>
            </w:r>
          </w:p>
        </w:tc>
        <w:tc>
          <w:tcPr>
            <w:tcW w:type="dxa" w:w="3542"/>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Identity, Account, and Actor Model; Master Relationship Model; Master Record Stewardship and Retention Model; Master Audit Event and Evidence Model; Master Media, Files, and Digital Asset Governance Model</w:t>
            </w:r>
          </w:p>
        </w:tc>
        <w:tc>
          <w:tcPr>
            <w:tcW w:type="dxa" w:w="1051"/>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AUTH-031</w:t>
            </w:r>
          </w:p>
        </w:tc>
      </w:tr>
      <w:tr>
        <w:trPr/>
        <w:tc>
          <w:tcPr>
            <w:tcW w:type="dxa" w:w="864"/>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XREF-032</w:t>
            </w:r>
          </w:p>
        </w:tc>
        <w:tc>
          <w:tcPr>
            <w:tcW w:type="dxa" w:w="2534"/>
            <w:tcMar>
              <w:top w:w="45" w:type="dxa"/>
              <w:start w:w="45" w:type="dxa"/>
              <w:bottom w:w="45" w:type="dxa"/>
              <w:end w:w="45" w:type="dxa"/>
            </w:tcMar>
            <w:vAlign w:val="top"/>
            <w:shd w:fill="EEF4F8"/>
          </w:tcPr>
          <w:p>
            <w:pPr>
              <w:spacing w:after="0" w:line="228" w:lineRule="auto"/>
            </w:pPr>
            <w:r>
              <w:rPr>
                <w:rFonts w:ascii="Aptos" w:hAnsi="Aptos"/>
                <w:b w:val="0"/>
                <w:color w:val="3C4650"/>
                <w:sz w:val="12"/>
              </w:rPr>
              <w:t>Consent, assent, acknowledgment, disclosure, signature, withdrawal, and revocation</w:t>
            </w:r>
          </w:p>
        </w:tc>
        <w:tc>
          <w:tcPr>
            <w:tcW w:type="dxa" w:w="2088"/>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Agreement, Consent, and Authorization Model</w:t>
            </w:r>
          </w:p>
        </w:tc>
        <w:tc>
          <w:tcPr>
            <w:tcW w:type="dxa" w:w="3542"/>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Privacy and Data Protection Model; Master Communication, Notification, and Notice Model; Master Permission and Access-Control Model; Minor, Guardian, Safeguarding, and Delegated-Assistance Canon; Master Audit Event and Evidence Model</w:t>
            </w:r>
          </w:p>
        </w:tc>
        <w:tc>
          <w:tcPr>
            <w:tcW w:type="dxa" w:w="1051"/>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AUTH-032</w:t>
            </w:r>
          </w:p>
        </w:tc>
      </w:tr>
      <w:tr>
        <w:trPr/>
        <w:tc>
          <w:tcPr>
            <w:tcW w:type="dxa" w:w="864"/>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XREF-033</w:t>
            </w:r>
          </w:p>
        </w:tc>
        <w:tc>
          <w:tcPr>
            <w:tcW w:type="dxa" w:w="2534"/>
            <w:tcMar>
              <w:top w:w="45" w:type="dxa"/>
              <w:start w:w="45" w:type="dxa"/>
              <w:bottom w:w="45" w:type="dxa"/>
              <w:end w:w="45" w:type="dxa"/>
            </w:tcMar>
            <w:vAlign w:val="top"/>
            <w:shd w:fill="FFFFFF"/>
          </w:tcPr>
          <w:p>
            <w:pPr>
              <w:spacing w:after="0" w:line="228" w:lineRule="auto"/>
            </w:pPr>
            <w:r>
              <w:rPr>
                <w:rFonts w:ascii="Aptos" w:hAnsi="Aptos"/>
                <w:b w:val="0"/>
                <w:color w:val="3C4650"/>
                <w:sz w:val="12"/>
              </w:rPr>
              <w:t>Authorization bases, delegation, approval chains, and authority events</w:t>
            </w:r>
          </w:p>
        </w:tc>
        <w:tc>
          <w:tcPr>
            <w:tcW w:type="dxa" w:w="2088"/>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Permission and Access-Control Model</w:t>
            </w:r>
          </w:p>
        </w:tc>
        <w:tc>
          <w:tcPr>
            <w:tcW w:type="dxa" w:w="3542"/>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Relationship Model; Master Agreement, Consent, and Authorization Model; Master Identity, Account, and Actor Model; Master Audit Event and Evidence Model</w:t>
            </w:r>
          </w:p>
        </w:tc>
        <w:tc>
          <w:tcPr>
            <w:tcW w:type="dxa" w:w="1051"/>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AUTH-033</w:t>
            </w:r>
          </w:p>
        </w:tc>
      </w:tr>
      <w:tr>
        <w:trPr/>
        <w:tc>
          <w:tcPr>
            <w:tcW w:type="dxa" w:w="864"/>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XREF-034</w:t>
            </w:r>
          </w:p>
        </w:tc>
        <w:tc>
          <w:tcPr>
            <w:tcW w:type="dxa" w:w="2534"/>
            <w:tcMar>
              <w:top w:w="45" w:type="dxa"/>
              <w:start w:w="45" w:type="dxa"/>
              <w:bottom w:w="45" w:type="dxa"/>
              <w:end w:w="45" w:type="dxa"/>
            </w:tcMar>
            <w:vAlign w:val="top"/>
            <w:shd w:fill="EEF4F8"/>
          </w:tcPr>
          <w:p>
            <w:pPr>
              <w:spacing w:after="0" w:line="228" w:lineRule="auto"/>
            </w:pPr>
            <w:r>
              <w:rPr>
                <w:rFonts w:ascii="Aptos" w:hAnsi="Aptos"/>
                <w:b w:val="0"/>
                <w:color w:val="3C4650"/>
                <w:sz w:val="12"/>
              </w:rPr>
              <w:t>Least privilege, field projection, scope, purpose, time, and contextual access</w:t>
            </w:r>
          </w:p>
        </w:tc>
        <w:tc>
          <w:tcPr>
            <w:tcW w:type="dxa" w:w="2088"/>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Permission and Access-Control Model</w:t>
            </w:r>
          </w:p>
        </w:tc>
        <w:tc>
          <w:tcPr>
            <w:tcW w:type="dxa" w:w="3542"/>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Privacy and Data Protection Model; Master Security and Trust Model; Master Relationship Model; Master Record Stewardship and Retention Model; Master Media, Files, and Digital Asset Governance Model</w:t>
            </w:r>
          </w:p>
        </w:tc>
        <w:tc>
          <w:tcPr>
            <w:tcW w:type="dxa" w:w="1051"/>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AUTH-034</w:t>
            </w:r>
          </w:p>
        </w:tc>
      </w:tr>
      <w:tr>
        <w:trPr/>
        <w:tc>
          <w:tcPr>
            <w:tcW w:type="dxa" w:w="864"/>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XREF-035</w:t>
            </w:r>
          </w:p>
        </w:tc>
        <w:tc>
          <w:tcPr>
            <w:tcW w:type="dxa" w:w="2534"/>
            <w:tcMar>
              <w:top w:w="45" w:type="dxa"/>
              <w:start w:w="45" w:type="dxa"/>
              <w:bottom w:w="45" w:type="dxa"/>
              <w:end w:w="45" w:type="dxa"/>
            </w:tcMar>
            <w:vAlign w:val="top"/>
            <w:shd w:fill="FFFFFF"/>
          </w:tcPr>
          <w:p>
            <w:pPr>
              <w:spacing w:after="0" w:line="228" w:lineRule="auto"/>
            </w:pPr>
            <w:r>
              <w:rPr>
                <w:rFonts w:ascii="Aptos" w:hAnsi="Aptos"/>
                <w:b w:val="0"/>
                <w:color w:val="3C4650"/>
                <w:sz w:val="12"/>
              </w:rPr>
              <w:t>Role definitions, role assignments, and role-based access effects</w:t>
            </w:r>
          </w:p>
        </w:tc>
        <w:tc>
          <w:tcPr>
            <w:tcW w:type="dxa" w:w="2088"/>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Permission and Access-Control Model</w:t>
            </w:r>
          </w:p>
        </w:tc>
        <w:tc>
          <w:tcPr>
            <w:tcW w:type="dxa" w:w="3542"/>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Identity, Account, and Actor Model; Master Relationship Model; Constitutional Domain Ownership and Boundary Register</w:t>
            </w:r>
          </w:p>
        </w:tc>
        <w:tc>
          <w:tcPr>
            <w:tcW w:type="dxa" w:w="1051"/>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AUTH-035</w:t>
            </w:r>
          </w:p>
        </w:tc>
      </w:tr>
      <w:tr>
        <w:trPr/>
        <w:tc>
          <w:tcPr>
            <w:tcW w:type="dxa" w:w="864"/>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XREF-036</w:t>
            </w:r>
          </w:p>
        </w:tc>
        <w:tc>
          <w:tcPr>
            <w:tcW w:type="dxa" w:w="2534"/>
            <w:tcMar>
              <w:top w:w="45" w:type="dxa"/>
              <w:start w:w="45" w:type="dxa"/>
              <w:bottom w:w="45" w:type="dxa"/>
              <w:end w:w="45" w:type="dxa"/>
            </w:tcMar>
            <w:vAlign w:val="top"/>
            <w:shd w:fill="EEF4F8"/>
          </w:tcPr>
          <w:p>
            <w:pPr>
              <w:spacing w:after="0" w:line="228" w:lineRule="auto"/>
            </w:pPr>
            <w:r>
              <w:rPr>
                <w:rFonts w:ascii="Aptos" w:hAnsi="Aptos"/>
                <w:b w:val="0"/>
                <w:color w:val="3C4650"/>
                <w:sz w:val="12"/>
              </w:rPr>
              <w:t>Emergency access, break-glass action, and urgent protective authority</w:t>
            </w:r>
          </w:p>
        </w:tc>
        <w:tc>
          <w:tcPr>
            <w:tcW w:type="dxa" w:w="2088"/>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Identity, Account, and Actor Model</w:t>
            </w:r>
          </w:p>
        </w:tc>
        <w:tc>
          <w:tcPr>
            <w:tcW w:type="dxa" w:w="3542"/>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Permission and Access-Control Model; Minor, Guardian, Safeguarding, and Delegated-Assistance Canon; Master Horse Lifecycle and Passport Model; Master Security and Trust Model; Master Audit Event and Evidence Model; Master Platform Operations, Reliability, and Release Model</w:t>
            </w:r>
          </w:p>
        </w:tc>
        <w:tc>
          <w:tcPr>
            <w:tcW w:type="dxa" w:w="1051"/>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AUTH-036</w:t>
            </w:r>
          </w:p>
        </w:tc>
      </w:tr>
      <w:tr>
        <w:trPr/>
        <w:tc>
          <w:tcPr>
            <w:tcW w:type="dxa" w:w="864"/>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XREF-037</w:t>
            </w:r>
          </w:p>
        </w:tc>
        <w:tc>
          <w:tcPr>
            <w:tcW w:type="dxa" w:w="2534"/>
            <w:tcMar>
              <w:top w:w="45" w:type="dxa"/>
              <w:start w:w="45" w:type="dxa"/>
              <w:bottom w:w="45" w:type="dxa"/>
              <w:end w:w="45" w:type="dxa"/>
            </w:tcMar>
            <w:vAlign w:val="top"/>
            <w:shd w:fill="FFFFFF"/>
          </w:tcPr>
          <w:p>
            <w:pPr>
              <w:spacing w:after="0" w:line="228" w:lineRule="auto"/>
            </w:pPr>
            <w:r>
              <w:rPr>
                <w:rFonts w:ascii="Aptos" w:hAnsi="Aptos"/>
                <w:b w:val="0"/>
                <w:color w:val="3C4650"/>
                <w:sz w:val="12"/>
              </w:rPr>
              <w:t>Suspension, revocation, expiration, and termination of access or authority</w:t>
            </w:r>
          </w:p>
        </w:tc>
        <w:tc>
          <w:tcPr>
            <w:tcW w:type="dxa" w:w="2088"/>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Permission and Access-Control Model</w:t>
            </w:r>
          </w:p>
        </w:tc>
        <w:tc>
          <w:tcPr>
            <w:tcW w:type="dxa" w:w="3542"/>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Identity, Account, and Actor Model; Master Relationship Model; Master Agreement, Consent, and Authorization Model; Master Audit Event and Evidence Model; Master Communication, Notification, and Notice Model</w:t>
            </w:r>
          </w:p>
        </w:tc>
        <w:tc>
          <w:tcPr>
            <w:tcW w:type="dxa" w:w="1051"/>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AUTH-037</w:t>
            </w:r>
          </w:p>
        </w:tc>
      </w:tr>
      <w:tr>
        <w:trPr/>
        <w:tc>
          <w:tcPr>
            <w:tcW w:type="dxa" w:w="864"/>
            <w:tcMar>
              <w:top w:w="45" w:type="dxa"/>
              <w:start w:w="45" w:type="dxa"/>
              <w:bottom w:w="45" w:type="dxa"/>
              <w:end w:w="45" w:type="dxa"/>
            </w:tcMar>
            <w:vAlign w:val="top"/>
            <w:shd w:fill="EEF4F8"/>
          </w:tcPr>
          <w:p>
            <w:pPr>
              <w:spacing w:after="0" w:before="0"/>
            </w:pPr>
            <w:r>
              <w:rPr>
                <w:rFonts w:ascii="Aptos" w:hAnsi="Aptos"/>
                <w:sz w:val="16"/>
              </w:rPr>
              <w:t>XREF-038</w:t>
            </w:r>
          </w:p>
        </w:tc>
        <w:tc>
          <w:tcPr>
            <w:tcW w:type="dxa" w:w="2534"/>
            <w:tcMar>
              <w:top w:w="45" w:type="dxa"/>
              <w:start w:w="45" w:type="dxa"/>
              <w:bottom w:w="45" w:type="dxa"/>
              <w:end w:w="45" w:type="dxa"/>
            </w:tcMar>
            <w:vAlign w:val="top"/>
            <w:shd w:fill="EEF4F8"/>
          </w:tcPr>
          <w:p>
            <w:pPr>
              <w:spacing w:after="0" w:before="0"/>
            </w:pPr>
            <w:r>
              <w:rPr>
                <w:rFonts w:ascii="Aptos" w:hAnsi="Aptos"/>
                <w:sz w:val="16"/>
              </w:rPr>
              <w:t>Shared care and delegated assistance for routine horse tasks</w:t>
            </w:r>
          </w:p>
        </w:tc>
        <w:tc>
          <w:tcPr>
            <w:tcW w:type="dxa" w:w="2088"/>
            <w:tcMar>
              <w:top w:w="45" w:type="dxa"/>
              <w:start w:w="45" w:type="dxa"/>
              <w:bottom w:w="45" w:type="dxa"/>
              <w:end w:w="45" w:type="dxa"/>
            </w:tcMar>
            <w:vAlign w:val="top"/>
            <w:shd w:fill="EEF4F8"/>
          </w:tcPr>
          <w:p>
            <w:pPr>
              <w:spacing w:after="0" w:before="0"/>
            </w:pPr>
            <w:r>
              <w:rPr>
                <w:rFonts w:ascii="Aptos" w:hAnsi="Aptos"/>
                <w:sz w:val="16"/>
              </w:rPr>
              <w:t>Master Relationship Model</w:t>
            </w:r>
          </w:p>
        </w:tc>
        <w:tc>
          <w:tcPr>
            <w:tcW w:type="dxa" w:w="3542"/>
            <w:tcMar>
              <w:top w:w="45" w:type="dxa"/>
              <w:start w:w="45" w:type="dxa"/>
              <w:bottom w:w="45" w:type="dxa"/>
              <w:end w:w="45" w:type="dxa"/>
            </w:tcMar>
            <w:vAlign w:val="top"/>
            <w:shd w:fill="EEF4F8"/>
          </w:tcPr>
          <w:p>
            <w:pPr>
              <w:spacing w:after="0" w:before="0"/>
            </w:pPr>
            <w:r>
              <w:rPr>
                <w:rFonts w:ascii="Aptos" w:hAnsi="Aptos"/>
                <w:sz w:val="16"/>
              </w:rPr>
              <w:t>Master Agreement, Consent, and Authorization Model; Master Permission and Access-Control Model; Master Barn Lifecycle and Operations Canon; Master Search, Discovery, Ranking, and Retrieval Model; Minor, Guardian, Safeguarding, and Delegated-Assistance Canon; Master Audit Event and Evidence Model</w:t>
            </w:r>
          </w:p>
        </w:tc>
        <w:tc>
          <w:tcPr>
            <w:tcW w:type="dxa" w:w="1051"/>
            <w:tcMar>
              <w:top w:w="45" w:type="dxa"/>
              <w:start w:w="45" w:type="dxa"/>
              <w:bottom w:w="45" w:type="dxa"/>
              <w:end w:w="45" w:type="dxa"/>
            </w:tcMar>
            <w:vAlign w:val="top"/>
            <w:shd w:fill="EEF4F8"/>
          </w:tcPr>
          <w:p>
            <w:pPr>
              <w:spacing w:after="0" w:before="0"/>
            </w:pPr>
            <w:r>
              <w:rPr>
                <w:rFonts w:ascii="Aptos" w:hAnsi="Aptos"/>
                <w:sz w:val="16"/>
              </w:rPr>
              <w:t>AUTH-038</w:t>
            </w:r>
          </w:p>
        </w:tc>
      </w:tr>
      <w:tr>
        <w:trPr/>
        <w:tc>
          <w:tcPr>
            <w:tcW w:type="dxa" w:w="864"/>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XREF-039</w:t>
            </w:r>
          </w:p>
        </w:tc>
        <w:tc>
          <w:tcPr>
            <w:tcW w:type="dxa" w:w="2534"/>
            <w:tcMar>
              <w:top w:w="45" w:type="dxa"/>
              <w:start w:w="45" w:type="dxa"/>
              <w:bottom w:w="45" w:type="dxa"/>
              <w:end w:w="45" w:type="dxa"/>
            </w:tcMar>
            <w:vAlign w:val="top"/>
            <w:shd w:fill="FFFFFF"/>
          </w:tcPr>
          <w:p>
            <w:pPr>
              <w:spacing w:after="0" w:line="228" w:lineRule="auto"/>
            </w:pPr>
            <w:r>
              <w:rPr>
                <w:rFonts w:ascii="Aptos" w:hAnsi="Aptos"/>
                <w:b w:val="0"/>
                <w:color w:val="3C4650"/>
                <w:sz w:val="12"/>
              </w:rPr>
              <w:t>Access challenge, review, appeal, and correction of authority decisions</w:t>
            </w:r>
          </w:p>
        </w:tc>
        <w:tc>
          <w:tcPr>
            <w:tcW w:type="dxa" w:w="2088"/>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Claims, Disputes, and Authority Model</w:t>
            </w:r>
          </w:p>
        </w:tc>
        <w:tc>
          <w:tcPr>
            <w:tcW w:type="dxa" w:w="3542"/>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Permission and Access-Control Model; Master Relationship Model; Master Agreement, Consent, and Authorization Model; Master Audit Event and Evidence Model; Master Communication, Notification, and Notice Model</w:t>
            </w:r>
          </w:p>
        </w:tc>
        <w:tc>
          <w:tcPr>
            <w:tcW w:type="dxa" w:w="1051"/>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AUTH-039</w:t>
            </w:r>
          </w:p>
        </w:tc>
      </w:tr>
      <w:tr>
        <w:trPr/>
        <w:tc>
          <w:tcPr>
            <w:tcW w:type="dxa" w:w="864"/>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XREF-040</w:t>
            </w:r>
          </w:p>
        </w:tc>
        <w:tc>
          <w:tcPr>
            <w:tcW w:type="dxa" w:w="2534"/>
            <w:tcMar>
              <w:top w:w="45" w:type="dxa"/>
              <w:start w:w="45" w:type="dxa"/>
              <w:bottom w:w="45" w:type="dxa"/>
              <w:end w:w="45" w:type="dxa"/>
            </w:tcMar>
            <w:vAlign w:val="top"/>
            <w:shd w:fill="EEF4F8"/>
          </w:tcPr>
          <w:p>
            <w:pPr>
              <w:spacing w:after="0" w:line="228" w:lineRule="auto"/>
            </w:pPr>
            <w:r>
              <w:rPr>
                <w:rFonts w:ascii="Aptos" w:hAnsi="Aptos"/>
                <w:b w:val="0"/>
                <w:color w:val="3C4650"/>
                <w:sz w:val="12"/>
              </w:rPr>
              <w:t>Consequential and high-risk actions requiring enhanced controls</w:t>
            </w:r>
          </w:p>
        </w:tc>
        <w:tc>
          <w:tcPr>
            <w:tcW w:type="dxa" w:w="2088"/>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Permission and Access-Control Model</w:t>
            </w:r>
          </w:p>
        </w:tc>
        <w:tc>
          <w:tcPr>
            <w:tcW w:type="dxa" w:w="3542"/>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AI Governance and Decision Boundary Model; Master Financial Truth and Responsibility Model; Minor, Guardian, Safeguarding, and Delegated-Assistance Canon; Master Horse Transfer and Continuity Policy; Master Security and Trust Model; Master Audit Event and Evidence Model</w:t>
            </w:r>
          </w:p>
        </w:tc>
        <w:tc>
          <w:tcPr>
            <w:tcW w:type="dxa" w:w="1051"/>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AUTH-040</w:t>
            </w:r>
          </w:p>
        </w:tc>
      </w:tr>
    </w:tbl>
    <w:p>
      <w:pPr>
        <w:spacing w:after="0"/>
      </w:pPr>
    </w:p>
    <w:p>
      <w:pPr>
        <w:pStyle w:val="Heading2"/>
      </w:pPr>
      <w:r>
        <w:t>D. Privacy, Security, Records, Evidence, Communications, Media, and Search</w:t>
      </w:r>
    </w:p>
    <w:tbl>
      <w:tblPr>
        <w:tblW w:type="auto" w:w="0"/>
        <w:jc w:val="center"/>
        <w:tblLayout w:type="fixed"/>
        <w:tblLook w:firstColumn="1" w:firstRow="1" w:lastColumn="0" w:lastRow="0" w:noHBand="0" w:noVBand="1" w:val="04A0"/>
        <w:tblBorders>
          <w:top w:val="single" w:sz="4" w:space="0" w:color="A7B5C3"/>
          <w:left w:val="single" w:sz="4" w:space="0" w:color="A7B5C3"/>
          <w:bottom w:val="single" w:sz="4" w:space="0" w:color="A7B5C3"/>
          <w:right w:val="single" w:sz="4" w:space="0" w:color="A7B5C3"/>
          <w:insideH w:val="single" w:sz="4" w:space="0" w:color="A7B5C3"/>
          <w:insideV w:val="single" w:sz="4" w:space="0" w:color="A7B5C3"/>
        </w:tblBorders>
      </w:tblPr>
      <w:tblGrid>
        <w:gridCol w:w="2033"/>
        <w:gridCol w:w="2033"/>
        <w:gridCol w:w="2033"/>
        <w:gridCol w:w="2033"/>
        <w:gridCol w:w="2033"/>
      </w:tblGrid>
      <w:tr>
        <w:trPr>
          <w:tblHeader w:val="true"/>
        </w:trPr>
        <w:tc>
          <w:tcPr>
            <w:tcW w:type="dxa" w:w="864"/>
            <w:shd w:fill="0B2748"/>
            <w:tcMar>
              <w:top w:w="70" w:type="dxa"/>
              <w:start w:w="55" w:type="dxa"/>
              <w:bottom w:w="70" w:type="dxa"/>
              <w:end w:w="55" w:type="dxa"/>
            </w:tcMar>
            <w:vAlign w:val="center"/>
          </w:tcPr>
          <w:p>
            <w:pPr>
              <w:spacing w:after="0"/>
              <w:jc w:val="center"/>
            </w:pPr>
            <w:r>
              <w:rPr>
                <w:rFonts w:ascii="Aptos" w:hAnsi="Aptos"/>
                <w:b/>
                <w:color w:val="FFFFFF"/>
                <w:sz w:val="13"/>
              </w:rPr>
              <w:t>XREF ID</w:t>
            </w:r>
          </w:p>
        </w:tc>
        <w:tc>
          <w:tcPr>
            <w:tcW w:type="dxa" w:w="2534"/>
            <w:shd w:fill="0B2748"/>
            <w:tcMar>
              <w:top w:w="70" w:type="dxa"/>
              <w:start w:w="55" w:type="dxa"/>
              <w:bottom w:w="70" w:type="dxa"/>
              <w:end w:w="55" w:type="dxa"/>
            </w:tcMar>
            <w:vAlign w:val="center"/>
          </w:tcPr>
          <w:p>
            <w:pPr>
              <w:spacing w:after="0"/>
              <w:jc w:val="center"/>
            </w:pPr>
            <w:r>
              <w:rPr>
                <w:rFonts w:ascii="Aptos" w:hAnsi="Aptos"/>
                <w:b/>
                <w:color w:val="FFFFFF"/>
                <w:sz w:val="13"/>
              </w:rPr>
              <w:t>Topic / Common Search Terms</w:t>
            </w:r>
          </w:p>
        </w:tc>
        <w:tc>
          <w:tcPr>
            <w:tcW w:type="dxa" w:w="2088"/>
            <w:shd w:fill="0B2748"/>
            <w:tcMar>
              <w:top w:w="70" w:type="dxa"/>
              <w:start w:w="55" w:type="dxa"/>
              <w:bottom w:w="70" w:type="dxa"/>
              <w:end w:w="55" w:type="dxa"/>
            </w:tcMar>
            <w:vAlign w:val="center"/>
          </w:tcPr>
          <w:p>
            <w:pPr>
              <w:spacing w:after="0"/>
              <w:jc w:val="center"/>
            </w:pPr>
            <w:r>
              <w:rPr>
                <w:rFonts w:ascii="Aptos" w:hAnsi="Aptos"/>
                <w:b/>
                <w:color w:val="FFFFFF"/>
                <w:sz w:val="13"/>
              </w:rPr>
              <w:t>Start With</w:t>
            </w:r>
          </w:p>
        </w:tc>
        <w:tc>
          <w:tcPr>
            <w:tcW w:type="dxa" w:w="3542"/>
            <w:shd w:fill="0B2748"/>
            <w:tcMar>
              <w:top w:w="70" w:type="dxa"/>
              <w:start w:w="55" w:type="dxa"/>
              <w:bottom w:w="70" w:type="dxa"/>
              <w:end w:w="55" w:type="dxa"/>
            </w:tcMar>
            <w:vAlign w:val="center"/>
          </w:tcPr>
          <w:p>
            <w:pPr>
              <w:spacing w:after="0"/>
              <w:jc w:val="center"/>
            </w:pPr>
            <w:r>
              <w:rPr>
                <w:rFonts w:ascii="Aptos" w:hAnsi="Aptos"/>
                <w:b/>
                <w:color w:val="FFFFFF"/>
                <w:sz w:val="13"/>
              </w:rPr>
              <w:t>Read With</w:t>
            </w:r>
          </w:p>
        </w:tc>
        <w:tc>
          <w:tcPr>
            <w:tcW w:type="dxa" w:w="1051"/>
            <w:shd w:fill="0B2748"/>
            <w:tcMar>
              <w:top w:w="70" w:type="dxa"/>
              <w:start w:w="55" w:type="dxa"/>
              <w:bottom w:w="70" w:type="dxa"/>
              <w:end w:w="55" w:type="dxa"/>
            </w:tcMar>
            <w:vAlign w:val="center"/>
          </w:tcPr>
          <w:p>
            <w:pPr>
              <w:spacing w:after="0"/>
              <w:jc w:val="center"/>
            </w:pPr>
            <w:r>
              <w:rPr>
                <w:rFonts w:ascii="Aptos" w:hAnsi="Aptos"/>
                <w:b/>
                <w:color w:val="FFFFFF"/>
                <w:sz w:val="13"/>
              </w:rPr>
              <w:t>Authority Matrix</w:t>
            </w:r>
          </w:p>
        </w:tc>
      </w:tr>
      <w:tr>
        <w:trPr/>
        <w:tc>
          <w:tcPr>
            <w:tcW w:type="dxa" w:w="864"/>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XREF-041</w:t>
            </w:r>
          </w:p>
        </w:tc>
        <w:tc>
          <w:tcPr>
            <w:tcW w:type="dxa" w:w="2534"/>
            <w:tcMar>
              <w:top w:w="45" w:type="dxa"/>
              <w:start w:w="45" w:type="dxa"/>
              <w:bottom w:w="45" w:type="dxa"/>
              <w:end w:w="45" w:type="dxa"/>
            </w:tcMar>
            <w:vAlign w:val="top"/>
            <w:shd w:fill="FFFFFF"/>
          </w:tcPr>
          <w:p>
            <w:pPr>
              <w:spacing w:after="0" w:line="228" w:lineRule="auto"/>
            </w:pPr>
            <w:r>
              <w:rPr>
                <w:rFonts w:ascii="Aptos" w:hAnsi="Aptos"/>
                <w:b w:val="0"/>
                <w:color w:val="3C4650"/>
                <w:sz w:val="12"/>
              </w:rPr>
              <w:t>Personal information collection, use, disclosure, transfer, and deletion</w:t>
            </w:r>
          </w:p>
        </w:tc>
        <w:tc>
          <w:tcPr>
            <w:tcW w:type="dxa" w:w="2088"/>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Privacy and Data Protection Model</w:t>
            </w:r>
          </w:p>
        </w:tc>
        <w:tc>
          <w:tcPr>
            <w:tcW w:type="dxa" w:w="3542"/>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Agreement, Consent, and Authorization Model; Master Permission and Access-Control Model; Master Record Stewardship and Retention Model; Master Security and Trust Model; Master Vendor Security and Supply Chain Model</w:t>
            </w:r>
          </w:p>
        </w:tc>
        <w:tc>
          <w:tcPr>
            <w:tcW w:type="dxa" w:w="1051"/>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AUTH-041</w:t>
            </w:r>
          </w:p>
        </w:tc>
      </w:tr>
      <w:tr>
        <w:trPr/>
        <w:tc>
          <w:tcPr>
            <w:tcW w:type="dxa" w:w="864"/>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XREF-042</w:t>
            </w:r>
          </w:p>
        </w:tc>
        <w:tc>
          <w:tcPr>
            <w:tcW w:type="dxa" w:w="2534"/>
            <w:tcMar>
              <w:top w:w="45" w:type="dxa"/>
              <w:start w:w="45" w:type="dxa"/>
              <w:bottom w:w="45" w:type="dxa"/>
              <w:end w:w="45" w:type="dxa"/>
            </w:tcMar>
            <w:vAlign w:val="top"/>
            <w:shd w:fill="EEF4F8"/>
          </w:tcPr>
          <w:p>
            <w:pPr>
              <w:spacing w:after="0" w:line="228" w:lineRule="auto"/>
            </w:pPr>
            <w:r>
              <w:rPr>
                <w:rFonts w:ascii="Aptos" w:hAnsi="Aptos"/>
                <w:b w:val="0"/>
                <w:color w:val="3C4650"/>
                <w:sz w:val="12"/>
              </w:rPr>
              <w:t>Purpose limitation, data minimization, and secondary-use control</w:t>
            </w:r>
          </w:p>
        </w:tc>
        <w:tc>
          <w:tcPr>
            <w:tcW w:type="dxa" w:w="2088"/>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Privacy and Data Protection Model</w:t>
            </w:r>
          </w:p>
        </w:tc>
        <w:tc>
          <w:tcPr>
            <w:tcW w:type="dxa" w:w="3542"/>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Permission and Access-Control Model; Master AI Governance and Decision Boundary Model; Master Reporting, Analytics, and Business Intelligence Model; Master Vendor Security and Supply Chain Model; Master Media, Files, and Digital Asset Governance Model</w:t>
            </w:r>
          </w:p>
        </w:tc>
        <w:tc>
          <w:tcPr>
            <w:tcW w:type="dxa" w:w="1051"/>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AUTH-042</w:t>
            </w:r>
          </w:p>
        </w:tc>
      </w:tr>
      <w:tr>
        <w:trPr/>
        <w:tc>
          <w:tcPr>
            <w:tcW w:type="dxa" w:w="864"/>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XREF-043</w:t>
            </w:r>
          </w:p>
        </w:tc>
        <w:tc>
          <w:tcPr>
            <w:tcW w:type="dxa" w:w="2534"/>
            <w:tcMar>
              <w:top w:w="45" w:type="dxa"/>
              <w:start w:w="45" w:type="dxa"/>
              <w:bottom w:w="45" w:type="dxa"/>
              <w:end w:w="45" w:type="dxa"/>
            </w:tcMar>
            <w:vAlign w:val="top"/>
            <w:shd w:fill="FFFFFF"/>
          </w:tcPr>
          <w:p>
            <w:pPr>
              <w:spacing w:after="0" w:line="228" w:lineRule="auto"/>
            </w:pPr>
            <w:r>
              <w:rPr>
                <w:rFonts w:ascii="Aptos" w:hAnsi="Aptos"/>
                <w:b w:val="0"/>
                <w:color w:val="3C4650"/>
                <w:sz w:val="12"/>
              </w:rPr>
              <w:t>Controller, processor, subprocessor, and processing-role allocation</w:t>
            </w:r>
          </w:p>
        </w:tc>
        <w:tc>
          <w:tcPr>
            <w:tcW w:type="dxa" w:w="2088"/>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Privacy and Data Protection Model</w:t>
            </w:r>
          </w:p>
        </w:tc>
        <w:tc>
          <w:tcPr>
            <w:tcW w:type="dxa" w:w="3542"/>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Vendor Security and Supply Chain Model; Master External Architecture and Adapter Model; Master Agreement, Consent, and Authorization Model; Master Record Stewardship and Retention Model</w:t>
            </w:r>
          </w:p>
        </w:tc>
        <w:tc>
          <w:tcPr>
            <w:tcW w:type="dxa" w:w="1051"/>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AUTH-043</w:t>
            </w:r>
          </w:p>
        </w:tc>
      </w:tr>
      <w:tr>
        <w:trPr/>
        <w:tc>
          <w:tcPr>
            <w:tcW w:type="dxa" w:w="864"/>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XREF-044</w:t>
            </w:r>
          </w:p>
        </w:tc>
        <w:tc>
          <w:tcPr>
            <w:tcW w:type="dxa" w:w="2534"/>
            <w:tcMar>
              <w:top w:w="45" w:type="dxa"/>
              <w:start w:w="45" w:type="dxa"/>
              <w:bottom w:w="45" w:type="dxa"/>
              <w:end w:w="45" w:type="dxa"/>
            </w:tcMar>
            <w:vAlign w:val="top"/>
            <w:shd w:fill="EEF4F8"/>
          </w:tcPr>
          <w:p>
            <w:pPr>
              <w:spacing w:after="0" w:line="228" w:lineRule="auto"/>
            </w:pPr>
            <w:r>
              <w:rPr>
                <w:rFonts w:ascii="Aptos" w:hAnsi="Aptos"/>
                <w:b w:val="0"/>
                <w:color w:val="3C4650"/>
                <w:sz w:val="12"/>
              </w:rPr>
              <w:t>Privacy rights, access, correction, restriction, objection, portability, and erasure</w:t>
            </w:r>
          </w:p>
        </w:tc>
        <w:tc>
          <w:tcPr>
            <w:tcW w:type="dxa" w:w="2088"/>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Privacy and Data Protection Model</w:t>
            </w:r>
          </w:p>
        </w:tc>
        <w:tc>
          <w:tcPr>
            <w:tcW w:type="dxa" w:w="3542"/>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Record Stewardship and Retention Model; Master Agreement, Consent, and Authorization Model; Master Audit Event and Evidence Model; Master Media, Files, and Digital Asset Governance Model; Master Vendor Security and Supply Chain Model</w:t>
            </w:r>
          </w:p>
        </w:tc>
        <w:tc>
          <w:tcPr>
            <w:tcW w:type="dxa" w:w="1051"/>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AUTH-044</w:t>
            </w:r>
          </w:p>
        </w:tc>
      </w:tr>
      <w:tr>
        <w:trPr/>
        <w:tc>
          <w:tcPr>
            <w:tcW w:type="dxa" w:w="864"/>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XREF-045</w:t>
            </w:r>
          </w:p>
        </w:tc>
        <w:tc>
          <w:tcPr>
            <w:tcW w:type="dxa" w:w="2534"/>
            <w:tcMar>
              <w:top w:w="45" w:type="dxa"/>
              <w:start w:w="45" w:type="dxa"/>
              <w:bottom w:w="45" w:type="dxa"/>
              <w:end w:w="45" w:type="dxa"/>
            </w:tcMar>
            <w:vAlign w:val="top"/>
            <w:shd w:fill="FFFFFF"/>
          </w:tcPr>
          <w:p>
            <w:pPr>
              <w:spacing w:after="0" w:line="228" w:lineRule="auto"/>
            </w:pPr>
            <w:r>
              <w:rPr>
                <w:rFonts w:ascii="Aptos" w:hAnsi="Aptos"/>
                <w:b w:val="0"/>
                <w:color w:val="3C4650"/>
                <w:sz w:val="12"/>
              </w:rPr>
              <w:t>Information classification and sensitivity handling</w:t>
            </w:r>
          </w:p>
        </w:tc>
        <w:tc>
          <w:tcPr>
            <w:tcW w:type="dxa" w:w="2088"/>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Privacy and Data Protection Model</w:t>
            </w:r>
          </w:p>
        </w:tc>
        <w:tc>
          <w:tcPr>
            <w:tcW w:type="dxa" w:w="3542"/>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Security and Trust Model; Master Record Stewardship and Retention Model; Master Media, Files, and Digital Asset Governance Model; Master Financial Truth and Responsibility Model; Minor, Guardian, Safeguarding, and Delegated-Assistance Canon</w:t>
            </w:r>
          </w:p>
        </w:tc>
        <w:tc>
          <w:tcPr>
            <w:tcW w:type="dxa" w:w="1051"/>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AUTH-045</w:t>
            </w:r>
          </w:p>
        </w:tc>
      </w:tr>
      <w:tr>
        <w:trPr/>
        <w:tc>
          <w:tcPr>
            <w:tcW w:type="dxa" w:w="864"/>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XREF-046</w:t>
            </w:r>
          </w:p>
        </w:tc>
        <w:tc>
          <w:tcPr>
            <w:tcW w:type="dxa" w:w="2534"/>
            <w:tcMar>
              <w:top w:w="45" w:type="dxa"/>
              <w:start w:w="45" w:type="dxa"/>
              <w:bottom w:w="45" w:type="dxa"/>
              <w:end w:w="45" w:type="dxa"/>
            </w:tcMar>
            <w:vAlign w:val="top"/>
            <w:shd w:fill="EEF4F8"/>
          </w:tcPr>
          <w:p>
            <w:pPr>
              <w:spacing w:after="0" w:line="228" w:lineRule="auto"/>
            </w:pPr>
            <w:r>
              <w:rPr>
                <w:rFonts w:ascii="Aptos" w:hAnsi="Aptos"/>
                <w:b w:val="0"/>
                <w:color w:val="3C4650"/>
                <w:sz w:val="12"/>
              </w:rPr>
              <w:t>Tenant isolation and cross-tenant separation</w:t>
            </w:r>
          </w:p>
        </w:tc>
        <w:tc>
          <w:tcPr>
            <w:tcW w:type="dxa" w:w="2088"/>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Security and Trust Model</w:t>
            </w:r>
          </w:p>
        </w:tc>
        <w:tc>
          <w:tcPr>
            <w:tcW w:type="dxa" w:w="3542"/>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Permission and Access-Control Model; Master Privacy and Data Protection Model; Master Developer, Platform, and Integration Governance Model; Master Platform Extensibility and Plugin Governance Model; Master AI Governance and Decision Boundary Model; Master Reporting, Analytics, and Business Intelligence Model</w:t>
            </w:r>
          </w:p>
        </w:tc>
        <w:tc>
          <w:tcPr>
            <w:tcW w:type="dxa" w:w="1051"/>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AUTH-046</w:t>
            </w:r>
          </w:p>
        </w:tc>
      </w:tr>
      <w:tr>
        <w:trPr/>
        <w:tc>
          <w:tcPr>
            <w:tcW w:type="dxa" w:w="864"/>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XREF-047</w:t>
            </w:r>
          </w:p>
        </w:tc>
        <w:tc>
          <w:tcPr>
            <w:tcW w:type="dxa" w:w="2534"/>
            <w:tcMar>
              <w:top w:w="45" w:type="dxa"/>
              <w:start w:w="45" w:type="dxa"/>
              <w:bottom w:w="45" w:type="dxa"/>
              <w:end w:w="45" w:type="dxa"/>
            </w:tcMar>
            <w:vAlign w:val="top"/>
            <w:shd w:fill="FFFFFF"/>
          </w:tcPr>
          <w:p>
            <w:pPr>
              <w:spacing w:after="0" w:line="228" w:lineRule="auto"/>
            </w:pPr>
            <w:r>
              <w:rPr>
                <w:rFonts w:ascii="Aptos" w:hAnsi="Aptos"/>
                <w:b w:val="0"/>
                <w:color w:val="3C4650"/>
                <w:sz w:val="12"/>
              </w:rPr>
              <w:t>Security baseline, trust controls, privileged protection, and control floors</w:t>
            </w:r>
          </w:p>
        </w:tc>
        <w:tc>
          <w:tcPr>
            <w:tcW w:type="dxa" w:w="2088"/>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Security and Trust Model</w:t>
            </w:r>
          </w:p>
        </w:tc>
        <w:tc>
          <w:tcPr>
            <w:tcW w:type="dxa" w:w="3542"/>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Data Protection, Encryption, and Key Management Model; Master Security Incident Response and Disclosure Model; Master Vendor Security and Supply Chain Model; Master Platform Resilience, Backup, and Recovery Model; Master Audit Event and Evidence Model</w:t>
            </w:r>
          </w:p>
        </w:tc>
        <w:tc>
          <w:tcPr>
            <w:tcW w:type="dxa" w:w="1051"/>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AUTH-047</w:t>
            </w:r>
          </w:p>
        </w:tc>
      </w:tr>
      <w:tr>
        <w:trPr/>
        <w:tc>
          <w:tcPr>
            <w:tcW w:type="dxa" w:w="864"/>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XREF-048</w:t>
            </w:r>
          </w:p>
        </w:tc>
        <w:tc>
          <w:tcPr>
            <w:tcW w:type="dxa" w:w="2534"/>
            <w:tcMar>
              <w:top w:w="45" w:type="dxa"/>
              <w:start w:w="45" w:type="dxa"/>
              <w:bottom w:w="45" w:type="dxa"/>
              <w:end w:w="45" w:type="dxa"/>
            </w:tcMar>
            <w:vAlign w:val="top"/>
            <w:shd w:fill="EEF4F8"/>
          </w:tcPr>
          <w:p>
            <w:pPr>
              <w:spacing w:after="0" w:line="228" w:lineRule="auto"/>
            </w:pPr>
            <w:r>
              <w:rPr>
                <w:rFonts w:ascii="Aptos" w:hAnsi="Aptos"/>
                <w:b w:val="0"/>
                <w:color w:val="3C4650"/>
                <w:sz w:val="12"/>
              </w:rPr>
              <w:t>Encryption, key management, tokenization, secrets, and cryptographic deletion</w:t>
            </w:r>
          </w:p>
        </w:tc>
        <w:tc>
          <w:tcPr>
            <w:tcW w:type="dxa" w:w="2088"/>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Data Protection, Encryption, and Key Management Model</w:t>
            </w:r>
          </w:p>
        </w:tc>
        <w:tc>
          <w:tcPr>
            <w:tcW w:type="dxa" w:w="3542"/>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Security and Trust Model; Master Privacy and Data Protection Model; Master Record Stewardship and Retention Model; Master Platform Resilience, Backup, and Recovery Model; Master Vendor Security and Supply Chain Model</w:t>
            </w:r>
          </w:p>
        </w:tc>
        <w:tc>
          <w:tcPr>
            <w:tcW w:type="dxa" w:w="1051"/>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AUTH-048</w:t>
            </w:r>
          </w:p>
        </w:tc>
      </w:tr>
      <w:tr>
        <w:trPr/>
        <w:tc>
          <w:tcPr>
            <w:tcW w:type="dxa" w:w="864"/>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XREF-049</w:t>
            </w:r>
          </w:p>
        </w:tc>
        <w:tc>
          <w:tcPr>
            <w:tcW w:type="dxa" w:w="2534"/>
            <w:tcMar>
              <w:top w:w="45" w:type="dxa"/>
              <w:start w:w="45" w:type="dxa"/>
              <w:bottom w:w="45" w:type="dxa"/>
              <w:end w:w="45" w:type="dxa"/>
            </w:tcMar>
            <w:vAlign w:val="top"/>
            <w:shd w:fill="FFFFFF"/>
          </w:tcPr>
          <w:p>
            <w:pPr>
              <w:spacing w:after="0" w:line="228" w:lineRule="auto"/>
            </w:pPr>
            <w:r>
              <w:rPr>
                <w:rFonts w:ascii="Aptos" w:hAnsi="Aptos"/>
                <w:b w:val="0"/>
                <w:color w:val="3C4650"/>
                <w:sz w:val="12"/>
              </w:rPr>
              <w:t>Security incidents, breach response, disclosure, and evidence preservation</w:t>
            </w:r>
          </w:p>
        </w:tc>
        <w:tc>
          <w:tcPr>
            <w:tcW w:type="dxa" w:w="2088"/>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Security Incident Response and Disclosure Model</w:t>
            </w:r>
          </w:p>
        </w:tc>
        <w:tc>
          <w:tcPr>
            <w:tcW w:type="dxa" w:w="3542"/>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Security and Trust Model; Master Privacy and Data Protection Model; Master Audit Event and Evidence Model; Master Communication, Notification, and Notice Model; Master Vendor Security and Supply Chain Model; Master Platform Resilience, Backup, and Recovery Model</w:t>
            </w:r>
          </w:p>
        </w:tc>
        <w:tc>
          <w:tcPr>
            <w:tcW w:type="dxa" w:w="1051"/>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AUTH-049</w:t>
            </w:r>
          </w:p>
        </w:tc>
      </w:tr>
      <w:tr>
        <w:trPr/>
        <w:tc>
          <w:tcPr>
            <w:tcW w:type="dxa" w:w="864"/>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XREF-050</w:t>
            </w:r>
          </w:p>
        </w:tc>
        <w:tc>
          <w:tcPr>
            <w:tcW w:type="dxa" w:w="2534"/>
            <w:tcMar>
              <w:top w:w="45" w:type="dxa"/>
              <w:start w:w="45" w:type="dxa"/>
              <w:bottom w:w="45" w:type="dxa"/>
              <w:end w:w="45" w:type="dxa"/>
            </w:tcMar>
            <w:vAlign w:val="top"/>
            <w:shd w:fill="EEF4F8"/>
          </w:tcPr>
          <w:p>
            <w:pPr>
              <w:spacing w:after="0" w:line="228" w:lineRule="auto"/>
            </w:pPr>
            <w:r>
              <w:rPr>
                <w:rFonts w:ascii="Aptos" w:hAnsi="Aptos"/>
                <w:b w:val="0"/>
                <w:color w:val="3C4650"/>
                <w:sz w:val="12"/>
              </w:rPr>
              <w:t>Vendor security, supply-chain risk, dependency governance, and fourth parties</w:t>
            </w:r>
          </w:p>
        </w:tc>
        <w:tc>
          <w:tcPr>
            <w:tcW w:type="dxa" w:w="2088"/>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Vendor Security and Supply Chain Model</w:t>
            </w:r>
          </w:p>
        </w:tc>
        <w:tc>
          <w:tcPr>
            <w:tcW w:type="dxa" w:w="3542"/>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Security and Trust Model; Master Privacy and Data Protection Model; Master External Architecture and Adapter Model; Master Developer, Platform, and Integration Governance Model; Master Platform Extensibility and Plugin Governance Model; Master Platform Resilience, Backup, and Recovery Model</w:t>
            </w:r>
          </w:p>
        </w:tc>
        <w:tc>
          <w:tcPr>
            <w:tcW w:type="dxa" w:w="1051"/>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AUTH-050</w:t>
            </w:r>
          </w:p>
        </w:tc>
      </w:tr>
      <w:tr>
        <w:trPr/>
        <w:tc>
          <w:tcPr>
            <w:tcW w:type="dxa" w:w="864"/>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XREF-051</w:t>
            </w:r>
          </w:p>
        </w:tc>
        <w:tc>
          <w:tcPr>
            <w:tcW w:type="dxa" w:w="2534"/>
            <w:tcMar>
              <w:top w:w="45" w:type="dxa"/>
              <w:start w:w="45" w:type="dxa"/>
              <w:bottom w:w="45" w:type="dxa"/>
              <w:end w:w="45" w:type="dxa"/>
            </w:tcMar>
            <w:vAlign w:val="top"/>
            <w:shd w:fill="FFFFFF"/>
          </w:tcPr>
          <w:p>
            <w:pPr>
              <w:spacing w:after="0" w:line="228" w:lineRule="auto"/>
            </w:pPr>
            <w:r>
              <w:rPr>
                <w:rFonts w:ascii="Aptos" w:hAnsi="Aptos"/>
                <w:b w:val="0"/>
                <w:color w:val="3C4650"/>
                <w:sz w:val="12"/>
              </w:rPr>
              <w:t>Record identity, authoritative records, canonical records, and source-of-truth status</w:t>
            </w:r>
          </w:p>
        </w:tc>
        <w:tc>
          <w:tcPr>
            <w:tcW w:type="dxa" w:w="2088"/>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Record Stewardship and Retention Model</w:t>
            </w:r>
          </w:p>
        </w:tc>
        <w:tc>
          <w:tcPr>
            <w:tcW w:type="dxa" w:w="3542"/>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Claims, Disputes, and Authority Model; Master Audit Event and Evidence Model; domain canon; Master Reporting, Analytics, and Business Intelligence Model</w:t>
            </w:r>
          </w:p>
        </w:tc>
        <w:tc>
          <w:tcPr>
            <w:tcW w:type="dxa" w:w="1051"/>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AUTH-051</w:t>
            </w:r>
          </w:p>
        </w:tc>
      </w:tr>
      <w:tr>
        <w:trPr/>
        <w:tc>
          <w:tcPr>
            <w:tcW w:type="dxa" w:w="864"/>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XREF-052</w:t>
            </w:r>
          </w:p>
        </w:tc>
        <w:tc>
          <w:tcPr>
            <w:tcW w:type="dxa" w:w="2534"/>
            <w:tcMar>
              <w:top w:w="45" w:type="dxa"/>
              <w:start w:w="45" w:type="dxa"/>
              <w:bottom w:w="45" w:type="dxa"/>
              <w:end w:w="45" w:type="dxa"/>
            </w:tcMar>
            <w:vAlign w:val="top"/>
            <w:shd w:fill="EEF4F8"/>
          </w:tcPr>
          <w:p>
            <w:pPr>
              <w:spacing w:after="0" w:line="228" w:lineRule="auto"/>
            </w:pPr>
            <w:r>
              <w:rPr>
                <w:rFonts w:ascii="Aptos" w:hAnsi="Aptos"/>
                <w:b w:val="0"/>
                <w:color w:val="3C4650"/>
                <w:sz w:val="12"/>
              </w:rPr>
              <w:t>Record stewardship, authorship, custody, and maintenance responsibility</w:t>
            </w:r>
          </w:p>
        </w:tc>
        <w:tc>
          <w:tcPr>
            <w:tcW w:type="dxa" w:w="2088"/>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Record Stewardship and Retention Model</w:t>
            </w:r>
          </w:p>
        </w:tc>
        <w:tc>
          <w:tcPr>
            <w:tcW w:type="dxa" w:w="3542"/>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Relationship Model; Master Permission and Access-Control Model; Master Media, Files, and Digital Asset Governance Model; Master Audit Event and Evidence Model</w:t>
            </w:r>
          </w:p>
        </w:tc>
        <w:tc>
          <w:tcPr>
            <w:tcW w:type="dxa" w:w="1051"/>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AUTH-052</w:t>
            </w:r>
          </w:p>
        </w:tc>
      </w:tr>
      <w:tr>
        <w:trPr/>
        <w:tc>
          <w:tcPr>
            <w:tcW w:type="dxa" w:w="864"/>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XREF-053</w:t>
            </w:r>
          </w:p>
        </w:tc>
        <w:tc>
          <w:tcPr>
            <w:tcW w:type="dxa" w:w="2534"/>
            <w:tcMar>
              <w:top w:w="45" w:type="dxa"/>
              <w:start w:w="45" w:type="dxa"/>
              <w:bottom w:w="45" w:type="dxa"/>
              <w:end w:w="45" w:type="dxa"/>
            </w:tcMar>
            <w:vAlign w:val="top"/>
            <w:shd w:fill="FFFFFF"/>
          </w:tcPr>
          <w:p>
            <w:pPr>
              <w:spacing w:after="0" w:line="228" w:lineRule="auto"/>
            </w:pPr>
            <w:r>
              <w:rPr>
                <w:rFonts w:ascii="Aptos" w:hAnsi="Aptos"/>
                <w:b w:val="0"/>
                <w:color w:val="3C4650"/>
                <w:sz w:val="12"/>
              </w:rPr>
              <w:t>Retention, archival, disposition, legal hold, and preservation</w:t>
            </w:r>
          </w:p>
        </w:tc>
        <w:tc>
          <w:tcPr>
            <w:tcW w:type="dxa" w:w="2088"/>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Record Stewardship and Retention Model</w:t>
            </w:r>
          </w:p>
        </w:tc>
        <w:tc>
          <w:tcPr>
            <w:tcW w:type="dxa" w:w="3542"/>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Privacy and Data Protection Model; Master Claims, Disputes, and Authority Model; Master Audit Event and Evidence Model; Master Media, Files, and Digital Asset Governance Model; Master Platform Resilience, Backup, and Recovery Model</w:t>
            </w:r>
          </w:p>
        </w:tc>
        <w:tc>
          <w:tcPr>
            <w:tcW w:type="dxa" w:w="1051"/>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AUTH-053</w:t>
            </w:r>
          </w:p>
        </w:tc>
      </w:tr>
      <w:tr>
        <w:trPr/>
        <w:tc>
          <w:tcPr>
            <w:tcW w:type="dxa" w:w="864"/>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XREF-054</w:t>
            </w:r>
          </w:p>
        </w:tc>
        <w:tc>
          <w:tcPr>
            <w:tcW w:type="dxa" w:w="2534"/>
            <w:tcMar>
              <w:top w:w="45" w:type="dxa"/>
              <w:start w:w="45" w:type="dxa"/>
              <w:bottom w:w="45" w:type="dxa"/>
              <w:end w:w="45" w:type="dxa"/>
            </w:tcMar>
            <w:vAlign w:val="top"/>
            <w:shd w:fill="EEF4F8"/>
          </w:tcPr>
          <w:p>
            <w:pPr>
              <w:spacing w:after="0" w:line="228" w:lineRule="auto"/>
            </w:pPr>
            <w:r>
              <w:rPr>
                <w:rFonts w:ascii="Aptos" w:hAnsi="Aptos"/>
                <w:b w:val="0"/>
                <w:color w:val="3C4650"/>
                <w:sz w:val="12"/>
              </w:rPr>
              <w:t>Record correction, version history, supersession, and non-destructive change</w:t>
            </w:r>
          </w:p>
        </w:tc>
        <w:tc>
          <w:tcPr>
            <w:tcW w:type="dxa" w:w="2088"/>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Record Stewardship and Retention Model</w:t>
            </w:r>
          </w:p>
        </w:tc>
        <w:tc>
          <w:tcPr>
            <w:tcW w:type="dxa" w:w="3542"/>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Audit Event and Evidence Model; Master Claims, Disputes, and Authority Model; Master Media, Files, and Digital Asset Governance Model; domain canon</w:t>
            </w:r>
          </w:p>
        </w:tc>
        <w:tc>
          <w:tcPr>
            <w:tcW w:type="dxa" w:w="1051"/>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AUTH-054</w:t>
            </w:r>
          </w:p>
        </w:tc>
      </w:tr>
      <w:tr>
        <w:trPr/>
        <w:tc>
          <w:tcPr>
            <w:tcW w:type="dxa" w:w="864"/>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XREF-055</w:t>
            </w:r>
          </w:p>
        </w:tc>
        <w:tc>
          <w:tcPr>
            <w:tcW w:type="dxa" w:w="2534"/>
            <w:tcMar>
              <w:top w:w="45" w:type="dxa"/>
              <w:start w:w="45" w:type="dxa"/>
              <w:bottom w:w="45" w:type="dxa"/>
              <w:end w:w="45" w:type="dxa"/>
            </w:tcMar>
            <w:vAlign w:val="top"/>
            <w:shd w:fill="FFFFFF"/>
          </w:tcPr>
          <w:p>
            <w:pPr>
              <w:spacing w:after="0" w:line="228" w:lineRule="auto"/>
            </w:pPr>
            <w:r>
              <w:rPr>
                <w:rFonts w:ascii="Aptos" w:hAnsi="Aptos"/>
                <w:b w:val="0"/>
                <w:color w:val="3C4650"/>
                <w:sz w:val="12"/>
              </w:rPr>
              <w:t>Claims, disputes, assertions, evidence conflicts, and authority challenges</w:t>
            </w:r>
          </w:p>
        </w:tc>
        <w:tc>
          <w:tcPr>
            <w:tcW w:type="dxa" w:w="2088"/>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Claims, Disputes, and Authority Model</w:t>
            </w:r>
          </w:p>
        </w:tc>
        <w:tc>
          <w:tcPr>
            <w:tcW w:type="dxa" w:w="3542"/>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Relationship Model; Master Record Stewardship and Retention Model; Master Audit Event and Evidence Model; Master Communication, Notification, and Notice Model; Master Horse Transfer and Continuity Policy; Master Financial Truth and Responsibility Model</w:t>
            </w:r>
          </w:p>
        </w:tc>
        <w:tc>
          <w:tcPr>
            <w:tcW w:type="dxa" w:w="1051"/>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AUTH-055</w:t>
            </w:r>
          </w:p>
        </w:tc>
      </w:tr>
      <w:tr>
        <w:trPr/>
        <w:tc>
          <w:tcPr>
            <w:tcW w:type="dxa" w:w="864"/>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XREF-056</w:t>
            </w:r>
          </w:p>
        </w:tc>
        <w:tc>
          <w:tcPr>
            <w:tcW w:type="dxa" w:w="2534"/>
            <w:tcMar>
              <w:top w:w="45" w:type="dxa"/>
              <w:start w:w="45" w:type="dxa"/>
              <w:bottom w:w="45" w:type="dxa"/>
              <w:end w:w="45" w:type="dxa"/>
            </w:tcMar>
            <w:vAlign w:val="top"/>
            <w:shd w:fill="EEF4F8"/>
          </w:tcPr>
          <w:p>
            <w:pPr>
              <w:spacing w:after="0" w:line="228" w:lineRule="auto"/>
            </w:pPr>
            <w:r>
              <w:rPr>
                <w:rFonts w:ascii="Aptos" w:hAnsi="Aptos"/>
                <w:b w:val="0"/>
                <w:color w:val="3C4650"/>
                <w:sz w:val="12"/>
              </w:rPr>
              <w:t>Audit events, evidence packages, recorded time, and effective time</w:t>
            </w:r>
          </w:p>
        </w:tc>
        <w:tc>
          <w:tcPr>
            <w:tcW w:type="dxa" w:w="2088"/>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Audit Event and Evidence Model</w:t>
            </w:r>
          </w:p>
        </w:tc>
        <w:tc>
          <w:tcPr>
            <w:tcW w:type="dxa" w:w="3542"/>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Record Stewardship and Retention Model; Master Security and Trust Model; all action-owning canons</w:t>
            </w:r>
          </w:p>
        </w:tc>
        <w:tc>
          <w:tcPr>
            <w:tcW w:type="dxa" w:w="1051"/>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AUTH-056</w:t>
            </w:r>
          </w:p>
        </w:tc>
      </w:tr>
      <w:tr>
        <w:trPr/>
        <w:tc>
          <w:tcPr>
            <w:tcW w:type="dxa" w:w="864"/>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XREF-057</w:t>
            </w:r>
          </w:p>
        </w:tc>
        <w:tc>
          <w:tcPr>
            <w:tcW w:type="dxa" w:w="2534"/>
            <w:tcMar>
              <w:top w:w="45" w:type="dxa"/>
              <w:start w:w="45" w:type="dxa"/>
              <w:bottom w:w="45" w:type="dxa"/>
              <w:end w:w="45" w:type="dxa"/>
            </w:tcMar>
            <w:vAlign w:val="top"/>
            <w:shd w:fill="FFFFFF"/>
          </w:tcPr>
          <w:p>
            <w:pPr>
              <w:spacing w:after="0" w:line="228" w:lineRule="auto"/>
            </w:pPr>
            <w:r>
              <w:rPr>
                <w:rFonts w:ascii="Aptos" w:hAnsi="Aptos"/>
                <w:b w:val="0"/>
                <w:color w:val="3C4650"/>
                <w:sz w:val="12"/>
              </w:rPr>
              <w:t>Messages, communications, conversation records, and delivery content</w:t>
            </w:r>
          </w:p>
        </w:tc>
        <w:tc>
          <w:tcPr>
            <w:tcW w:type="dxa" w:w="2088"/>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Communication, Notification, and Notice Model</w:t>
            </w:r>
          </w:p>
        </w:tc>
        <w:tc>
          <w:tcPr>
            <w:tcW w:type="dxa" w:w="3542"/>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Privacy and Data Protection Model; Master Permission and Access-Control Model; Master Record Stewardship and Retention Model; Master Audit Event and Evidence Model; Master Media, Files, and Digital Asset Governance Model</w:t>
            </w:r>
          </w:p>
        </w:tc>
        <w:tc>
          <w:tcPr>
            <w:tcW w:type="dxa" w:w="1051"/>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AUTH-057</w:t>
            </w:r>
          </w:p>
        </w:tc>
      </w:tr>
      <w:tr>
        <w:trPr/>
        <w:tc>
          <w:tcPr>
            <w:tcW w:type="dxa" w:w="864"/>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XREF-058</w:t>
            </w:r>
          </w:p>
        </w:tc>
        <w:tc>
          <w:tcPr>
            <w:tcW w:type="dxa" w:w="2534"/>
            <w:tcMar>
              <w:top w:w="45" w:type="dxa"/>
              <w:start w:w="45" w:type="dxa"/>
              <w:bottom w:w="45" w:type="dxa"/>
              <w:end w:w="45" w:type="dxa"/>
            </w:tcMar>
            <w:vAlign w:val="top"/>
            <w:shd w:fill="EEF4F8"/>
          </w:tcPr>
          <w:p>
            <w:pPr>
              <w:spacing w:after="0" w:line="228" w:lineRule="auto"/>
            </w:pPr>
            <w:r>
              <w:rPr>
                <w:rFonts w:ascii="Aptos" w:hAnsi="Aptos"/>
                <w:b w:val="0"/>
                <w:color w:val="3C4650"/>
                <w:sz w:val="12"/>
              </w:rPr>
              <w:t>Notifications, formal notices, required recipients, and notice effectiveness</w:t>
            </w:r>
          </w:p>
        </w:tc>
        <w:tc>
          <w:tcPr>
            <w:tcW w:type="dxa" w:w="2088"/>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Communication, Notification, and Notice Model</w:t>
            </w:r>
          </w:p>
        </w:tc>
        <w:tc>
          <w:tcPr>
            <w:tcW w:type="dxa" w:w="3542"/>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Agreement, Consent, and Authorization Model; Master Claims, Disputes, and Authority Model; Master Security Incident Response and Disclosure Model; Master Financial Truth and Responsibility Model; Master Horse Transfer and Continuity Policy</w:t>
            </w:r>
          </w:p>
        </w:tc>
        <w:tc>
          <w:tcPr>
            <w:tcW w:type="dxa" w:w="1051"/>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AUTH-058</w:t>
            </w:r>
          </w:p>
        </w:tc>
      </w:tr>
      <w:tr>
        <w:trPr/>
        <w:tc>
          <w:tcPr>
            <w:tcW w:type="dxa" w:w="864"/>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XREF-059</w:t>
            </w:r>
          </w:p>
        </w:tc>
        <w:tc>
          <w:tcPr>
            <w:tcW w:type="dxa" w:w="2534"/>
            <w:tcMar>
              <w:top w:w="45" w:type="dxa"/>
              <w:start w:w="45" w:type="dxa"/>
              <w:bottom w:w="45" w:type="dxa"/>
              <w:end w:w="45" w:type="dxa"/>
            </w:tcMar>
            <w:vAlign w:val="top"/>
            <w:shd w:fill="FFFFFF"/>
          </w:tcPr>
          <w:p>
            <w:pPr>
              <w:spacing w:after="0" w:line="228" w:lineRule="auto"/>
            </w:pPr>
            <w:r>
              <w:rPr>
                <w:rFonts w:ascii="Aptos" w:hAnsi="Aptos"/>
                <w:b w:val="0"/>
                <w:color w:val="3C4650"/>
                <w:sz w:val="12"/>
              </w:rPr>
              <w:t>Communication consent, channel preferences, quiet hours, and contact restrictions</w:t>
            </w:r>
          </w:p>
        </w:tc>
        <w:tc>
          <w:tcPr>
            <w:tcW w:type="dxa" w:w="2088"/>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Communication, Notification, and Notice Model</w:t>
            </w:r>
          </w:p>
        </w:tc>
        <w:tc>
          <w:tcPr>
            <w:tcW w:type="dxa" w:w="3542"/>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Agreement, Consent, and Authorization Model; Master Privacy and Data Protection Model; Minor, Guardian, Safeguarding, and Delegated-Assistance Canon; Master Permission and Access-Control Model</w:t>
            </w:r>
          </w:p>
        </w:tc>
        <w:tc>
          <w:tcPr>
            <w:tcW w:type="dxa" w:w="1051"/>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AUTH-059</w:t>
            </w:r>
          </w:p>
        </w:tc>
      </w:tr>
      <w:tr>
        <w:trPr/>
        <w:tc>
          <w:tcPr>
            <w:tcW w:type="dxa" w:w="864"/>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XREF-060</w:t>
            </w:r>
          </w:p>
        </w:tc>
        <w:tc>
          <w:tcPr>
            <w:tcW w:type="dxa" w:w="2534"/>
            <w:tcMar>
              <w:top w:w="45" w:type="dxa"/>
              <w:start w:w="45" w:type="dxa"/>
              <w:bottom w:w="45" w:type="dxa"/>
              <w:end w:w="45" w:type="dxa"/>
            </w:tcMar>
            <w:vAlign w:val="top"/>
            <w:shd w:fill="EEF4F8"/>
          </w:tcPr>
          <w:p>
            <w:pPr>
              <w:spacing w:after="0" w:line="228" w:lineRule="auto"/>
            </w:pPr>
            <w:r>
              <w:rPr>
                <w:rFonts w:ascii="Aptos" w:hAnsi="Aptos"/>
                <w:b w:val="0"/>
                <w:color w:val="3C4650"/>
                <w:sz w:val="12"/>
              </w:rPr>
              <w:t>Digital assets, files, attachments, versions, renditions, and storage objects</w:t>
            </w:r>
          </w:p>
        </w:tc>
        <w:tc>
          <w:tcPr>
            <w:tcW w:type="dxa" w:w="2088"/>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Media, Files, and Digital Asset Governance Model</w:t>
            </w:r>
          </w:p>
        </w:tc>
        <w:tc>
          <w:tcPr>
            <w:tcW w:type="dxa" w:w="3542"/>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Record Stewardship and Retention Model; Master Privacy and Data Protection Model; Master Security and Trust Model; Master Permission and Access-Control Model; Master Audit Event and Evidence Model</w:t>
            </w:r>
          </w:p>
        </w:tc>
        <w:tc>
          <w:tcPr>
            <w:tcW w:type="dxa" w:w="1051"/>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AUTH-060</w:t>
            </w:r>
          </w:p>
        </w:tc>
      </w:tr>
      <w:tr>
        <w:trPr/>
        <w:tc>
          <w:tcPr>
            <w:tcW w:type="dxa" w:w="864"/>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XREF-061</w:t>
            </w:r>
          </w:p>
        </w:tc>
        <w:tc>
          <w:tcPr>
            <w:tcW w:type="dxa" w:w="2534"/>
            <w:tcMar>
              <w:top w:w="45" w:type="dxa"/>
              <w:start w:w="45" w:type="dxa"/>
              <w:bottom w:w="45" w:type="dxa"/>
              <w:end w:w="45" w:type="dxa"/>
            </w:tcMar>
            <w:vAlign w:val="top"/>
            <w:shd w:fill="FFFFFF"/>
          </w:tcPr>
          <w:p>
            <w:pPr>
              <w:spacing w:after="0" w:line="228" w:lineRule="auto"/>
            </w:pPr>
            <w:r>
              <w:rPr>
                <w:rFonts w:ascii="Aptos" w:hAnsi="Aptos"/>
                <w:b w:val="0"/>
                <w:color w:val="3C4650"/>
                <w:sz w:val="12"/>
              </w:rPr>
              <w:t>Asset rights, copyright, consent, publication, public sharing, and brand use</w:t>
            </w:r>
          </w:p>
        </w:tc>
        <w:tc>
          <w:tcPr>
            <w:tcW w:type="dxa" w:w="2088"/>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Media, Files, and Digital Asset Governance Model</w:t>
            </w:r>
          </w:p>
        </w:tc>
        <w:tc>
          <w:tcPr>
            <w:tcW w:type="dxa" w:w="3542"/>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Agreement, Consent, and Authorization Model; Master Privacy and Data Protection Model; Minor, Guardian, Safeguarding, and Delegated-Assistance Canon; Master Communication, Notification, and Notice Model; Master Claims, Disputes, and Authority Model</w:t>
            </w:r>
          </w:p>
        </w:tc>
        <w:tc>
          <w:tcPr>
            <w:tcW w:type="dxa" w:w="1051"/>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AUTH-061</w:t>
            </w:r>
          </w:p>
        </w:tc>
      </w:tr>
      <w:tr>
        <w:trPr/>
        <w:tc>
          <w:tcPr>
            <w:tcW w:type="dxa" w:w="864"/>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XREF-062</w:t>
            </w:r>
          </w:p>
        </w:tc>
        <w:tc>
          <w:tcPr>
            <w:tcW w:type="dxa" w:w="2534"/>
            <w:tcMar>
              <w:top w:w="45" w:type="dxa"/>
              <w:start w:w="45" w:type="dxa"/>
              <w:bottom w:w="45" w:type="dxa"/>
              <w:end w:w="45" w:type="dxa"/>
            </w:tcMar>
            <w:vAlign w:val="top"/>
            <w:shd w:fill="EEF4F8"/>
          </w:tcPr>
          <w:p>
            <w:pPr>
              <w:spacing w:after="0" w:line="228" w:lineRule="auto"/>
            </w:pPr>
            <w:r>
              <w:rPr>
                <w:rFonts w:ascii="Aptos" w:hAnsi="Aptos"/>
                <w:b w:val="0"/>
                <w:color w:val="3C4650"/>
                <w:sz w:val="12"/>
              </w:rPr>
              <w:t>OCR, transcription, thumbnails, previews, redactions, and other derived assets</w:t>
            </w:r>
          </w:p>
        </w:tc>
        <w:tc>
          <w:tcPr>
            <w:tcW w:type="dxa" w:w="2088"/>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Media, Files, and Digital Asset Governance Model</w:t>
            </w:r>
          </w:p>
        </w:tc>
        <w:tc>
          <w:tcPr>
            <w:tcW w:type="dxa" w:w="3542"/>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AI Governance and Decision Boundary Model; Master Record Stewardship and Retention Model; Master Privacy and Data Protection Model; Master Security and Trust Model; Master Search, Discovery, Ranking, and Retrieval Model</w:t>
            </w:r>
          </w:p>
        </w:tc>
        <w:tc>
          <w:tcPr>
            <w:tcW w:type="dxa" w:w="1051"/>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AUTH-062</w:t>
            </w:r>
          </w:p>
        </w:tc>
      </w:tr>
      <w:tr>
        <w:trPr/>
        <w:tc>
          <w:tcPr>
            <w:tcW w:type="dxa" w:w="864"/>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XREF-063</w:t>
            </w:r>
          </w:p>
        </w:tc>
        <w:tc>
          <w:tcPr>
            <w:tcW w:type="dxa" w:w="2534"/>
            <w:tcMar>
              <w:top w:w="45" w:type="dxa"/>
              <w:start w:w="45" w:type="dxa"/>
              <w:bottom w:w="45" w:type="dxa"/>
              <w:end w:w="45" w:type="dxa"/>
            </w:tcMar>
            <w:vAlign w:val="top"/>
            <w:shd w:fill="FFFFFF"/>
          </w:tcPr>
          <w:p>
            <w:pPr>
              <w:spacing w:after="0" w:line="228" w:lineRule="auto"/>
            </w:pPr>
            <w:r>
              <w:rPr>
                <w:rFonts w:ascii="Aptos" w:hAnsi="Aptos"/>
                <w:b w:val="0"/>
                <w:color w:val="3C4650"/>
                <w:sz w:val="12"/>
              </w:rPr>
              <w:t>Malware, harmful content, quarantine, restricted access, and content safety</w:t>
            </w:r>
          </w:p>
        </w:tc>
        <w:tc>
          <w:tcPr>
            <w:tcW w:type="dxa" w:w="2088"/>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Security and Trust Model</w:t>
            </w:r>
          </w:p>
        </w:tc>
        <w:tc>
          <w:tcPr>
            <w:tcW w:type="dxa" w:w="3542"/>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Media, Files, and Digital Asset Governance Model; Master Security Incident Response and Disclosure Model; Master Privacy and Data Protection Model; Master Audit Event and Evidence Model</w:t>
            </w:r>
          </w:p>
        </w:tc>
        <w:tc>
          <w:tcPr>
            <w:tcW w:type="dxa" w:w="1051"/>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AUTH-063</w:t>
            </w:r>
          </w:p>
        </w:tc>
      </w:tr>
      <w:tr>
        <w:trPr/>
        <w:tc>
          <w:tcPr>
            <w:tcW w:type="dxa" w:w="864"/>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XREF-064</w:t>
            </w:r>
          </w:p>
        </w:tc>
        <w:tc>
          <w:tcPr>
            <w:tcW w:type="dxa" w:w="2534"/>
            <w:tcMar>
              <w:top w:w="45" w:type="dxa"/>
              <w:start w:w="45" w:type="dxa"/>
              <w:bottom w:w="45" w:type="dxa"/>
              <w:end w:w="45" w:type="dxa"/>
            </w:tcMar>
            <w:vAlign w:val="top"/>
            <w:shd w:fill="EEF4F8"/>
          </w:tcPr>
          <w:p>
            <w:pPr>
              <w:spacing w:after="0" w:line="228" w:lineRule="auto"/>
            </w:pPr>
            <w:r>
              <w:rPr>
                <w:rFonts w:ascii="Aptos" w:hAnsi="Aptos"/>
                <w:b w:val="0"/>
                <w:color w:val="3C4650"/>
                <w:sz w:val="12"/>
              </w:rPr>
              <w:t>Search, indexing, retrieval, autocomplete, and result eligibility</w:t>
            </w:r>
          </w:p>
        </w:tc>
        <w:tc>
          <w:tcPr>
            <w:tcW w:type="dxa" w:w="2088"/>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Search, Discovery, Ranking, and Retrieval Model</w:t>
            </w:r>
          </w:p>
        </w:tc>
        <w:tc>
          <w:tcPr>
            <w:tcW w:type="dxa" w:w="3542"/>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Permission and Access-Control Model; Master Privacy and Data Protection Model; Master Record Stewardship and Retention Model; Master Media, Files, and Digital Asset Governance Model; Master AI Governance and Decision Boundary Model</w:t>
            </w:r>
          </w:p>
        </w:tc>
        <w:tc>
          <w:tcPr>
            <w:tcW w:type="dxa" w:w="1051"/>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AUTH-064</w:t>
            </w:r>
          </w:p>
        </w:tc>
      </w:tr>
      <w:tr>
        <w:trPr/>
        <w:tc>
          <w:tcPr>
            <w:tcW w:type="dxa" w:w="864"/>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XREF-065</w:t>
            </w:r>
          </w:p>
        </w:tc>
        <w:tc>
          <w:tcPr>
            <w:tcW w:type="dxa" w:w="2534"/>
            <w:tcMar>
              <w:top w:w="45" w:type="dxa"/>
              <w:start w:w="45" w:type="dxa"/>
              <w:bottom w:w="45" w:type="dxa"/>
              <w:end w:w="45" w:type="dxa"/>
            </w:tcMar>
            <w:vAlign w:val="top"/>
            <w:shd w:fill="FFFFFF"/>
          </w:tcPr>
          <w:p>
            <w:pPr>
              <w:spacing w:after="0" w:line="228" w:lineRule="auto"/>
            </w:pPr>
            <w:r>
              <w:rPr>
                <w:rFonts w:ascii="Aptos" w:hAnsi="Aptos"/>
                <w:b w:val="0"/>
                <w:color w:val="3C4650"/>
                <w:sz w:val="12"/>
              </w:rPr>
              <w:t>Discoverability, ranking, recommendations, and public profile exposure</w:t>
            </w:r>
          </w:p>
        </w:tc>
        <w:tc>
          <w:tcPr>
            <w:tcW w:type="dxa" w:w="2088"/>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Search, Discovery, Ranking, and Retrieval Model</w:t>
            </w:r>
          </w:p>
        </w:tc>
        <w:tc>
          <w:tcPr>
            <w:tcW w:type="dxa" w:w="3542"/>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Privacy and Data Protection Model; Minor, Guardian, Safeguarding, and Delegated-Assistance Canon; Master Permission and Access-Control Model; Master AI Governance and Decision Boundary Model; Master Reporting, Analytics, and Business Intelligence Model</w:t>
            </w:r>
          </w:p>
        </w:tc>
        <w:tc>
          <w:tcPr>
            <w:tcW w:type="dxa" w:w="1051"/>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AUTH-065</w:t>
            </w:r>
          </w:p>
        </w:tc>
      </w:tr>
      <w:tr>
        <w:trPr/>
        <w:tc>
          <w:tcPr>
            <w:tcW w:type="dxa" w:w="864"/>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XREF-066</w:t>
            </w:r>
          </w:p>
        </w:tc>
        <w:tc>
          <w:tcPr>
            <w:tcW w:type="dxa" w:w="2534"/>
            <w:tcMar>
              <w:top w:w="45" w:type="dxa"/>
              <w:start w:w="45" w:type="dxa"/>
              <w:bottom w:w="45" w:type="dxa"/>
              <w:end w:w="45" w:type="dxa"/>
            </w:tcMar>
            <w:vAlign w:val="top"/>
            <w:shd w:fill="EEF4F8"/>
          </w:tcPr>
          <w:p>
            <w:pPr>
              <w:spacing w:after="0" w:line="228" w:lineRule="auto"/>
            </w:pPr>
            <w:r>
              <w:rPr>
                <w:rFonts w:ascii="Aptos" w:hAnsi="Aptos"/>
                <w:b w:val="0"/>
                <w:color w:val="3C4650"/>
                <w:sz w:val="12"/>
              </w:rPr>
              <w:t>Exports, portability packages, disclosures, and downstream copies</w:t>
            </w:r>
          </w:p>
        </w:tc>
        <w:tc>
          <w:tcPr>
            <w:tcW w:type="dxa" w:w="2088"/>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Record Stewardship and Retention Model</w:t>
            </w:r>
          </w:p>
        </w:tc>
        <w:tc>
          <w:tcPr>
            <w:tcW w:type="dxa" w:w="3542"/>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Privacy and Data Protection Model; Master Permission and Access-Control Model; Master Media, Files, and Digital Asset Governance Model; Master Audit Event and Evidence Model; Master Vendor Security and Supply Chain Model</w:t>
            </w:r>
          </w:p>
        </w:tc>
        <w:tc>
          <w:tcPr>
            <w:tcW w:type="dxa" w:w="1051"/>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AUTH-066</w:t>
            </w:r>
          </w:p>
        </w:tc>
      </w:tr>
      <w:tr>
        <w:trPr/>
        <w:tc>
          <w:tcPr>
            <w:tcW w:type="dxa" w:w="864"/>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XREF-067</w:t>
            </w:r>
          </w:p>
        </w:tc>
        <w:tc>
          <w:tcPr>
            <w:tcW w:type="dxa" w:w="2534"/>
            <w:tcMar>
              <w:top w:w="45" w:type="dxa"/>
              <w:start w:w="45" w:type="dxa"/>
              <w:bottom w:w="45" w:type="dxa"/>
              <w:end w:w="45" w:type="dxa"/>
            </w:tcMar>
            <w:vAlign w:val="top"/>
            <w:shd w:fill="FFFFFF"/>
          </w:tcPr>
          <w:p>
            <w:pPr>
              <w:spacing w:after="0" w:line="228" w:lineRule="auto"/>
            </w:pPr>
            <w:r>
              <w:rPr>
                <w:rFonts w:ascii="Aptos" w:hAnsi="Aptos"/>
                <w:b w:val="0"/>
                <w:color w:val="3C4650"/>
                <w:sz w:val="12"/>
              </w:rPr>
              <w:t>Backups, replicas, restoration copies, caches, and recovered records</w:t>
            </w:r>
          </w:p>
        </w:tc>
        <w:tc>
          <w:tcPr>
            <w:tcW w:type="dxa" w:w="2088"/>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Platform Resilience, Backup, and Recovery Model</w:t>
            </w:r>
          </w:p>
        </w:tc>
        <w:tc>
          <w:tcPr>
            <w:tcW w:type="dxa" w:w="3542"/>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Record Stewardship and Retention Model; Master Data Protection, Encryption, and Key Management Model; Master Privacy and Data Protection Model; Master Audit Event and Evidence Model</w:t>
            </w:r>
          </w:p>
        </w:tc>
        <w:tc>
          <w:tcPr>
            <w:tcW w:type="dxa" w:w="1051"/>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AUTH-067</w:t>
            </w:r>
          </w:p>
        </w:tc>
      </w:tr>
      <w:tr>
        <w:trPr/>
        <w:tc>
          <w:tcPr>
            <w:tcW w:type="dxa" w:w="864"/>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XREF-068</w:t>
            </w:r>
          </w:p>
        </w:tc>
        <w:tc>
          <w:tcPr>
            <w:tcW w:type="dxa" w:w="2534"/>
            <w:tcMar>
              <w:top w:w="45" w:type="dxa"/>
              <w:start w:w="45" w:type="dxa"/>
              <w:bottom w:w="45" w:type="dxa"/>
              <w:end w:w="45" w:type="dxa"/>
            </w:tcMar>
            <w:vAlign w:val="top"/>
            <w:shd w:fill="EEF4F8"/>
          </w:tcPr>
          <w:p>
            <w:pPr>
              <w:spacing w:after="0" w:line="228" w:lineRule="auto"/>
            </w:pPr>
            <w:r>
              <w:rPr>
                <w:rFonts w:ascii="Aptos" w:hAnsi="Aptos"/>
                <w:b w:val="0"/>
                <w:color w:val="3C4650"/>
                <w:sz w:val="12"/>
              </w:rPr>
              <w:t>Accessibility of records, communications, media, and governance outputs</w:t>
            </w:r>
          </w:p>
        </w:tc>
        <w:tc>
          <w:tcPr>
            <w:tcW w:type="dxa" w:w="2088"/>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Product Vision</w:t>
            </w:r>
          </w:p>
        </w:tc>
        <w:tc>
          <w:tcPr>
            <w:tcW w:type="dxa" w:w="3542"/>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Communication, Notification, and Notice Model; Master Media, Files, and Digital Asset Governance Model; Master Reporting, Analytics, and Business Intelligence Model; Master Platform Operations, Reliability, and Release Model</w:t>
            </w:r>
          </w:p>
        </w:tc>
        <w:tc>
          <w:tcPr>
            <w:tcW w:type="dxa" w:w="1051"/>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AUTH-068</w:t>
            </w:r>
          </w:p>
        </w:tc>
      </w:tr>
      <w:tr>
        <w:trPr/>
        <w:tc>
          <w:tcPr>
            <w:tcW w:type="dxa" w:w="864"/>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XREF-069</w:t>
            </w:r>
          </w:p>
        </w:tc>
        <w:tc>
          <w:tcPr>
            <w:tcW w:type="dxa" w:w="2534"/>
            <w:tcMar>
              <w:top w:w="45" w:type="dxa"/>
              <w:start w:w="45" w:type="dxa"/>
              <w:bottom w:w="45" w:type="dxa"/>
              <w:end w:w="45" w:type="dxa"/>
            </w:tcMar>
            <w:vAlign w:val="top"/>
            <w:shd w:fill="FFFFFF"/>
          </w:tcPr>
          <w:p>
            <w:pPr>
              <w:spacing w:after="0" w:line="228" w:lineRule="auto"/>
            </w:pPr>
            <w:r>
              <w:rPr>
                <w:rFonts w:ascii="Aptos" w:hAnsi="Aptos"/>
                <w:b w:val="0"/>
                <w:color w:val="3C4650"/>
                <w:sz w:val="12"/>
              </w:rPr>
              <w:t>Public trust claims, compliance statements, certifications, and publication approval</w:t>
            </w:r>
          </w:p>
        </w:tc>
        <w:tc>
          <w:tcPr>
            <w:tcW w:type="dxa" w:w="2088"/>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Product Vision</w:t>
            </w:r>
          </w:p>
        </w:tc>
        <w:tc>
          <w:tcPr>
            <w:tcW w:type="dxa" w:w="3542"/>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Security and Trust Model; Master Privacy and Data Protection Model; Master Reporting, Analytics, and Business Intelligence Model; Master Vendor Security and Supply Chain Model; Master Platform Operations, Reliability, and Release Model; legal review</w:t>
            </w:r>
          </w:p>
        </w:tc>
        <w:tc>
          <w:tcPr>
            <w:tcW w:type="dxa" w:w="1051"/>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AUTH-069</w:t>
            </w:r>
          </w:p>
        </w:tc>
      </w:tr>
      <w:tr>
        <w:trPr/>
        <w:tc>
          <w:tcPr>
            <w:tcW w:type="dxa" w:w="864"/>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XREF-070</w:t>
            </w:r>
          </w:p>
        </w:tc>
        <w:tc>
          <w:tcPr>
            <w:tcW w:type="dxa" w:w="2534"/>
            <w:tcMar>
              <w:top w:w="45" w:type="dxa"/>
              <w:start w:w="45" w:type="dxa"/>
              <w:bottom w:w="45" w:type="dxa"/>
              <w:end w:w="45" w:type="dxa"/>
            </w:tcMar>
            <w:vAlign w:val="top"/>
            <w:shd w:fill="EEF4F8"/>
          </w:tcPr>
          <w:p>
            <w:pPr>
              <w:spacing w:after="0" w:line="228" w:lineRule="auto"/>
            </w:pPr>
            <w:r>
              <w:rPr>
                <w:rFonts w:ascii="Aptos" w:hAnsi="Aptos"/>
                <w:b w:val="0"/>
                <w:color w:val="3C4650"/>
                <w:sz w:val="12"/>
              </w:rPr>
              <w:t>De-identification, authorized research, cross-facility benchmarking, and publication</w:t>
            </w:r>
          </w:p>
        </w:tc>
        <w:tc>
          <w:tcPr>
            <w:tcW w:type="dxa" w:w="2088"/>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Privacy and Data Protection Model</w:t>
            </w:r>
          </w:p>
        </w:tc>
        <w:tc>
          <w:tcPr>
            <w:tcW w:type="dxa" w:w="3542"/>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Reporting, Analytics, and Business Intelligence Model; Master Record Stewardship and Retention Model; Master AI Governance and Decision Boundary Model; Minor, Guardian, Safeguarding, and Delegated-Assistance Canon; Master Claims, Disputes, and Authority Model</w:t>
            </w:r>
          </w:p>
        </w:tc>
        <w:tc>
          <w:tcPr>
            <w:tcW w:type="dxa" w:w="1051"/>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AUTH-070</w:t>
            </w:r>
          </w:p>
        </w:tc>
      </w:tr>
    </w:tbl>
    <w:p>
      <w:pPr>
        <w:spacing w:after="0"/>
      </w:pPr>
    </w:p>
    <w:p>
      <w:pPr>
        <w:pStyle w:val="Heading2"/>
      </w:pPr>
      <w:r>
        <w:t>E. AI, Automation, Reporting, Analytics, and Decision Support</w:t>
      </w:r>
    </w:p>
    <w:tbl>
      <w:tblPr>
        <w:tblW w:type="auto" w:w="0"/>
        <w:jc w:val="center"/>
        <w:tblLayout w:type="fixed"/>
        <w:tblLook w:firstColumn="1" w:firstRow="1" w:lastColumn="0" w:lastRow="0" w:noHBand="0" w:noVBand="1" w:val="04A0"/>
        <w:tblBorders>
          <w:top w:val="single" w:sz="4" w:space="0" w:color="A7B5C3"/>
          <w:left w:val="single" w:sz="4" w:space="0" w:color="A7B5C3"/>
          <w:bottom w:val="single" w:sz="4" w:space="0" w:color="A7B5C3"/>
          <w:right w:val="single" w:sz="4" w:space="0" w:color="A7B5C3"/>
          <w:insideH w:val="single" w:sz="4" w:space="0" w:color="A7B5C3"/>
          <w:insideV w:val="single" w:sz="4" w:space="0" w:color="A7B5C3"/>
        </w:tblBorders>
      </w:tblPr>
      <w:tblGrid>
        <w:gridCol w:w="2033"/>
        <w:gridCol w:w="2033"/>
        <w:gridCol w:w="2033"/>
        <w:gridCol w:w="2033"/>
        <w:gridCol w:w="2033"/>
      </w:tblGrid>
      <w:tr>
        <w:trPr>
          <w:tblHeader w:val="true"/>
        </w:trPr>
        <w:tc>
          <w:tcPr>
            <w:tcW w:type="dxa" w:w="864"/>
            <w:shd w:fill="0B2748"/>
            <w:tcMar>
              <w:top w:w="70" w:type="dxa"/>
              <w:start w:w="55" w:type="dxa"/>
              <w:bottom w:w="70" w:type="dxa"/>
              <w:end w:w="55" w:type="dxa"/>
            </w:tcMar>
            <w:vAlign w:val="center"/>
          </w:tcPr>
          <w:p>
            <w:pPr>
              <w:spacing w:after="0"/>
              <w:jc w:val="center"/>
            </w:pPr>
            <w:r>
              <w:rPr>
                <w:rFonts w:ascii="Aptos" w:hAnsi="Aptos"/>
                <w:b/>
                <w:color w:val="FFFFFF"/>
                <w:sz w:val="13"/>
              </w:rPr>
              <w:t>XREF ID</w:t>
            </w:r>
          </w:p>
        </w:tc>
        <w:tc>
          <w:tcPr>
            <w:tcW w:type="dxa" w:w="2534"/>
            <w:shd w:fill="0B2748"/>
            <w:tcMar>
              <w:top w:w="70" w:type="dxa"/>
              <w:start w:w="55" w:type="dxa"/>
              <w:bottom w:w="70" w:type="dxa"/>
              <w:end w:w="55" w:type="dxa"/>
            </w:tcMar>
            <w:vAlign w:val="center"/>
          </w:tcPr>
          <w:p>
            <w:pPr>
              <w:spacing w:after="0"/>
              <w:jc w:val="center"/>
            </w:pPr>
            <w:r>
              <w:rPr>
                <w:rFonts w:ascii="Aptos" w:hAnsi="Aptos"/>
                <w:b/>
                <w:color w:val="FFFFFF"/>
                <w:sz w:val="13"/>
              </w:rPr>
              <w:t>Topic / Common Search Terms</w:t>
            </w:r>
          </w:p>
        </w:tc>
        <w:tc>
          <w:tcPr>
            <w:tcW w:type="dxa" w:w="2088"/>
            <w:shd w:fill="0B2748"/>
            <w:tcMar>
              <w:top w:w="70" w:type="dxa"/>
              <w:start w:w="55" w:type="dxa"/>
              <w:bottom w:w="70" w:type="dxa"/>
              <w:end w:w="55" w:type="dxa"/>
            </w:tcMar>
            <w:vAlign w:val="center"/>
          </w:tcPr>
          <w:p>
            <w:pPr>
              <w:spacing w:after="0"/>
              <w:jc w:val="center"/>
            </w:pPr>
            <w:r>
              <w:rPr>
                <w:rFonts w:ascii="Aptos" w:hAnsi="Aptos"/>
                <w:b/>
                <w:color w:val="FFFFFF"/>
                <w:sz w:val="13"/>
              </w:rPr>
              <w:t>Start With</w:t>
            </w:r>
          </w:p>
        </w:tc>
        <w:tc>
          <w:tcPr>
            <w:tcW w:type="dxa" w:w="3542"/>
            <w:shd w:fill="0B2748"/>
            <w:tcMar>
              <w:top w:w="70" w:type="dxa"/>
              <w:start w:w="55" w:type="dxa"/>
              <w:bottom w:w="70" w:type="dxa"/>
              <w:end w:w="55" w:type="dxa"/>
            </w:tcMar>
            <w:vAlign w:val="center"/>
          </w:tcPr>
          <w:p>
            <w:pPr>
              <w:spacing w:after="0"/>
              <w:jc w:val="center"/>
            </w:pPr>
            <w:r>
              <w:rPr>
                <w:rFonts w:ascii="Aptos" w:hAnsi="Aptos"/>
                <w:b/>
                <w:color w:val="FFFFFF"/>
                <w:sz w:val="13"/>
              </w:rPr>
              <w:t>Read With</w:t>
            </w:r>
          </w:p>
        </w:tc>
        <w:tc>
          <w:tcPr>
            <w:tcW w:type="dxa" w:w="1051"/>
            <w:shd w:fill="0B2748"/>
            <w:tcMar>
              <w:top w:w="70" w:type="dxa"/>
              <w:start w:w="55" w:type="dxa"/>
              <w:bottom w:w="70" w:type="dxa"/>
              <w:end w:w="55" w:type="dxa"/>
            </w:tcMar>
            <w:vAlign w:val="center"/>
          </w:tcPr>
          <w:p>
            <w:pPr>
              <w:spacing w:after="0"/>
              <w:jc w:val="center"/>
            </w:pPr>
            <w:r>
              <w:rPr>
                <w:rFonts w:ascii="Aptos" w:hAnsi="Aptos"/>
                <w:b/>
                <w:color w:val="FFFFFF"/>
                <w:sz w:val="13"/>
              </w:rPr>
              <w:t>Authority Matrix</w:t>
            </w:r>
          </w:p>
        </w:tc>
      </w:tr>
      <w:tr>
        <w:trPr/>
        <w:tc>
          <w:tcPr>
            <w:tcW w:type="dxa" w:w="864"/>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XREF-071</w:t>
            </w:r>
          </w:p>
        </w:tc>
        <w:tc>
          <w:tcPr>
            <w:tcW w:type="dxa" w:w="2534"/>
            <w:tcMar>
              <w:top w:w="45" w:type="dxa"/>
              <w:start w:w="45" w:type="dxa"/>
              <w:bottom w:w="45" w:type="dxa"/>
              <w:end w:w="45" w:type="dxa"/>
            </w:tcMar>
            <w:vAlign w:val="top"/>
            <w:shd w:fill="FFFFFF"/>
          </w:tcPr>
          <w:p>
            <w:pPr>
              <w:spacing w:after="0" w:line="228" w:lineRule="auto"/>
            </w:pPr>
            <w:r>
              <w:rPr>
                <w:rFonts w:ascii="Aptos" w:hAnsi="Aptos"/>
                <w:b w:val="0"/>
                <w:color w:val="3C4650"/>
                <w:sz w:val="12"/>
              </w:rPr>
              <w:t>AI systems, models, agents, use cases, registries, and safety cases</w:t>
            </w:r>
          </w:p>
        </w:tc>
        <w:tc>
          <w:tcPr>
            <w:tcW w:type="dxa" w:w="2088"/>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AI Governance and Decision Boundary Model</w:t>
            </w:r>
          </w:p>
        </w:tc>
        <w:tc>
          <w:tcPr>
            <w:tcW w:type="dxa" w:w="3542"/>
            <w:tcMar>
              <w:top w:w="45" w:type="dxa"/>
              <w:start w:w="45" w:type="dxa"/>
              <w:bottom w:w="45" w:type="dxa"/>
              <w:end w:w="45" w:type="dxa"/>
            </w:tcMar>
            <w:vAlign w:val="top"/>
            <w:shd w:fill="FFFFFF"/>
          </w:tcPr>
          <w:p>
            <w:pPr>
              <w:spacing w:after="0" w:line="228" w:lineRule="auto"/>
            </w:pPr>
            <w:r>
              <w:rPr>
                <w:rFonts w:ascii="Aptos" w:hAnsi="Aptos"/>
                <w:b w:val="0"/>
                <w:color w:val="3C4650"/>
                <w:sz w:val="12"/>
              </w:rPr>
              <w:t>all underlying domain canons; Master Security and Trust Model; Master Privacy and Data Protection Model; Master Vendor Security and Supply Chain Model; Master EquineSync Implementation Atlas and Authorized RF Packages</w:t>
            </w:r>
          </w:p>
        </w:tc>
        <w:tc>
          <w:tcPr>
            <w:tcW w:type="dxa" w:w="1051"/>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AUTH-071</w:t>
            </w:r>
          </w:p>
        </w:tc>
      </w:tr>
      <w:tr>
        <w:trPr/>
        <w:tc>
          <w:tcPr>
            <w:tcW w:type="dxa" w:w="864"/>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XREF-072</w:t>
            </w:r>
          </w:p>
        </w:tc>
        <w:tc>
          <w:tcPr>
            <w:tcW w:type="dxa" w:w="2534"/>
            <w:tcMar>
              <w:top w:w="45" w:type="dxa"/>
              <w:start w:w="45" w:type="dxa"/>
              <w:bottom w:w="45" w:type="dxa"/>
              <w:end w:w="45" w:type="dxa"/>
            </w:tcMar>
            <w:vAlign w:val="top"/>
            <w:shd w:fill="EEF4F8"/>
          </w:tcPr>
          <w:p>
            <w:pPr>
              <w:spacing w:after="0" w:line="228" w:lineRule="auto"/>
            </w:pPr>
            <w:r>
              <w:rPr>
                <w:rFonts w:ascii="Aptos" w:hAnsi="Aptos"/>
                <w:b w:val="0"/>
                <w:color w:val="3C4650"/>
                <w:sz w:val="12"/>
              </w:rPr>
              <w:t>AI training, fine-tuning, evaluation data, and shared-model data use</w:t>
            </w:r>
          </w:p>
        </w:tc>
        <w:tc>
          <w:tcPr>
            <w:tcW w:type="dxa" w:w="2088"/>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AI Governance and Decision Boundary Model</w:t>
            </w:r>
          </w:p>
        </w:tc>
        <w:tc>
          <w:tcPr>
            <w:tcW w:type="dxa" w:w="3542"/>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Privacy and Data Protection Model; Master Vendor Security and Supply Chain Model; Master Record Stewardship and Retention Model; Master Agreement, Consent, and Authorization Model</w:t>
            </w:r>
          </w:p>
        </w:tc>
        <w:tc>
          <w:tcPr>
            <w:tcW w:type="dxa" w:w="1051"/>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AUTH-072</w:t>
            </w:r>
          </w:p>
        </w:tc>
      </w:tr>
      <w:tr>
        <w:trPr/>
        <w:tc>
          <w:tcPr>
            <w:tcW w:type="dxa" w:w="864"/>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XREF-073</w:t>
            </w:r>
          </w:p>
        </w:tc>
        <w:tc>
          <w:tcPr>
            <w:tcW w:type="dxa" w:w="2534"/>
            <w:tcMar>
              <w:top w:w="45" w:type="dxa"/>
              <w:start w:w="45" w:type="dxa"/>
              <w:bottom w:w="45" w:type="dxa"/>
              <w:end w:w="45" w:type="dxa"/>
            </w:tcMar>
            <w:vAlign w:val="top"/>
            <w:shd w:fill="FFFFFF"/>
          </w:tcPr>
          <w:p>
            <w:pPr>
              <w:spacing w:after="0" w:line="228" w:lineRule="auto"/>
            </w:pPr>
            <w:r>
              <w:rPr>
                <w:rFonts w:ascii="Aptos" w:hAnsi="Aptos"/>
                <w:b w:val="0"/>
                <w:color w:val="3C4650"/>
                <w:sz w:val="12"/>
              </w:rPr>
              <w:t>AI outputs, source grounding, fact, inference, estimate, and uncertainty</w:t>
            </w:r>
          </w:p>
        </w:tc>
        <w:tc>
          <w:tcPr>
            <w:tcW w:type="dxa" w:w="2088"/>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AI Governance and Decision Boundary Model</w:t>
            </w:r>
          </w:p>
        </w:tc>
        <w:tc>
          <w:tcPr>
            <w:tcW w:type="dxa" w:w="3542"/>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Record Stewardship and Retention Model; Master Claims, Disputes, and Authority Model; Master Audit Event and Evidence Model; domain canon</w:t>
            </w:r>
          </w:p>
        </w:tc>
        <w:tc>
          <w:tcPr>
            <w:tcW w:type="dxa" w:w="1051"/>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AUTH-073</w:t>
            </w:r>
          </w:p>
        </w:tc>
      </w:tr>
      <w:tr>
        <w:trPr/>
        <w:tc>
          <w:tcPr>
            <w:tcW w:type="dxa" w:w="864"/>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XREF-074</w:t>
            </w:r>
          </w:p>
        </w:tc>
        <w:tc>
          <w:tcPr>
            <w:tcW w:type="dxa" w:w="2534"/>
            <w:tcMar>
              <w:top w:w="45" w:type="dxa"/>
              <w:start w:w="45" w:type="dxa"/>
              <w:bottom w:w="45" w:type="dxa"/>
              <w:end w:w="45" w:type="dxa"/>
            </w:tcMar>
            <w:vAlign w:val="top"/>
            <w:shd w:fill="EEF4F8"/>
          </w:tcPr>
          <w:p>
            <w:pPr>
              <w:spacing w:after="0" w:line="228" w:lineRule="auto"/>
            </w:pPr>
            <w:r>
              <w:rPr>
                <w:rFonts w:ascii="Aptos" w:hAnsi="Aptos"/>
                <w:b w:val="0"/>
                <w:color w:val="3C4650"/>
                <w:sz w:val="12"/>
              </w:rPr>
              <w:t>Meaningful human review and AI-assisted consequential decisions</w:t>
            </w:r>
          </w:p>
        </w:tc>
        <w:tc>
          <w:tcPr>
            <w:tcW w:type="dxa" w:w="2088"/>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AI Governance and Decision Boundary Model</w:t>
            </w:r>
          </w:p>
        </w:tc>
        <w:tc>
          <w:tcPr>
            <w:tcW w:type="dxa" w:w="3542"/>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Permission and Access-Control Model; Minor, Guardian, Safeguarding, and Delegated-Assistance Canon; Master Financial Truth and Responsibility Model; Master Horse Transfer and Continuity Policy; professional restrictions</w:t>
            </w:r>
          </w:p>
        </w:tc>
        <w:tc>
          <w:tcPr>
            <w:tcW w:type="dxa" w:w="1051"/>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AUTH-074</w:t>
            </w:r>
          </w:p>
        </w:tc>
      </w:tr>
      <w:tr>
        <w:trPr/>
        <w:tc>
          <w:tcPr>
            <w:tcW w:type="dxa" w:w="864"/>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XREF-075</w:t>
            </w:r>
          </w:p>
        </w:tc>
        <w:tc>
          <w:tcPr>
            <w:tcW w:type="dxa" w:w="2534"/>
            <w:tcMar>
              <w:top w:w="45" w:type="dxa"/>
              <w:start w:w="45" w:type="dxa"/>
              <w:bottom w:w="45" w:type="dxa"/>
              <w:end w:w="45" w:type="dxa"/>
            </w:tcMar>
            <w:vAlign w:val="top"/>
            <w:shd w:fill="FFFFFF"/>
          </w:tcPr>
          <w:p>
            <w:pPr>
              <w:spacing w:after="0" w:line="228" w:lineRule="auto"/>
            </w:pPr>
            <w:r>
              <w:rPr>
                <w:rFonts w:ascii="Aptos" w:hAnsi="Aptos"/>
                <w:b w:val="0"/>
                <w:color w:val="3C4650"/>
                <w:sz w:val="12"/>
              </w:rPr>
              <w:t>Embeddings, retrieval indexes, vector stores, and AI retrieval context</w:t>
            </w:r>
          </w:p>
        </w:tc>
        <w:tc>
          <w:tcPr>
            <w:tcW w:type="dxa" w:w="2088"/>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AI Governance and Decision Boundary Model</w:t>
            </w:r>
          </w:p>
        </w:tc>
        <w:tc>
          <w:tcPr>
            <w:tcW w:type="dxa" w:w="3542"/>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Search, Discovery, Ranking, and Retrieval Model; Master Privacy and Data Protection Model; Master Media, Files, and Digital Asset Governance Model; Master Record Stewardship and Retention Model; Master Security and Trust Model</w:t>
            </w:r>
          </w:p>
        </w:tc>
        <w:tc>
          <w:tcPr>
            <w:tcW w:type="dxa" w:w="1051"/>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AUTH-075</w:t>
            </w:r>
          </w:p>
        </w:tc>
      </w:tr>
      <w:tr>
        <w:trPr/>
        <w:tc>
          <w:tcPr>
            <w:tcW w:type="dxa" w:w="864"/>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XREF-076</w:t>
            </w:r>
          </w:p>
        </w:tc>
        <w:tc>
          <w:tcPr>
            <w:tcW w:type="dxa" w:w="2534"/>
            <w:tcMar>
              <w:top w:w="45" w:type="dxa"/>
              <w:start w:w="45" w:type="dxa"/>
              <w:bottom w:w="45" w:type="dxa"/>
              <w:end w:w="45" w:type="dxa"/>
            </w:tcMar>
            <w:vAlign w:val="top"/>
            <w:shd w:fill="EEF4F8"/>
          </w:tcPr>
          <w:p>
            <w:pPr>
              <w:spacing w:after="0" w:line="228" w:lineRule="auto"/>
            </w:pPr>
            <w:r>
              <w:rPr>
                <w:rFonts w:ascii="Aptos" w:hAnsi="Aptos"/>
                <w:b w:val="0"/>
                <w:color w:val="3C4650"/>
                <w:sz w:val="12"/>
              </w:rPr>
              <w:t>AI agents, tool use, supervised automation, and automated actions</w:t>
            </w:r>
          </w:p>
        </w:tc>
        <w:tc>
          <w:tcPr>
            <w:tcW w:type="dxa" w:w="2088"/>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AI Governance and Decision Boundary Model</w:t>
            </w:r>
          </w:p>
        </w:tc>
        <w:tc>
          <w:tcPr>
            <w:tcW w:type="dxa" w:w="3542"/>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Permission and Access-Control Model; Master Platform Operations, Reliability, and Release Model; Master Audit Event and Evidence Model; action-owning domain canon</w:t>
            </w:r>
          </w:p>
        </w:tc>
        <w:tc>
          <w:tcPr>
            <w:tcW w:type="dxa" w:w="1051"/>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AUTH-076</w:t>
            </w:r>
          </w:p>
        </w:tc>
      </w:tr>
      <w:tr>
        <w:trPr/>
        <w:tc>
          <w:tcPr>
            <w:tcW w:type="dxa" w:w="864"/>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XREF-077</w:t>
            </w:r>
          </w:p>
        </w:tc>
        <w:tc>
          <w:tcPr>
            <w:tcW w:type="dxa" w:w="2534"/>
            <w:tcMar>
              <w:top w:w="45" w:type="dxa"/>
              <w:start w:w="45" w:type="dxa"/>
              <w:bottom w:w="45" w:type="dxa"/>
              <w:end w:w="45" w:type="dxa"/>
            </w:tcMar>
            <w:vAlign w:val="top"/>
            <w:shd w:fill="FFFFFF"/>
          </w:tcPr>
          <w:p>
            <w:pPr>
              <w:spacing w:after="0" w:line="228" w:lineRule="auto"/>
            </w:pPr>
            <w:r>
              <w:rPr>
                <w:rFonts w:ascii="Aptos" w:hAnsi="Aptos"/>
                <w:b w:val="0"/>
                <w:color w:val="3C4650"/>
                <w:sz w:val="12"/>
              </w:rPr>
              <w:t>Reports, dashboards, business intelligence, metrics, and analytical views</w:t>
            </w:r>
          </w:p>
        </w:tc>
        <w:tc>
          <w:tcPr>
            <w:tcW w:type="dxa" w:w="2088"/>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Reporting, Analytics, and Business Intelligence Model</w:t>
            </w:r>
          </w:p>
        </w:tc>
        <w:tc>
          <w:tcPr>
            <w:tcW w:type="dxa" w:w="3542"/>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Record Stewardship and Retention Model; Master Permission and Access-Control Model; Master Privacy and Data Protection Model; Master AI Governance and Decision Boundary Model; domain canons</w:t>
            </w:r>
          </w:p>
        </w:tc>
        <w:tc>
          <w:tcPr>
            <w:tcW w:type="dxa" w:w="1051"/>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AUTH-077</w:t>
            </w:r>
          </w:p>
        </w:tc>
      </w:tr>
      <w:tr>
        <w:trPr/>
        <w:tc>
          <w:tcPr>
            <w:tcW w:type="dxa" w:w="864"/>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XREF-078</w:t>
            </w:r>
          </w:p>
        </w:tc>
        <w:tc>
          <w:tcPr>
            <w:tcW w:type="dxa" w:w="2534"/>
            <w:tcMar>
              <w:top w:w="45" w:type="dxa"/>
              <w:start w:w="45" w:type="dxa"/>
              <w:bottom w:w="45" w:type="dxa"/>
              <w:end w:w="45" w:type="dxa"/>
            </w:tcMar>
            <w:vAlign w:val="top"/>
            <w:shd w:fill="EEF4F8"/>
          </w:tcPr>
          <w:p>
            <w:pPr>
              <w:spacing w:after="0" w:line="228" w:lineRule="auto"/>
            </w:pPr>
            <w:r>
              <w:rPr>
                <w:rFonts w:ascii="Aptos" w:hAnsi="Aptos"/>
                <w:b w:val="0"/>
                <w:color w:val="3C4650"/>
                <w:sz w:val="12"/>
              </w:rPr>
              <w:t>Conflicting source data in reports and analytical reconciliation</w:t>
            </w:r>
          </w:p>
        </w:tc>
        <w:tc>
          <w:tcPr>
            <w:tcW w:type="dxa" w:w="2088"/>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Reporting, Analytics, and Business Intelligence Model</w:t>
            </w:r>
          </w:p>
        </w:tc>
        <w:tc>
          <w:tcPr>
            <w:tcW w:type="dxa" w:w="3542"/>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Record Stewardship and Retention Model; Master Claims, Disputes, and Authority Model; Master Audit Event and Evidence Model; source-owning domain canon</w:t>
            </w:r>
          </w:p>
        </w:tc>
        <w:tc>
          <w:tcPr>
            <w:tcW w:type="dxa" w:w="1051"/>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AUTH-078</w:t>
            </w:r>
          </w:p>
        </w:tc>
      </w:tr>
      <w:tr>
        <w:trPr/>
        <w:tc>
          <w:tcPr>
            <w:tcW w:type="dxa" w:w="864"/>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XREF-079</w:t>
            </w:r>
          </w:p>
        </w:tc>
        <w:tc>
          <w:tcPr>
            <w:tcW w:type="dxa" w:w="2534"/>
            <w:tcMar>
              <w:top w:w="45" w:type="dxa"/>
              <w:start w:w="45" w:type="dxa"/>
              <w:bottom w:w="45" w:type="dxa"/>
              <w:end w:w="45" w:type="dxa"/>
            </w:tcMar>
            <w:vAlign w:val="top"/>
            <w:shd w:fill="FFFFFF"/>
          </w:tcPr>
          <w:p>
            <w:pPr>
              <w:spacing w:after="0" w:line="228" w:lineRule="auto"/>
            </w:pPr>
            <w:r>
              <w:rPr>
                <w:rFonts w:ascii="Aptos" w:hAnsi="Aptos"/>
                <w:b w:val="0"/>
                <w:color w:val="3C4650"/>
                <w:sz w:val="12"/>
              </w:rPr>
              <w:t>Official KPIs, local metrics, formulas, dimensions, and metric versions</w:t>
            </w:r>
          </w:p>
        </w:tc>
        <w:tc>
          <w:tcPr>
            <w:tcW w:type="dxa" w:w="2088"/>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Reporting, Analytics, and Business Intelligence Model</w:t>
            </w:r>
          </w:p>
        </w:tc>
        <w:tc>
          <w:tcPr>
            <w:tcW w:type="dxa" w:w="3542"/>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Financial Truth and Responsibility Model; Master Barn Lifecycle and Operations Canon; Master Platform Operations, Reliability, and Release Model; Master Record Stewardship and Retention Model</w:t>
            </w:r>
          </w:p>
        </w:tc>
        <w:tc>
          <w:tcPr>
            <w:tcW w:type="dxa" w:w="1051"/>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AUTH-079</w:t>
            </w:r>
          </w:p>
        </w:tc>
      </w:tr>
      <w:tr>
        <w:trPr/>
        <w:tc>
          <w:tcPr>
            <w:tcW w:type="dxa" w:w="864"/>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XREF-080</w:t>
            </w:r>
          </w:p>
        </w:tc>
        <w:tc>
          <w:tcPr>
            <w:tcW w:type="dxa" w:w="2534"/>
            <w:tcMar>
              <w:top w:w="45" w:type="dxa"/>
              <w:start w:w="45" w:type="dxa"/>
              <w:bottom w:w="45" w:type="dxa"/>
              <w:end w:w="45" w:type="dxa"/>
            </w:tcMar>
            <w:vAlign w:val="top"/>
            <w:shd w:fill="EEF4F8"/>
          </w:tcPr>
          <w:p>
            <w:pPr>
              <w:spacing w:after="0" w:line="228" w:lineRule="auto"/>
            </w:pPr>
            <w:r>
              <w:rPr>
                <w:rFonts w:ascii="Aptos" w:hAnsi="Aptos"/>
                <w:b w:val="0"/>
                <w:color w:val="3C4650"/>
                <w:sz w:val="12"/>
              </w:rPr>
              <w:t>Forecasts, predictions, scores, comparisons, and benchmarks</w:t>
            </w:r>
          </w:p>
        </w:tc>
        <w:tc>
          <w:tcPr>
            <w:tcW w:type="dxa" w:w="2088"/>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Reporting, Analytics, and Business Intelligence Model</w:t>
            </w:r>
          </w:p>
        </w:tc>
        <w:tc>
          <w:tcPr>
            <w:tcW w:type="dxa" w:w="3542"/>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AI Governance and Decision Boundary Model; Master Privacy and Data Protection Model; Minor, Guardian, Safeguarding, and Delegated-Assistance Canon; Master Financial Truth and Responsibility Model; domain canon</w:t>
            </w:r>
          </w:p>
        </w:tc>
        <w:tc>
          <w:tcPr>
            <w:tcW w:type="dxa" w:w="1051"/>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AUTH-080</w:t>
            </w:r>
          </w:p>
        </w:tc>
      </w:tr>
      <w:tr>
        <w:trPr/>
        <w:tc>
          <w:tcPr>
            <w:tcW w:type="dxa" w:w="864"/>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XREF-081</w:t>
            </w:r>
          </w:p>
        </w:tc>
        <w:tc>
          <w:tcPr>
            <w:tcW w:type="dxa" w:w="2534"/>
            <w:tcMar>
              <w:top w:w="45" w:type="dxa"/>
              <w:start w:w="45" w:type="dxa"/>
              <w:bottom w:w="45" w:type="dxa"/>
              <w:end w:w="45" w:type="dxa"/>
            </w:tcMar>
            <w:vAlign w:val="top"/>
            <w:shd w:fill="FFFFFF"/>
          </w:tcPr>
          <w:p>
            <w:pPr>
              <w:spacing w:after="0" w:line="228" w:lineRule="auto"/>
            </w:pPr>
            <w:r>
              <w:rPr>
                <w:rFonts w:ascii="Aptos" w:hAnsi="Aptos"/>
                <w:b w:val="0"/>
                <w:color w:val="3C4650"/>
                <w:sz w:val="12"/>
              </w:rPr>
              <w:t>Report challenge, correction, withdrawal, supersession, and downstream impact</w:t>
            </w:r>
          </w:p>
        </w:tc>
        <w:tc>
          <w:tcPr>
            <w:tcW w:type="dxa" w:w="2088"/>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Reporting, Analytics, and Business Intelligence Model</w:t>
            </w:r>
          </w:p>
        </w:tc>
        <w:tc>
          <w:tcPr>
            <w:tcW w:type="dxa" w:w="3542"/>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Record Stewardship and Retention Model; Master Audit Event and Evidence Model; Master Communication, Notification, and Notice Model; Master Claims, Disputes, and Authority Model</w:t>
            </w:r>
          </w:p>
        </w:tc>
        <w:tc>
          <w:tcPr>
            <w:tcW w:type="dxa" w:w="1051"/>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AUTH-081</w:t>
            </w:r>
          </w:p>
        </w:tc>
      </w:tr>
      <w:tr>
        <w:trPr/>
        <w:tc>
          <w:tcPr>
            <w:tcW w:type="dxa" w:w="864"/>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XREF-082</w:t>
            </w:r>
          </w:p>
        </w:tc>
        <w:tc>
          <w:tcPr>
            <w:tcW w:type="dxa" w:w="2534"/>
            <w:tcMar>
              <w:top w:w="45" w:type="dxa"/>
              <w:start w:w="45" w:type="dxa"/>
              <w:bottom w:w="45" w:type="dxa"/>
              <w:end w:w="45" w:type="dxa"/>
            </w:tcMar>
            <w:vAlign w:val="top"/>
            <w:shd w:fill="EEF4F8"/>
          </w:tcPr>
          <w:p>
            <w:pPr>
              <w:spacing w:after="0" w:line="228" w:lineRule="auto"/>
            </w:pPr>
            <w:r>
              <w:rPr>
                <w:rFonts w:ascii="Aptos" w:hAnsi="Aptos"/>
                <w:b w:val="0"/>
                <w:color w:val="3C4650"/>
                <w:sz w:val="12"/>
              </w:rPr>
              <w:t>Visualization integrity, accessibility, chart honesty, units, and comparative periods</w:t>
            </w:r>
          </w:p>
        </w:tc>
        <w:tc>
          <w:tcPr>
            <w:tcW w:type="dxa" w:w="2088"/>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Reporting, Analytics, and Business Intelligence Model</w:t>
            </w:r>
          </w:p>
        </w:tc>
        <w:tc>
          <w:tcPr>
            <w:tcW w:type="dxa" w:w="3542"/>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Product Vision; Master Financial Truth and Responsibility Model; Master Record Stewardship and Retention Model</w:t>
            </w:r>
          </w:p>
        </w:tc>
        <w:tc>
          <w:tcPr>
            <w:tcW w:type="dxa" w:w="1051"/>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AUTH-082</w:t>
            </w:r>
          </w:p>
        </w:tc>
      </w:tr>
      <w:tr>
        <w:trPr/>
        <w:tc>
          <w:tcPr>
            <w:tcW w:type="dxa" w:w="864"/>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XREF-083</w:t>
            </w:r>
          </w:p>
        </w:tc>
        <w:tc>
          <w:tcPr>
            <w:tcW w:type="dxa" w:w="2534"/>
            <w:tcMar>
              <w:top w:w="45" w:type="dxa"/>
              <w:start w:w="45" w:type="dxa"/>
              <w:bottom w:w="45" w:type="dxa"/>
              <w:end w:w="45" w:type="dxa"/>
            </w:tcMar>
            <w:vAlign w:val="top"/>
            <w:shd w:fill="FFFFFF"/>
          </w:tcPr>
          <w:p>
            <w:pPr>
              <w:spacing w:after="0" w:line="228" w:lineRule="auto"/>
            </w:pPr>
            <w:r>
              <w:rPr>
                <w:rFonts w:ascii="Aptos" w:hAnsi="Aptos"/>
                <w:b w:val="0"/>
                <w:color w:val="3C4650"/>
                <w:sz w:val="12"/>
              </w:rPr>
              <w:t>Public reports, research outputs, methodology disclosure, and trust review</w:t>
            </w:r>
          </w:p>
        </w:tc>
        <w:tc>
          <w:tcPr>
            <w:tcW w:type="dxa" w:w="2088"/>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Reporting, Analytics, and Business Intelligence Model</w:t>
            </w:r>
          </w:p>
        </w:tc>
        <w:tc>
          <w:tcPr>
            <w:tcW w:type="dxa" w:w="3542"/>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Privacy and Data Protection Model; Minor, Guardian, Safeguarding, and Delegated-Assistance Canon; Master Claims, Disputes, and Authority Model; Master Product Vision; legal review</w:t>
            </w:r>
          </w:p>
        </w:tc>
        <w:tc>
          <w:tcPr>
            <w:tcW w:type="dxa" w:w="1051"/>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AUTH-083</w:t>
            </w:r>
          </w:p>
        </w:tc>
      </w:tr>
      <w:tr>
        <w:trPr/>
        <w:tc>
          <w:tcPr>
            <w:tcW w:type="dxa" w:w="864"/>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XREF-084</w:t>
            </w:r>
          </w:p>
        </w:tc>
        <w:tc>
          <w:tcPr>
            <w:tcW w:type="dxa" w:w="2534"/>
            <w:tcMar>
              <w:top w:w="45" w:type="dxa"/>
              <w:start w:w="45" w:type="dxa"/>
              <w:bottom w:w="45" w:type="dxa"/>
              <w:end w:w="45" w:type="dxa"/>
            </w:tcMar>
            <w:vAlign w:val="top"/>
            <w:shd w:fill="EEF4F8"/>
          </w:tcPr>
          <w:p>
            <w:pPr>
              <w:spacing w:after="0" w:line="228" w:lineRule="auto"/>
            </w:pPr>
            <w:r>
              <w:rPr>
                <w:rFonts w:ascii="Aptos" w:hAnsi="Aptos"/>
                <w:b w:val="0"/>
                <w:color w:val="3C4650"/>
                <w:sz w:val="12"/>
              </w:rPr>
              <w:t>Analytical extracts, report exports, caches, and analytics retention</w:t>
            </w:r>
          </w:p>
        </w:tc>
        <w:tc>
          <w:tcPr>
            <w:tcW w:type="dxa" w:w="2088"/>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Reporting, Analytics, and Business Intelligence Model</w:t>
            </w:r>
          </w:p>
        </w:tc>
        <w:tc>
          <w:tcPr>
            <w:tcW w:type="dxa" w:w="3542"/>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Record Stewardship and Retention Model; Master Privacy and Data Protection Model; Master Media, Files, and Digital Asset Governance Model; Master Platform Resilience, Backup, and Recovery Model</w:t>
            </w:r>
          </w:p>
        </w:tc>
        <w:tc>
          <w:tcPr>
            <w:tcW w:type="dxa" w:w="1051"/>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AUTH-084</w:t>
            </w:r>
          </w:p>
        </w:tc>
      </w:tr>
    </w:tbl>
    <w:p>
      <w:pPr>
        <w:spacing w:after="0"/>
      </w:pPr>
    </w:p>
    <w:p>
      <w:pPr>
        <w:pStyle w:val="Heading2"/>
      </w:pPr>
      <w:r>
        <w:t>F. Financial, Commercial, External Architecture, Developers, Plugins, and Vendors</w:t>
      </w:r>
    </w:p>
    <w:tbl>
      <w:tblPr>
        <w:tblW w:type="auto" w:w="0"/>
        <w:jc w:val="center"/>
        <w:tblLayout w:type="fixed"/>
        <w:tblLook w:firstColumn="1" w:firstRow="1" w:lastColumn="0" w:lastRow="0" w:noHBand="0" w:noVBand="1" w:val="04A0"/>
        <w:tblBorders>
          <w:top w:val="single" w:sz="4" w:space="0" w:color="A7B5C3"/>
          <w:left w:val="single" w:sz="4" w:space="0" w:color="A7B5C3"/>
          <w:bottom w:val="single" w:sz="4" w:space="0" w:color="A7B5C3"/>
          <w:right w:val="single" w:sz="4" w:space="0" w:color="A7B5C3"/>
          <w:insideH w:val="single" w:sz="4" w:space="0" w:color="A7B5C3"/>
          <w:insideV w:val="single" w:sz="4" w:space="0" w:color="A7B5C3"/>
        </w:tblBorders>
      </w:tblPr>
      <w:tblGrid>
        <w:gridCol w:w="2033"/>
        <w:gridCol w:w="2033"/>
        <w:gridCol w:w="2033"/>
        <w:gridCol w:w="2033"/>
        <w:gridCol w:w="2033"/>
      </w:tblGrid>
      <w:tr>
        <w:trPr>
          <w:tblHeader w:val="true"/>
        </w:trPr>
        <w:tc>
          <w:tcPr>
            <w:tcW w:type="dxa" w:w="864"/>
            <w:shd w:fill="0B2748"/>
            <w:tcMar>
              <w:top w:w="70" w:type="dxa"/>
              <w:start w:w="55" w:type="dxa"/>
              <w:bottom w:w="70" w:type="dxa"/>
              <w:end w:w="55" w:type="dxa"/>
            </w:tcMar>
            <w:vAlign w:val="center"/>
          </w:tcPr>
          <w:p>
            <w:pPr>
              <w:spacing w:after="0"/>
              <w:jc w:val="center"/>
            </w:pPr>
            <w:r>
              <w:rPr>
                <w:rFonts w:ascii="Aptos" w:hAnsi="Aptos"/>
                <w:b/>
                <w:color w:val="FFFFFF"/>
                <w:sz w:val="13"/>
              </w:rPr>
              <w:t>XREF ID</w:t>
            </w:r>
          </w:p>
        </w:tc>
        <w:tc>
          <w:tcPr>
            <w:tcW w:type="dxa" w:w="2534"/>
            <w:shd w:fill="0B2748"/>
            <w:tcMar>
              <w:top w:w="70" w:type="dxa"/>
              <w:start w:w="55" w:type="dxa"/>
              <w:bottom w:w="70" w:type="dxa"/>
              <w:end w:w="55" w:type="dxa"/>
            </w:tcMar>
            <w:vAlign w:val="center"/>
          </w:tcPr>
          <w:p>
            <w:pPr>
              <w:spacing w:after="0"/>
              <w:jc w:val="center"/>
            </w:pPr>
            <w:r>
              <w:rPr>
                <w:rFonts w:ascii="Aptos" w:hAnsi="Aptos"/>
                <w:b/>
                <w:color w:val="FFFFFF"/>
                <w:sz w:val="13"/>
              </w:rPr>
              <w:t>Topic / Common Search Terms</w:t>
            </w:r>
          </w:p>
        </w:tc>
        <w:tc>
          <w:tcPr>
            <w:tcW w:type="dxa" w:w="2088"/>
            <w:shd w:fill="0B2748"/>
            <w:tcMar>
              <w:top w:w="70" w:type="dxa"/>
              <w:start w:w="55" w:type="dxa"/>
              <w:bottom w:w="70" w:type="dxa"/>
              <w:end w:w="55" w:type="dxa"/>
            </w:tcMar>
            <w:vAlign w:val="center"/>
          </w:tcPr>
          <w:p>
            <w:pPr>
              <w:spacing w:after="0"/>
              <w:jc w:val="center"/>
            </w:pPr>
            <w:r>
              <w:rPr>
                <w:rFonts w:ascii="Aptos" w:hAnsi="Aptos"/>
                <w:b/>
                <w:color w:val="FFFFFF"/>
                <w:sz w:val="13"/>
              </w:rPr>
              <w:t>Start With</w:t>
            </w:r>
          </w:p>
        </w:tc>
        <w:tc>
          <w:tcPr>
            <w:tcW w:type="dxa" w:w="3542"/>
            <w:shd w:fill="0B2748"/>
            <w:tcMar>
              <w:top w:w="70" w:type="dxa"/>
              <w:start w:w="55" w:type="dxa"/>
              <w:bottom w:w="70" w:type="dxa"/>
              <w:end w:w="55" w:type="dxa"/>
            </w:tcMar>
            <w:vAlign w:val="center"/>
          </w:tcPr>
          <w:p>
            <w:pPr>
              <w:spacing w:after="0"/>
              <w:jc w:val="center"/>
            </w:pPr>
            <w:r>
              <w:rPr>
                <w:rFonts w:ascii="Aptos" w:hAnsi="Aptos"/>
                <w:b/>
                <w:color w:val="FFFFFF"/>
                <w:sz w:val="13"/>
              </w:rPr>
              <w:t>Read With</w:t>
            </w:r>
          </w:p>
        </w:tc>
        <w:tc>
          <w:tcPr>
            <w:tcW w:type="dxa" w:w="1051"/>
            <w:shd w:fill="0B2748"/>
            <w:tcMar>
              <w:top w:w="70" w:type="dxa"/>
              <w:start w:w="55" w:type="dxa"/>
              <w:bottom w:w="70" w:type="dxa"/>
              <w:end w:w="55" w:type="dxa"/>
            </w:tcMar>
            <w:vAlign w:val="center"/>
          </w:tcPr>
          <w:p>
            <w:pPr>
              <w:spacing w:after="0"/>
              <w:jc w:val="center"/>
            </w:pPr>
            <w:r>
              <w:rPr>
                <w:rFonts w:ascii="Aptos" w:hAnsi="Aptos"/>
                <w:b/>
                <w:color w:val="FFFFFF"/>
                <w:sz w:val="13"/>
              </w:rPr>
              <w:t>Authority Matrix</w:t>
            </w:r>
          </w:p>
        </w:tc>
      </w:tr>
      <w:tr>
        <w:trPr/>
        <w:tc>
          <w:tcPr>
            <w:tcW w:type="dxa" w:w="864"/>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XREF-085</w:t>
            </w:r>
          </w:p>
        </w:tc>
        <w:tc>
          <w:tcPr>
            <w:tcW w:type="dxa" w:w="2534"/>
            <w:tcMar>
              <w:top w:w="45" w:type="dxa"/>
              <w:start w:w="45" w:type="dxa"/>
              <w:bottom w:w="45" w:type="dxa"/>
              <w:end w:w="45" w:type="dxa"/>
            </w:tcMar>
            <w:vAlign w:val="top"/>
            <w:shd w:fill="FFFFFF"/>
          </w:tcPr>
          <w:p>
            <w:pPr>
              <w:spacing w:after="0" w:line="228" w:lineRule="auto"/>
            </w:pPr>
            <w:r>
              <w:rPr>
                <w:rFonts w:ascii="Aptos" w:hAnsi="Aptos"/>
                <w:b w:val="0"/>
                <w:color w:val="3C4650"/>
                <w:sz w:val="12"/>
              </w:rPr>
              <w:t>Financial truth, financial responsibility, and program separation</w:t>
            </w:r>
          </w:p>
        </w:tc>
        <w:tc>
          <w:tcPr>
            <w:tcW w:type="dxa" w:w="2088"/>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Financial Truth and Responsibility Model</w:t>
            </w:r>
          </w:p>
        </w:tc>
        <w:tc>
          <w:tcPr>
            <w:tcW w:type="dxa" w:w="3542"/>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Relationship Model; Master Agreement, Consent, and Authorization Model; Master Record Stewardship and Retention Model; Master Audit Event and Evidence Model; Master Privacy and Data Protection Model</w:t>
            </w:r>
          </w:p>
        </w:tc>
        <w:tc>
          <w:tcPr>
            <w:tcW w:type="dxa" w:w="1051"/>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AUTH-085</w:t>
            </w:r>
          </w:p>
        </w:tc>
      </w:tr>
      <w:tr>
        <w:trPr/>
        <w:tc>
          <w:tcPr>
            <w:tcW w:type="dxa" w:w="864"/>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XREF-086</w:t>
            </w:r>
          </w:p>
        </w:tc>
        <w:tc>
          <w:tcPr>
            <w:tcW w:type="dxa" w:w="2534"/>
            <w:tcMar>
              <w:top w:w="45" w:type="dxa"/>
              <w:start w:w="45" w:type="dxa"/>
              <w:bottom w:w="45" w:type="dxa"/>
              <w:end w:w="45" w:type="dxa"/>
            </w:tcMar>
            <w:vAlign w:val="top"/>
            <w:shd w:fill="EEF4F8"/>
          </w:tcPr>
          <w:p>
            <w:pPr>
              <w:spacing w:after="0" w:line="228" w:lineRule="auto"/>
            </w:pPr>
            <w:r>
              <w:rPr>
                <w:rFonts w:ascii="Aptos" w:hAnsi="Aptos"/>
                <w:b w:val="0"/>
                <w:color w:val="3C4650"/>
                <w:sz w:val="12"/>
              </w:rPr>
              <w:t>Invoices, charges, obligations, statements, responsible parties, and payers</w:t>
            </w:r>
          </w:p>
        </w:tc>
        <w:tc>
          <w:tcPr>
            <w:tcW w:type="dxa" w:w="2088"/>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Financial Truth and Responsibility Model</w:t>
            </w:r>
          </w:p>
        </w:tc>
        <w:tc>
          <w:tcPr>
            <w:tcW w:type="dxa" w:w="3542"/>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Agreement, Consent, and Authorization Model; Master Relationship Model; Master Audit Event and Evidence Model; Master Communication, Notification, and Notice Model</w:t>
            </w:r>
          </w:p>
        </w:tc>
        <w:tc>
          <w:tcPr>
            <w:tcW w:type="dxa" w:w="1051"/>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AUTH-086</w:t>
            </w:r>
          </w:p>
        </w:tc>
      </w:tr>
      <w:tr>
        <w:trPr/>
        <w:tc>
          <w:tcPr>
            <w:tcW w:type="dxa" w:w="864"/>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XREF-087</w:t>
            </w:r>
          </w:p>
        </w:tc>
        <w:tc>
          <w:tcPr>
            <w:tcW w:type="dxa" w:w="2534"/>
            <w:tcMar>
              <w:top w:w="45" w:type="dxa"/>
              <w:start w:w="45" w:type="dxa"/>
              <w:bottom w:w="45" w:type="dxa"/>
              <w:end w:w="45" w:type="dxa"/>
            </w:tcMar>
            <w:vAlign w:val="top"/>
            <w:shd w:fill="FFFFFF"/>
          </w:tcPr>
          <w:p>
            <w:pPr>
              <w:spacing w:after="0" w:line="228" w:lineRule="auto"/>
            </w:pPr>
            <w:r>
              <w:rPr>
                <w:rFonts w:ascii="Aptos" w:hAnsi="Aptos"/>
                <w:b w:val="0"/>
                <w:color w:val="3C4650"/>
                <w:sz w:val="12"/>
              </w:rPr>
              <w:t>Payment attempts, authorization, capture, settlement, refunds, and reversals</w:t>
            </w:r>
          </w:p>
        </w:tc>
        <w:tc>
          <w:tcPr>
            <w:tcW w:type="dxa" w:w="2088"/>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Financial Truth and Responsibility Model</w:t>
            </w:r>
          </w:p>
        </w:tc>
        <w:tc>
          <w:tcPr>
            <w:tcW w:type="dxa" w:w="3542"/>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External Architecture and Adapter Model; payment-rail RF; Master Audit Event and Evidence Model; Master Vendor Security and Supply Chain Model</w:t>
            </w:r>
          </w:p>
        </w:tc>
        <w:tc>
          <w:tcPr>
            <w:tcW w:type="dxa" w:w="1051"/>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AUTH-087</w:t>
            </w:r>
          </w:p>
        </w:tc>
      </w:tr>
      <w:tr>
        <w:trPr/>
        <w:tc>
          <w:tcPr>
            <w:tcW w:type="dxa" w:w="864"/>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XREF-088</w:t>
            </w:r>
          </w:p>
        </w:tc>
        <w:tc>
          <w:tcPr>
            <w:tcW w:type="dxa" w:w="2534"/>
            <w:tcMar>
              <w:top w:w="45" w:type="dxa"/>
              <w:start w:w="45" w:type="dxa"/>
              <w:bottom w:w="45" w:type="dxa"/>
              <w:end w:w="45" w:type="dxa"/>
            </w:tcMar>
            <w:vAlign w:val="top"/>
            <w:shd w:fill="EEF4F8"/>
          </w:tcPr>
          <w:p>
            <w:pPr>
              <w:spacing w:after="0" w:line="228" w:lineRule="auto"/>
            </w:pPr>
            <w:r>
              <w:rPr>
                <w:rFonts w:ascii="Aptos" w:hAnsi="Aptos"/>
                <w:b w:val="0"/>
                <w:color w:val="3C4650"/>
                <w:sz w:val="12"/>
              </w:rPr>
              <w:t>Connected accounts, payouts, marketplace funds, and merchant identity</w:t>
            </w:r>
          </w:p>
        </w:tc>
        <w:tc>
          <w:tcPr>
            <w:tcW w:type="dxa" w:w="2088"/>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Financial Truth and Responsibility Model</w:t>
            </w:r>
          </w:p>
        </w:tc>
        <w:tc>
          <w:tcPr>
            <w:tcW w:type="dxa" w:w="3542"/>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External Architecture and Adapter Model; Master Vendor Security and Supply Chain Model; marketplace canon; rail-specific RF</w:t>
            </w:r>
          </w:p>
        </w:tc>
        <w:tc>
          <w:tcPr>
            <w:tcW w:type="dxa" w:w="1051"/>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AUTH-088</w:t>
            </w:r>
          </w:p>
        </w:tc>
      </w:tr>
      <w:tr>
        <w:trPr/>
        <w:tc>
          <w:tcPr>
            <w:tcW w:type="dxa" w:w="864"/>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XREF-089</w:t>
            </w:r>
          </w:p>
        </w:tc>
        <w:tc>
          <w:tcPr>
            <w:tcW w:type="dxa" w:w="2534"/>
            <w:tcMar>
              <w:top w:w="45" w:type="dxa"/>
              <w:start w:w="45" w:type="dxa"/>
              <w:bottom w:w="45" w:type="dxa"/>
              <w:end w:w="45" w:type="dxa"/>
            </w:tcMar>
            <w:vAlign w:val="top"/>
            <w:shd w:fill="FFFFFF"/>
          </w:tcPr>
          <w:p>
            <w:pPr>
              <w:spacing w:after="0" w:line="228" w:lineRule="auto"/>
            </w:pPr>
            <w:r>
              <w:rPr>
                <w:rFonts w:ascii="Aptos" w:hAnsi="Aptos"/>
                <w:b w:val="0"/>
                <w:color w:val="3C4650"/>
                <w:sz w:val="12"/>
              </w:rPr>
              <w:t>Revenue recognition, accounting projections, close, and ledger interfaces</w:t>
            </w:r>
          </w:p>
        </w:tc>
        <w:tc>
          <w:tcPr>
            <w:tcW w:type="dxa" w:w="2088"/>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Financial Truth and Responsibility Model</w:t>
            </w:r>
          </w:p>
        </w:tc>
        <w:tc>
          <w:tcPr>
            <w:tcW w:type="dxa" w:w="3542"/>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Reporting, Analytics, and Business Intelligence Model; Master External Architecture and Adapter Model; accounting integration authority</w:t>
            </w:r>
          </w:p>
        </w:tc>
        <w:tc>
          <w:tcPr>
            <w:tcW w:type="dxa" w:w="1051"/>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AUTH-089</w:t>
            </w:r>
          </w:p>
        </w:tc>
      </w:tr>
      <w:tr>
        <w:trPr/>
        <w:tc>
          <w:tcPr>
            <w:tcW w:type="dxa" w:w="864"/>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XREF-090</w:t>
            </w:r>
          </w:p>
        </w:tc>
        <w:tc>
          <w:tcPr>
            <w:tcW w:type="dxa" w:w="2534"/>
            <w:tcMar>
              <w:top w:w="45" w:type="dxa"/>
              <w:start w:w="45" w:type="dxa"/>
              <w:bottom w:w="45" w:type="dxa"/>
              <w:end w:w="45" w:type="dxa"/>
            </w:tcMar>
            <w:vAlign w:val="top"/>
            <w:shd w:fill="EEF4F8"/>
          </w:tcPr>
          <w:p>
            <w:pPr>
              <w:spacing w:after="0" w:line="228" w:lineRule="auto"/>
            </w:pPr>
            <w:r>
              <w:rPr>
                <w:rFonts w:ascii="Aptos" w:hAnsi="Aptos"/>
                <w:b w:val="0"/>
                <w:color w:val="3C4650"/>
                <w:sz w:val="12"/>
              </w:rPr>
              <w:t>Financial disputes, unpaid balances, liens, service restrictions, and welfare continuity</w:t>
            </w:r>
          </w:p>
        </w:tc>
        <w:tc>
          <w:tcPr>
            <w:tcW w:type="dxa" w:w="2088"/>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Financial Truth and Responsibility Model</w:t>
            </w:r>
          </w:p>
        </w:tc>
        <w:tc>
          <w:tcPr>
            <w:tcW w:type="dxa" w:w="3542"/>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Claims, Disputes, and Authority Model; Master Horse Transfer and Continuity Policy; Master Relationship Model; Master Communication, Notification, and Notice Model; applicable law</w:t>
            </w:r>
          </w:p>
        </w:tc>
        <w:tc>
          <w:tcPr>
            <w:tcW w:type="dxa" w:w="1051"/>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AUTH-090</w:t>
            </w:r>
          </w:p>
        </w:tc>
      </w:tr>
      <w:tr>
        <w:trPr/>
        <w:tc>
          <w:tcPr>
            <w:tcW w:type="dxa" w:w="864"/>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XREF-091</w:t>
            </w:r>
          </w:p>
        </w:tc>
        <w:tc>
          <w:tcPr>
            <w:tcW w:type="dxa" w:w="2534"/>
            <w:tcMar>
              <w:top w:w="45" w:type="dxa"/>
              <w:start w:w="45" w:type="dxa"/>
              <w:bottom w:w="45" w:type="dxa"/>
              <w:end w:w="45" w:type="dxa"/>
            </w:tcMar>
            <w:vAlign w:val="top"/>
            <w:shd w:fill="FFFFFF"/>
          </w:tcPr>
          <w:p>
            <w:pPr>
              <w:spacing w:after="0" w:line="228" w:lineRule="auto"/>
            </w:pPr>
            <w:r>
              <w:rPr>
                <w:rFonts w:ascii="Aptos" w:hAnsi="Aptos"/>
                <w:b w:val="0"/>
                <w:color w:val="3C4650"/>
                <w:sz w:val="12"/>
              </w:rPr>
              <w:t>External architecture, provider neutrality, adapters, and constitutional service boundaries</w:t>
            </w:r>
          </w:p>
        </w:tc>
        <w:tc>
          <w:tcPr>
            <w:tcW w:type="dxa" w:w="2088"/>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External Architecture and Adapter Model</w:t>
            </w:r>
          </w:p>
        </w:tc>
        <w:tc>
          <w:tcPr>
            <w:tcW w:type="dxa" w:w="3542"/>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Vendor Security and Supply Chain Model; Master Developer, Platform, and Integration Governance Model; Master Platform Extensibility and Plugin Governance Model; Master Security and Trust Model; Master Platform Resilience, Backup, and Recovery Model</w:t>
            </w:r>
          </w:p>
        </w:tc>
        <w:tc>
          <w:tcPr>
            <w:tcW w:type="dxa" w:w="1051"/>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AUTH-091</w:t>
            </w:r>
          </w:p>
        </w:tc>
      </w:tr>
      <w:tr>
        <w:trPr/>
        <w:tc>
          <w:tcPr>
            <w:tcW w:type="dxa" w:w="864"/>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XREF-092</w:t>
            </w:r>
          </w:p>
        </w:tc>
        <w:tc>
          <w:tcPr>
            <w:tcW w:type="dxa" w:w="2534"/>
            <w:tcMar>
              <w:top w:w="45" w:type="dxa"/>
              <w:start w:w="45" w:type="dxa"/>
              <w:bottom w:w="45" w:type="dxa"/>
              <w:end w:w="45" w:type="dxa"/>
            </w:tcMar>
            <w:vAlign w:val="top"/>
            <w:shd w:fill="EEF4F8"/>
          </w:tcPr>
          <w:p>
            <w:pPr>
              <w:spacing w:after="0" w:line="228" w:lineRule="auto"/>
            </w:pPr>
            <w:r>
              <w:rPr>
                <w:rFonts w:ascii="Aptos" w:hAnsi="Aptos"/>
                <w:b w:val="0"/>
                <w:color w:val="3C4650"/>
                <w:sz w:val="12"/>
              </w:rPr>
              <w:t>Integrations, APIs, webhooks, data exchange, and integration lifecycle</w:t>
            </w:r>
          </w:p>
        </w:tc>
        <w:tc>
          <w:tcPr>
            <w:tcW w:type="dxa" w:w="2088"/>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Developer, Platform, and Integration Governance Model</w:t>
            </w:r>
          </w:p>
        </w:tc>
        <w:tc>
          <w:tcPr>
            <w:tcW w:type="dxa" w:w="3542"/>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External Architecture and Adapter Model; Master Platform Extensibility and Plugin Governance Model; Master Permission and Access-Control Model; Master Audit Event and Evidence Model; Master Vendor Security and Supply Chain Model</w:t>
            </w:r>
          </w:p>
        </w:tc>
        <w:tc>
          <w:tcPr>
            <w:tcW w:type="dxa" w:w="1051"/>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AUTH-092</w:t>
            </w:r>
          </w:p>
        </w:tc>
      </w:tr>
      <w:tr>
        <w:trPr/>
        <w:tc>
          <w:tcPr>
            <w:tcW w:type="dxa" w:w="864"/>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XREF-093</w:t>
            </w:r>
          </w:p>
        </w:tc>
        <w:tc>
          <w:tcPr>
            <w:tcW w:type="dxa" w:w="2534"/>
            <w:tcMar>
              <w:top w:w="45" w:type="dxa"/>
              <w:start w:w="45" w:type="dxa"/>
              <w:bottom w:w="45" w:type="dxa"/>
              <w:end w:w="45" w:type="dxa"/>
            </w:tcMar>
            <w:vAlign w:val="top"/>
            <w:shd w:fill="FFFFFF"/>
          </w:tcPr>
          <w:p>
            <w:pPr>
              <w:spacing w:after="0" w:line="228" w:lineRule="auto"/>
            </w:pPr>
            <w:r>
              <w:rPr>
                <w:rFonts w:ascii="Aptos" w:hAnsi="Aptos"/>
                <w:b w:val="0"/>
                <w:color w:val="3C4650"/>
                <w:sz w:val="12"/>
              </w:rPr>
              <w:t>Developer eligibility, developer access, sandboxes, credentials, and testing</w:t>
            </w:r>
          </w:p>
        </w:tc>
        <w:tc>
          <w:tcPr>
            <w:tcW w:type="dxa" w:w="2088"/>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Developer, Platform, and Integration Governance Model</w:t>
            </w:r>
          </w:p>
        </w:tc>
        <w:tc>
          <w:tcPr>
            <w:tcW w:type="dxa" w:w="3542"/>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Security and Trust Model; Master Identity, Account, and Actor Model; Master Vendor Security and Supply Chain Model; Master Platform Operations, Reliability, and Release Model</w:t>
            </w:r>
          </w:p>
        </w:tc>
        <w:tc>
          <w:tcPr>
            <w:tcW w:type="dxa" w:w="1051"/>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AUTH-093</w:t>
            </w:r>
          </w:p>
        </w:tc>
      </w:tr>
      <w:tr>
        <w:trPr/>
        <w:tc>
          <w:tcPr>
            <w:tcW w:type="dxa" w:w="864"/>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XREF-094</w:t>
            </w:r>
          </w:p>
        </w:tc>
        <w:tc>
          <w:tcPr>
            <w:tcW w:type="dxa" w:w="2534"/>
            <w:tcMar>
              <w:top w:w="45" w:type="dxa"/>
              <w:start w:w="45" w:type="dxa"/>
              <w:bottom w:w="45" w:type="dxa"/>
              <w:end w:w="45" w:type="dxa"/>
            </w:tcMar>
            <w:vAlign w:val="top"/>
            <w:shd w:fill="EEF4F8"/>
          </w:tcPr>
          <w:p>
            <w:pPr>
              <w:spacing w:after="0" w:line="228" w:lineRule="auto"/>
            </w:pPr>
            <w:r>
              <w:rPr>
                <w:rFonts w:ascii="Aptos" w:hAnsi="Aptos"/>
                <w:b w:val="0"/>
                <w:color w:val="3C4650"/>
                <w:sz w:val="12"/>
              </w:rPr>
              <w:t>Plugins, extensions, embedded services, extension points, and marketplace lifecycle</w:t>
            </w:r>
          </w:p>
        </w:tc>
        <w:tc>
          <w:tcPr>
            <w:tcW w:type="dxa" w:w="2088"/>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Platform Extensibility and Plugin Governance Model</w:t>
            </w:r>
          </w:p>
        </w:tc>
        <w:tc>
          <w:tcPr>
            <w:tcW w:type="dxa" w:w="3542"/>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Developer, Platform, and Integration Governance Model; Master External Architecture and Adapter Model; Master Vendor Security and Supply Chain Model; Master Permission and Access-Control Model; Master Audit Event and Evidence Model</w:t>
            </w:r>
          </w:p>
        </w:tc>
        <w:tc>
          <w:tcPr>
            <w:tcW w:type="dxa" w:w="1051"/>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AUTH-094</w:t>
            </w:r>
          </w:p>
        </w:tc>
      </w:tr>
      <w:tr>
        <w:trPr/>
        <w:tc>
          <w:tcPr>
            <w:tcW w:type="dxa" w:w="864"/>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XREF-095</w:t>
            </w:r>
          </w:p>
        </w:tc>
        <w:tc>
          <w:tcPr>
            <w:tcW w:type="dxa" w:w="2534"/>
            <w:tcMar>
              <w:top w:w="45" w:type="dxa"/>
              <w:start w:w="45" w:type="dxa"/>
              <w:bottom w:w="45" w:type="dxa"/>
              <w:end w:w="45" w:type="dxa"/>
            </w:tcMar>
            <w:vAlign w:val="top"/>
            <w:shd w:fill="FFFFFF"/>
          </w:tcPr>
          <w:p>
            <w:pPr>
              <w:spacing w:after="0" w:line="228" w:lineRule="auto"/>
            </w:pPr>
            <w:r>
              <w:rPr>
                <w:rFonts w:ascii="Aptos" w:hAnsi="Aptos"/>
                <w:b w:val="0"/>
                <w:color w:val="3C4650"/>
                <w:sz w:val="12"/>
              </w:rPr>
              <w:t>Integration and plugin risk classification</w:t>
            </w:r>
          </w:p>
        </w:tc>
        <w:tc>
          <w:tcPr>
            <w:tcW w:type="dxa" w:w="2088"/>
            <w:tcMar>
              <w:top w:w="45" w:type="dxa"/>
              <w:start w:w="45" w:type="dxa"/>
              <w:bottom w:w="45" w:type="dxa"/>
              <w:end w:w="45" w:type="dxa"/>
            </w:tcMar>
            <w:vAlign w:val="top"/>
            <w:shd w:fill="FFFFFF"/>
          </w:tcPr>
          <w:p>
            <w:pPr>
              <w:spacing w:after="0" w:line="228" w:lineRule="auto"/>
            </w:pPr>
            <w:r>
              <w:rPr>
                <w:rFonts w:ascii="Aptos" w:hAnsi="Aptos"/>
                <w:b w:val="0"/>
                <w:color w:val="3C4650"/>
                <w:sz w:val="12"/>
              </w:rPr>
              <w:t>Constitutional Domain Ownership and Boundary Register</w:t>
            </w:r>
          </w:p>
        </w:tc>
        <w:tc>
          <w:tcPr>
            <w:tcW w:type="dxa" w:w="3542"/>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Developer, Platform, and Integration Governance Model; Master Platform Extensibility and Plugin Governance Model; Master Vendor Security and Supply Chain Model; Master Security and Trust Model</w:t>
            </w:r>
          </w:p>
        </w:tc>
        <w:tc>
          <w:tcPr>
            <w:tcW w:type="dxa" w:w="1051"/>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AUTH-095</w:t>
            </w:r>
          </w:p>
        </w:tc>
      </w:tr>
      <w:tr>
        <w:trPr/>
        <w:tc>
          <w:tcPr>
            <w:tcW w:type="dxa" w:w="864"/>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XREF-096</w:t>
            </w:r>
          </w:p>
        </w:tc>
        <w:tc>
          <w:tcPr>
            <w:tcW w:type="dxa" w:w="2534"/>
            <w:tcMar>
              <w:top w:w="45" w:type="dxa"/>
              <w:start w:w="45" w:type="dxa"/>
              <w:bottom w:w="45" w:type="dxa"/>
              <w:end w:w="45" w:type="dxa"/>
            </w:tcMar>
            <w:vAlign w:val="top"/>
            <w:shd w:fill="EEF4F8"/>
          </w:tcPr>
          <w:p>
            <w:pPr>
              <w:spacing w:after="0" w:line="228" w:lineRule="auto"/>
            </w:pPr>
            <w:r>
              <w:rPr>
                <w:rFonts w:ascii="Aptos" w:hAnsi="Aptos"/>
                <w:b w:val="0"/>
                <w:color w:val="3C4650"/>
                <w:sz w:val="12"/>
              </w:rPr>
              <w:t>Vendor selection, due diligence, contracting, monitoring, and exit</w:t>
            </w:r>
          </w:p>
        </w:tc>
        <w:tc>
          <w:tcPr>
            <w:tcW w:type="dxa" w:w="2088"/>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Vendor Security and Supply Chain Model</w:t>
            </w:r>
          </w:p>
        </w:tc>
        <w:tc>
          <w:tcPr>
            <w:tcW w:type="dxa" w:w="3542"/>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External Architecture and Adapter Model; Master Privacy and Data Protection Model; Master Security and Trust Model; Master Platform Resilience, Backup, and Recovery Model; Master Record Stewardship and Retention Model</w:t>
            </w:r>
          </w:p>
        </w:tc>
        <w:tc>
          <w:tcPr>
            <w:tcW w:type="dxa" w:w="1051"/>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AUTH-096</w:t>
            </w:r>
          </w:p>
        </w:tc>
      </w:tr>
      <w:tr>
        <w:trPr/>
        <w:tc>
          <w:tcPr>
            <w:tcW w:type="dxa" w:w="864"/>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XREF-097</w:t>
            </w:r>
          </w:p>
        </w:tc>
        <w:tc>
          <w:tcPr>
            <w:tcW w:type="dxa" w:w="2534"/>
            <w:tcMar>
              <w:top w:w="45" w:type="dxa"/>
              <w:start w:w="45" w:type="dxa"/>
              <w:bottom w:w="45" w:type="dxa"/>
              <w:end w:w="45" w:type="dxa"/>
            </w:tcMar>
            <w:vAlign w:val="top"/>
            <w:shd w:fill="FFFFFF"/>
          </w:tcPr>
          <w:p>
            <w:pPr>
              <w:spacing w:after="0" w:line="228" w:lineRule="auto"/>
            </w:pPr>
            <w:r>
              <w:rPr>
                <w:rFonts w:ascii="Aptos" w:hAnsi="Aptos"/>
                <w:b w:val="0"/>
                <w:color w:val="3C4650"/>
                <w:sz w:val="12"/>
              </w:rPr>
              <w:t>External processing, geographic location, data residency, and cross-border transfer</w:t>
            </w:r>
          </w:p>
        </w:tc>
        <w:tc>
          <w:tcPr>
            <w:tcW w:type="dxa" w:w="2088"/>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Privacy and Data Protection Model</w:t>
            </w:r>
          </w:p>
        </w:tc>
        <w:tc>
          <w:tcPr>
            <w:tcW w:type="dxa" w:w="3542"/>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External Architecture and Adapter Model; Master Vendor Security and Supply Chain Model; Master Data Protection, Encryption, and Key Management Model; Master Record Stewardship and Retention Model</w:t>
            </w:r>
          </w:p>
        </w:tc>
        <w:tc>
          <w:tcPr>
            <w:tcW w:type="dxa" w:w="1051"/>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AUTH-097</w:t>
            </w:r>
          </w:p>
        </w:tc>
      </w:tr>
      <w:tr>
        <w:trPr/>
        <w:tc>
          <w:tcPr>
            <w:tcW w:type="dxa" w:w="864"/>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XREF-098</w:t>
            </w:r>
          </w:p>
        </w:tc>
        <w:tc>
          <w:tcPr>
            <w:tcW w:type="dxa" w:w="2534"/>
            <w:tcMar>
              <w:top w:w="45" w:type="dxa"/>
              <w:start w:w="45" w:type="dxa"/>
              <w:bottom w:w="45" w:type="dxa"/>
              <w:end w:w="45" w:type="dxa"/>
            </w:tcMar>
            <w:vAlign w:val="top"/>
            <w:shd w:fill="EEF4F8"/>
          </w:tcPr>
          <w:p>
            <w:pPr>
              <w:spacing w:after="0" w:line="228" w:lineRule="auto"/>
            </w:pPr>
            <w:r>
              <w:rPr>
                <w:rFonts w:ascii="Aptos" w:hAnsi="Aptos"/>
                <w:b w:val="0"/>
                <w:color w:val="3C4650"/>
                <w:sz w:val="12"/>
              </w:rPr>
              <w:t>Provider exit, data return, deletion verification, continuity, and substitution</w:t>
            </w:r>
          </w:p>
        </w:tc>
        <w:tc>
          <w:tcPr>
            <w:tcW w:type="dxa" w:w="2088"/>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External Architecture and Adapter Model</w:t>
            </w:r>
          </w:p>
        </w:tc>
        <w:tc>
          <w:tcPr>
            <w:tcW w:type="dxa" w:w="3542"/>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Vendor Security and Supply Chain Model; Master Record Stewardship and Retention Model; Master Platform Resilience, Backup, and Recovery Model; Master Data Protection, Encryption, and Key Management Model; Master AI Governance and Decision Boundary Model</w:t>
            </w:r>
          </w:p>
        </w:tc>
        <w:tc>
          <w:tcPr>
            <w:tcW w:type="dxa" w:w="1051"/>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AUTH-098</w:t>
            </w:r>
          </w:p>
        </w:tc>
      </w:tr>
      <w:tr>
        <w:trPr/>
        <w:tc>
          <w:tcPr>
            <w:tcW w:type="dxa" w:w="864"/>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XREF-099</w:t>
            </w:r>
          </w:p>
        </w:tc>
        <w:tc>
          <w:tcPr>
            <w:tcW w:type="dxa" w:w="2534"/>
            <w:tcMar>
              <w:top w:w="45" w:type="dxa"/>
              <w:start w:w="45" w:type="dxa"/>
              <w:bottom w:w="45" w:type="dxa"/>
              <w:end w:w="45" w:type="dxa"/>
            </w:tcMar>
            <w:vAlign w:val="top"/>
            <w:shd w:fill="FFFFFF"/>
          </w:tcPr>
          <w:p>
            <w:pPr>
              <w:spacing w:after="0" w:line="228" w:lineRule="auto"/>
            </w:pPr>
            <w:r>
              <w:rPr>
                <w:rFonts w:ascii="Aptos" w:hAnsi="Aptos"/>
                <w:b w:val="0"/>
                <w:color w:val="3C4650"/>
                <w:sz w:val="12"/>
              </w:rPr>
              <w:t>Public APIs, developer marketplace, publisher listings, and external developer claims</w:t>
            </w:r>
          </w:p>
        </w:tc>
        <w:tc>
          <w:tcPr>
            <w:tcW w:type="dxa" w:w="2088"/>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Platform Extensibility and Plugin Governance Model</w:t>
            </w:r>
          </w:p>
        </w:tc>
        <w:tc>
          <w:tcPr>
            <w:tcW w:type="dxa" w:w="3542"/>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Developer, Platform, and Integration Governance Model; Master External Architecture and Adapter Model; Master Communication, Notification, and Notice Model; Master Product Vision</w:t>
            </w:r>
          </w:p>
        </w:tc>
        <w:tc>
          <w:tcPr>
            <w:tcW w:type="dxa" w:w="1051"/>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AUTH-099</w:t>
            </w:r>
          </w:p>
        </w:tc>
      </w:tr>
      <w:tr>
        <w:trPr/>
        <w:tc>
          <w:tcPr>
            <w:tcW w:type="dxa" w:w="864"/>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XREF-100</w:t>
            </w:r>
          </w:p>
        </w:tc>
        <w:tc>
          <w:tcPr>
            <w:tcW w:type="dxa" w:w="2534"/>
            <w:tcMar>
              <w:top w:w="45" w:type="dxa"/>
              <w:start w:w="45" w:type="dxa"/>
              <w:bottom w:w="45" w:type="dxa"/>
              <w:end w:w="45" w:type="dxa"/>
            </w:tcMar>
            <w:vAlign w:val="top"/>
            <w:shd w:fill="EEF4F8"/>
          </w:tcPr>
          <w:p>
            <w:pPr>
              <w:spacing w:after="0" w:line="228" w:lineRule="auto"/>
            </w:pPr>
            <w:r>
              <w:rPr>
                <w:rFonts w:ascii="Aptos" w:hAnsi="Aptos"/>
                <w:b w:val="0"/>
                <w:color w:val="3C4650"/>
                <w:sz w:val="12"/>
              </w:rPr>
              <w:t>Connected devices, sensors, IoT, and device-generated operational data</w:t>
            </w:r>
          </w:p>
        </w:tc>
        <w:tc>
          <w:tcPr>
            <w:tcW w:type="dxa" w:w="2088"/>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Developer, Platform, and Integration Governance Model</w:t>
            </w:r>
          </w:p>
        </w:tc>
        <w:tc>
          <w:tcPr>
            <w:tcW w:type="dxa" w:w="3542"/>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Identity, Account, and Actor Model; Master Security and Trust Model; Master Privacy and Data Protection Model; Master Record Stewardship and Retention Model; Master Horse Lifecycle and Passport Model; Master Barn Lifecycle and Operations Canon</w:t>
            </w:r>
          </w:p>
        </w:tc>
        <w:tc>
          <w:tcPr>
            <w:tcW w:type="dxa" w:w="1051"/>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AUTH-100</w:t>
            </w:r>
          </w:p>
        </w:tc>
      </w:tr>
      <w:tr>
        <w:trPr/>
        <w:tc>
          <w:tcPr>
            <w:tcW w:type="dxa" w:w="864"/>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XREF-101</w:t>
            </w:r>
          </w:p>
        </w:tc>
        <w:tc>
          <w:tcPr>
            <w:tcW w:type="dxa" w:w="2534"/>
            <w:tcMar>
              <w:top w:w="45" w:type="dxa"/>
              <w:start w:w="45" w:type="dxa"/>
              <w:bottom w:w="45" w:type="dxa"/>
              <w:end w:w="45" w:type="dxa"/>
            </w:tcMar>
            <w:vAlign w:val="top"/>
            <w:shd w:fill="FFFFFF"/>
          </w:tcPr>
          <w:p>
            <w:pPr>
              <w:spacing w:after="0" w:line="228" w:lineRule="auto"/>
            </w:pPr>
            <w:r>
              <w:rPr>
                <w:rFonts w:ascii="Aptos" w:hAnsi="Aptos"/>
                <w:b w:val="0"/>
                <w:color w:val="3C4650"/>
                <w:sz w:val="12"/>
              </w:rPr>
              <w:t>External communications, signature, storage, analytics, and AI providers</w:t>
            </w:r>
          </w:p>
        </w:tc>
        <w:tc>
          <w:tcPr>
            <w:tcW w:type="dxa" w:w="2088"/>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External Architecture and Adapter Model</w:t>
            </w:r>
          </w:p>
        </w:tc>
        <w:tc>
          <w:tcPr>
            <w:tcW w:type="dxa" w:w="3542"/>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Communication, Notification, and Notice Model; Master Agreement, Consent, and Authorization Model; Master Media, Files, and Digital Asset Governance Model; Master Reporting, Analytics, and Business Intelligence Model; Master AI Governance and Decision Boundary Model; Master Vendor Security and Supply Chain Model</w:t>
            </w:r>
          </w:p>
        </w:tc>
        <w:tc>
          <w:tcPr>
            <w:tcW w:type="dxa" w:w="1051"/>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AUTH-101</w:t>
            </w:r>
          </w:p>
        </w:tc>
      </w:tr>
      <w:tr>
        <w:trPr/>
        <w:tc>
          <w:tcPr>
            <w:tcW w:type="dxa" w:w="864"/>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XREF-102</w:t>
            </w:r>
          </w:p>
        </w:tc>
        <w:tc>
          <w:tcPr>
            <w:tcW w:type="dxa" w:w="2534"/>
            <w:tcMar>
              <w:top w:w="45" w:type="dxa"/>
              <w:start w:w="45" w:type="dxa"/>
              <w:bottom w:w="45" w:type="dxa"/>
              <w:end w:w="45" w:type="dxa"/>
            </w:tcMar>
            <w:vAlign w:val="top"/>
            <w:shd w:fill="EEF4F8"/>
          </w:tcPr>
          <w:p>
            <w:pPr>
              <w:spacing w:after="0" w:line="228" w:lineRule="auto"/>
            </w:pPr>
            <w:r>
              <w:rPr>
                <w:rFonts w:ascii="Aptos" w:hAnsi="Aptos"/>
                <w:b w:val="0"/>
                <w:color w:val="3C4650"/>
                <w:sz w:val="12"/>
              </w:rPr>
              <w:t>Payment rails, accounting integrations, and financial service providers</w:t>
            </w:r>
          </w:p>
        </w:tc>
        <w:tc>
          <w:tcPr>
            <w:tcW w:type="dxa" w:w="2088"/>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Financial Truth and Responsibility Model</w:t>
            </w:r>
          </w:p>
        </w:tc>
        <w:tc>
          <w:tcPr>
            <w:tcW w:type="dxa" w:w="3542"/>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External Architecture and Adapter Model; Master Vendor Security and Supply Chain Model; Master Developer, Platform, and Integration Governance Model; rail-specific RF</w:t>
            </w:r>
          </w:p>
        </w:tc>
        <w:tc>
          <w:tcPr>
            <w:tcW w:type="dxa" w:w="1051"/>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AUTH-102</w:t>
            </w:r>
          </w:p>
        </w:tc>
      </w:tr>
    </w:tbl>
    <w:p>
      <w:pPr>
        <w:spacing w:after="0"/>
      </w:pPr>
    </w:p>
    <w:p>
      <w:pPr>
        <w:pStyle w:val="Heading2"/>
      </w:pPr>
      <w:r>
        <w:t>G. Platform Operations, Configuration, Resilience, Offline, and Execution Authority</w:t>
      </w:r>
    </w:p>
    <w:tbl>
      <w:tblPr>
        <w:tblW w:type="auto" w:w="0"/>
        <w:jc w:val="center"/>
        <w:tblLayout w:type="fixed"/>
        <w:tblLook w:firstColumn="1" w:firstRow="1" w:lastColumn="0" w:lastRow="0" w:noHBand="0" w:noVBand="1" w:val="04A0"/>
        <w:tblBorders>
          <w:top w:val="single" w:sz="4" w:space="0" w:color="A7B5C3"/>
          <w:left w:val="single" w:sz="4" w:space="0" w:color="A7B5C3"/>
          <w:bottom w:val="single" w:sz="4" w:space="0" w:color="A7B5C3"/>
          <w:right w:val="single" w:sz="4" w:space="0" w:color="A7B5C3"/>
          <w:insideH w:val="single" w:sz="4" w:space="0" w:color="A7B5C3"/>
          <w:insideV w:val="single" w:sz="4" w:space="0" w:color="A7B5C3"/>
        </w:tblBorders>
      </w:tblPr>
      <w:tblGrid>
        <w:gridCol w:w="2033"/>
        <w:gridCol w:w="2033"/>
        <w:gridCol w:w="2033"/>
        <w:gridCol w:w="2033"/>
        <w:gridCol w:w="2033"/>
      </w:tblGrid>
      <w:tr>
        <w:trPr>
          <w:tblHeader w:val="true"/>
        </w:trPr>
        <w:tc>
          <w:tcPr>
            <w:tcW w:type="dxa" w:w="864"/>
            <w:shd w:fill="0B2748"/>
            <w:tcMar>
              <w:top w:w="70" w:type="dxa"/>
              <w:start w:w="55" w:type="dxa"/>
              <w:bottom w:w="70" w:type="dxa"/>
              <w:end w:w="55" w:type="dxa"/>
            </w:tcMar>
            <w:vAlign w:val="center"/>
          </w:tcPr>
          <w:p>
            <w:pPr>
              <w:spacing w:after="0"/>
              <w:jc w:val="center"/>
            </w:pPr>
            <w:r>
              <w:rPr>
                <w:rFonts w:ascii="Aptos" w:hAnsi="Aptos"/>
                <w:b/>
                <w:color w:val="FFFFFF"/>
                <w:sz w:val="13"/>
              </w:rPr>
              <w:t>XREF ID</w:t>
            </w:r>
          </w:p>
        </w:tc>
        <w:tc>
          <w:tcPr>
            <w:tcW w:type="dxa" w:w="2534"/>
            <w:shd w:fill="0B2748"/>
            <w:tcMar>
              <w:top w:w="70" w:type="dxa"/>
              <w:start w:w="55" w:type="dxa"/>
              <w:bottom w:w="70" w:type="dxa"/>
              <w:end w:w="55" w:type="dxa"/>
            </w:tcMar>
            <w:vAlign w:val="center"/>
          </w:tcPr>
          <w:p>
            <w:pPr>
              <w:spacing w:after="0"/>
              <w:jc w:val="center"/>
            </w:pPr>
            <w:r>
              <w:rPr>
                <w:rFonts w:ascii="Aptos" w:hAnsi="Aptos"/>
                <w:b/>
                <w:color w:val="FFFFFF"/>
                <w:sz w:val="13"/>
              </w:rPr>
              <w:t>Topic / Common Search Terms</w:t>
            </w:r>
          </w:p>
        </w:tc>
        <w:tc>
          <w:tcPr>
            <w:tcW w:type="dxa" w:w="2088"/>
            <w:shd w:fill="0B2748"/>
            <w:tcMar>
              <w:top w:w="70" w:type="dxa"/>
              <w:start w:w="55" w:type="dxa"/>
              <w:bottom w:w="70" w:type="dxa"/>
              <w:end w:w="55" w:type="dxa"/>
            </w:tcMar>
            <w:vAlign w:val="center"/>
          </w:tcPr>
          <w:p>
            <w:pPr>
              <w:spacing w:after="0"/>
              <w:jc w:val="center"/>
            </w:pPr>
            <w:r>
              <w:rPr>
                <w:rFonts w:ascii="Aptos" w:hAnsi="Aptos"/>
                <w:b/>
                <w:color w:val="FFFFFF"/>
                <w:sz w:val="13"/>
              </w:rPr>
              <w:t>Start With</w:t>
            </w:r>
          </w:p>
        </w:tc>
        <w:tc>
          <w:tcPr>
            <w:tcW w:type="dxa" w:w="3542"/>
            <w:shd w:fill="0B2748"/>
            <w:tcMar>
              <w:top w:w="70" w:type="dxa"/>
              <w:start w:w="55" w:type="dxa"/>
              <w:bottom w:w="70" w:type="dxa"/>
              <w:end w:w="55" w:type="dxa"/>
            </w:tcMar>
            <w:vAlign w:val="center"/>
          </w:tcPr>
          <w:p>
            <w:pPr>
              <w:spacing w:after="0"/>
              <w:jc w:val="center"/>
            </w:pPr>
            <w:r>
              <w:rPr>
                <w:rFonts w:ascii="Aptos" w:hAnsi="Aptos"/>
                <w:b/>
                <w:color w:val="FFFFFF"/>
                <w:sz w:val="13"/>
              </w:rPr>
              <w:t>Read With</w:t>
            </w:r>
          </w:p>
        </w:tc>
        <w:tc>
          <w:tcPr>
            <w:tcW w:type="dxa" w:w="1051"/>
            <w:shd w:fill="0B2748"/>
            <w:tcMar>
              <w:top w:w="70" w:type="dxa"/>
              <w:start w:w="55" w:type="dxa"/>
              <w:bottom w:w="70" w:type="dxa"/>
              <w:end w:w="55" w:type="dxa"/>
            </w:tcMar>
            <w:vAlign w:val="center"/>
          </w:tcPr>
          <w:p>
            <w:pPr>
              <w:spacing w:after="0"/>
              <w:jc w:val="center"/>
            </w:pPr>
            <w:r>
              <w:rPr>
                <w:rFonts w:ascii="Aptos" w:hAnsi="Aptos"/>
                <w:b/>
                <w:color w:val="FFFFFF"/>
                <w:sz w:val="13"/>
              </w:rPr>
              <w:t>Authority Matrix</w:t>
            </w:r>
          </w:p>
        </w:tc>
      </w:tr>
      <w:tr>
        <w:trPr/>
        <w:tc>
          <w:tcPr>
            <w:tcW w:type="dxa" w:w="864"/>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XREF-103</w:t>
            </w:r>
          </w:p>
        </w:tc>
        <w:tc>
          <w:tcPr>
            <w:tcW w:type="dxa" w:w="2534"/>
            <w:tcMar>
              <w:top w:w="45" w:type="dxa"/>
              <w:start w:w="45" w:type="dxa"/>
              <w:bottom w:w="45" w:type="dxa"/>
              <w:end w:w="45" w:type="dxa"/>
            </w:tcMar>
            <w:vAlign w:val="top"/>
            <w:shd w:fill="FFFFFF"/>
          </w:tcPr>
          <w:p>
            <w:pPr>
              <w:spacing w:after="0" w:line="228" w:lineRule="auto"/>
            </w:pPr>
            <w:r>
              <w:rPr>
                <w:rFonts w:ascii="Aptos" w:hAnsi="Aptos"/>
                <w:b w:val="0"/>
                <w:color w:val="3C4650"/>
                <w:sz w:val="12"/>
              </w:rPr>
              <w:t>Platform operations, reliability, release management, and operational readiness</w:t>
            </w:r>
          </w:p>
        </w:tc>
        <w:tc>
          <w:tcPr>
            <w:tcW w:type="dxa" w:w="2088"/>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Platform Operations, Reliability, and Release Model</w:t>
            </w:r>
          </w:p>
        </w:tc>
        <w:tc>
          <w:tcPr>
            <w:tcW w:type="dxa" w:w="3542"/>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Security and Trust Model; Master Platform Resilience, Backup, and Recovery Model; Master Configuration and Feature Flag Governance Model; Master Audit Event and Evidence Model; Master EquineSync Implementation Atlas and Authorized RF Packages</w:t>
            </w:r>
          </w:p>
        </w:tc>
        <w:tc>
          <w:tcPr>
            <w:tcW w:type="dxa" w:w="1051"/>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AUTH-103</w:t>
            </w:r>
          </w:p>
        </w:tc>
      </w:tr>
      <w:tr>
        <w:trPr/>
        <w:tc>
          <w:tcPr>
            <w:tcW w:type="dxa" w:w="864"/>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XREF-104</w:t>
            </w:r>
          </w:p>
        </w:tc>
        <w:tc>
          <w:tcPr>
            <w:tcW w:type="dxa" w:w="2534"/>
            <w:tcMar>
              <w:top w:w="45" w:type="dxa"/>
              <w:start w:w="45" w:type="dxa"/>
              <w:bottom w:w="45" w:type="dxa"/>
              <w:end w:w="45" w:type="dxa"/>
            </w:tcMar>
            <w:vAlign w:val="top"/>
            <w:shd w:fill="EEF4F8"/>
          </w:tcPr>
          <w:p>
            <w:pPr>
              <w:spacing w:after="0" w:line="228" w:lineRule="auto"/>
            </w:pPr>
            <w:r>
              <w:rPr>
                <w:rFonts w:ascii="Aptos" w:hAnsi="Aptos"/>
                <w:b w:val="0"/>
                <w:color w:val="3C4650"/>
                <w:sz w:val="12"/>
              </w:rPr>
              <w:t>Configuration, feature flags, thresholds, kill switches, and tenant settings</w:t>
            </w:r>
          </w:p>
        </w:tc>
        <w:tc>
          <w:tcPr>
            <w:tcW w:type="dxa" w:w="2088"/>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Configuration and Feature Flag Governance Model</w:t>
            </w:r>
          </w:p>
        </w:tc>
        <w:tc>
          <w:tcPr>
            <w:tcW w:type="dxa" w:w="3542"/>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Platform Operations, Reliability, and Release Model; Master Permission and Access-Control Model; Master Audit Event and Evidence Model; domain canon</w:t>
            </w:r>
          </w:p>
        </w:tc>
        <w:tc>
          <w:tcPr>
            <w:tcW w:type="dxa" w:w="1051"/>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AUTH-104</w:t>
            </w:r>
          </w:p>
        </w:tc>
      </w:tr>
      <w:tr>
        <w:trPr/>
        <w:tc>
          <w:tcPr>
            <w:tcW w:type="dxa" w:w="864"/>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XREF-105</w:t>
            </w:r>
          </w:p>
        </w:tc>
        <w:tc>
          <w:tcPr>
            <w:tcW w:type="dxa" w:w="2534"/>
            <w:tcMar>
              <w:top w:w="45" w:type="dxa"/>
              <w:start w:w="45" w:type="dxa"/>
              <w:bottom w:w="45" w:type="dxa"/>
              <w:end w:w="45" w:type="dxa"/>
            </w:tcMar>
            <w:vAlign w:val="top"/>
            <w:shd w:fill="FFFFFF"/>
          </w:tcPr>
          <w:p>
            <w:pPr>
              <w:spacing w:after="0" w:line="228" w:lineRule="auto"/>
            </w:pPr>
            <w:r>
              <w:rPr>
                <w:rFonts w:ascii="Aptos" w:hAnsi="Aptos"/>
                <w:b w:val="0"/>
                <w:color w:val="3C4650"/>
                <w:sz w:val="12"/>
              </w:rPr>
              <w:t>Schema changes, migrations, backfills, data transformations, and cutovers</w:t>
            </w:r>
          </w:p>
        </w:tc>
        <w:tc>
          <w:tcPr>
            <w:tcW w:type="dxa" w:w="2088"/>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Platform Operations, Reliability, and Release Model</w:t>
            </w:r>
          </w:p>
        </w:tc>
        <w:tc>
          <w:tcPr>
            <w:tcW w:type="dxa" w:w="3542"/>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Record Stewardship and Retention Model; Master Audit Event and Evidence Model; Master Platform Resilience, Backup, and Recovery Model; Master EquineSync Implementation Atlas and Authorized RF Packages; affected domain canon</w:t>
            </w:r>
          </w:p>
        </w:tc>
        <w:tc>
          <w:tcPr>
            <w:tcW w:type="dxa" w:w="1051"/>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AUTH-105</w:t>
            </w:r>
          </w:p>
        </w:tc>
      </w:tr>
      <w:tr>
        <w:trPr/>
        <w:tc>
          <w:tcPr>
            <w:tcW w:type="dxa" w:w="864"/>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XREF-106</w:t>
            </w:r>
          </w:p>
        </w:tc>
        <w:tc>
          <w:tcPr>
            <w:tcW w:type="dxa" w:w="2534"/>
            <w:tcMar>
              <w:top w:w="45" w:type="dxa"/>
              <w:start w:w="45" w:type="dxa"/>
              <w:bottom w:w="45" w:type="dxa"/>
              <w:end w:w="45" w:type="dxa"/>
            </w:tcMar>
            <w:vAlign w:val="top"/>
            <w:shd w:fill="EEF4F8"/>
          </w:tcPr>
          <w:p>
            <w:pPr>
              <w:spacing w:after="0" w:line="228" w:lineRule="auto"/>
            </w:pPr>
            <w:r>
              <w:rPr>
                <w:rFonts w:ascii="Aptos" w:hAnsi="Aptos"/>
                <w:b w:val="0"/>
                <w:color w:val="3C4650"/>
                <w:sz w:val="12"/>
              </w:rPr>
              <w:t>Environment separation, promotion, deployment, rollback, and release trains</w:t>
            </w:r>
          </w:p>
        </w:tc>
        <w:tc>
          <w:tcPr>
            <w:tcW w:type="dxa" w:w="2088"/>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Platform Operations, Reliability, and Release Model</w:t>
            </w:r>
          </w:p>
        </w:tc>
        <w:tc>
          <w:tcPr>
            <w:tcW w:type="dxa" w:w="3542"/>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Security and Trust Model; Master Configuration and Feature Flag Governance Model; Master EquineSync Implementation Atlas and Authorized RF Packages; Master Audit Event and Evidence Model</w:t>
            </w:r>
          </w:p>
        </w:tc>
        <w:tc>
          <w:tcPr>
            <w:tcW w:type="dxa" w:w="1051"/>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AUTH-106</w:t>
            </w:r>
          </w:p>
        </w:tc>
      </w:tr>
      <w:tr>
        <w:trPr/>
        <w:tc>
          <w:tcPr>
            <w:tcW w:type="dxa" w:w="864"/>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XREF-107</w:t>
            </w:r>
          </w:p>
        </w:tc>
        <w:tc>
          <w:tcPr>
            <w:tcW w:type="dxa" w:w="2534"/>
            <w:tcMar>
              <w:top w:w="45" w:type="dxa"/>
              <w:start w:w="45" w:type="dxa"/>
              <w:bottom w:w="45" w:type="dxa"/>
              <w:end w:w="45" w:type="dxa"/>
            </w:tcMar>
            <w:vAlign w:val="top"/>
            <w:shd w:fill="FFFFFF"/>
          </w:tcPr>
          <w:p>
            <w:pPr>
              <w:spacing w:after="0" w:line="228" w:lineRule="auto"/>
            </w:pPr>
            <w:r>
              <w:rPr>
                <w:rFonts w:ascii="Aptos" w:hAnsi="Aptos"/>
                <w:b w:val="0"/>
                <w:color w:val="3C4650"/>
                <w:sz w:val="12"/>
              </w:rPr>
              <w:t>Observability, runtime logs, telemetry, alerting, and operational diagnostics</w:t>
            </w:r>
          </w:p>
        </w:tc>
        <w:tc>
          <w:tcPr>
            <w:tcW w:type="dxa" w:w="2088"/>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Platform Operations, Reliability, and Release Model</w:t>
            </w:r>
          </w:p>
        </w:tc>
        <w:tc>
          <w:tcPr>
            <w:tcW w:type="dxa" w:w="3542"/>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Audit Event and Evidence Model; Master Privacy and Data Protection Model; Master Security and Trust Model; Master Record Stewardship and Retention Model; Master Reporting, Analytics, and Business Intelligence Model</w:t>
            </w:r>
          </w:p>
        </w:tc>
        <w:tc>
          <w:tcPr>
            <w:tcW w:type="dxa" w:w="1051"/>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AUTH-107</w:t>
            </w:r>
          </w:p>
        </w:tc>
      </w:tr>
      <w:tr>
        <w:trPr/>
        <w:tc>
          <w:tcPr>
            <w:tcW w:type="dxa" w:w="864"/>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XREF-108</w:t>
            </w:r>
          </w:p>
        </w:tc>
        <w:tc>
          <w:tcPr>
            <w:tcW w:type="dxa" w:w="2534"/>
            <w:tcMar>
              <w:top w:w="45" w:type="dxa"/>
              <w:start w:w="45" w:type="dxa"/>
              <w:bottom w:w="45" w:type="dxa"/>
              <w:end w:w="45" w:type="dxa"/>
            </w:tcMar>
            <w:vAlign w:val="top"/>
            <w:shd w:fill="EEF4F8"/>
          </w:tcPr>
          <w:p>
            <w:pPr>
              <w:spacing w:after="0" w:line="228" w:lineRule="auto"/>
            </w:pPr>
            <w:r>
              <w:rPr>
                <w:rFonts w:ascii="Aptos" w:hAnsi="Aptos"/>
                <w:b w:val="0"/>
                <w:color w:val="3C4650"/>
                <w:sz w:val="12"/>
              </w:rPr>
              <w:t>Resilience architecture, backup, restoration, disaster recovery, and safe degradation</w:t>
            </w:r>
          </w:p>
        </w:tc>
        <w:tc>
          <w:tcPr>
            <w:tcW w:type="dxa" w:w="2088"/>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Platform Resilience, Backup, and Recovery Model</w:t>
            </w:r>
          </w:p>
        </w:tc>
        <w:tc>
          <w:tcPr>
            <w:tcW w:type="dxa" w:w="3542"/>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Record Stewardship and Retention Model; Master Data Protection, Encryption, and Key Management Model; Master Security and Trust Model; Master Horse Lifecycle and Passport Model; Master Financial Truth and Responsibility Model; Master Communication, Notification, and Notice Model</w:t>
            </w:r>
          </w:p>
        </w:tc>
        <w:tc>
          <w:tcPr>
            <w:tcW w:type="dxa" w:w="1051"/>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AUTH-108</w:t>
            </w:r>
          </w:p>
        </w:tc>
      </w:tr>
      <w:tr>
        <w:trPr/>
        <w:tc>
          <w:tcPr>
            <w:tcW w:type="dxa" w:w="864"/>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XREF-109</w:t>
            </w:r>
          </w:p>
        </w:tc>
        <w:tc>
          <w:tcPr>
            <w:tcW w:type="dxa" w:w="2534"/>
            <w:tcMar>
              <w:top w:w="45" w:type="dxa"/>
              <w:start w:w="45" w:type="dxa"/>
              <w:bottom w:w="45" w:type="dxa"/>
              <w:end w:w="45" w:type="dxa"/>
            </w:tcMar>
            <w:vAlign w:val="top"/>
            <w:shd w:fill="FFFFFF"/>
          </w:tcPr>
          <w:p>
            <w:pPr>
              <w:spacing w:after="0" w:line="228" w:lineRule="auto"/>
            </w:pPr>
            <w:r>
              <w:rPr>
                <w:rFonts w:ascii="Aptos" w:hAnsi="Aptos"/>
                <w:b w:val="0"/>
                <w:color w:val="3C4650"/>
                <w:sz w:val="12"/>
              </w:rPr>
              <w:t>Disaster declaration, incident command, failover, failback, and recovery acceptance</w:t>
            </w:r>
          </w:p>
        </w:tc>
        <w:tc>
          <w:tcPr>
            <w:tcW w:type="dxa" w:w="2088"/>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Platform Resilience, Backup, and Recovery Model</w:t>
            </w:r>
          </w:p>
        </w:tc>
        <w:tc>
          <w:tcPr>
            <w:tcW w:type="dxa" w:w="3542"/>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Platform Operations, Reliability, and Release Model; Master Security Incident Response and Disclosure Model; Master Audit Event and Evidence Model; Master Communication, Notification, and Notice Model</w:t>
            </w:r>
          </w:p>
        </w:tc>
        <w:tc>
          <w:tcPr>
            <w:tcW w:type="dxa" w:w="1051"/>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AUTH-109</w:t>
            </w:r>
          </w:p>
        </w:tc>
      </w:tr>
      <w:tr>
        <w:trPr/>
        <w:tc>
          <w:tcPr>
            <w:tcW w:type="dxa" w:w="864"/>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XREF-110</w:t>
            </w:r>
          </w:p>
        </w:tc>
        <w:tc>
          <w:tcPr>
            <w:tcW w:type="dxa" w:w="2534"/>
            <w:tcMar>
              <w:top w:w="45" w:type="dxa"/>
              <w:start w:w="45" w:type="dxa"/>
              <w:bottom w:w="45" w:type="dxa"/>
              <w:end w:w="45" w:type="dxa"/>
            </w:tcMar>
            <w:vAlign w:val="top"/>
            <w:shd w:fill="EEF4F8"/>
          </w:tcPr>
          <w:p>
            <w:pPr>
              <w:spacing w:after="0" w:line="228" w:lineRule="auto"/>
            </w:pPr>
            <w:r>
              <w:rPr>
                <w:rFonts w:ascii="Aptos" w:hAnsi="Aptos"/>
                <w:b w:val="0"/>
                <w:color w:val="3C4650"/>
                <w:sz w:val="12"/>
              </w:rPr>
              <w:t>Offline capture, local storage, synchronization, revocation, and conflict handling</w:t>
            </w:r>
          </w:p>
        </w:tc>
        <w:tc>
          <w:tcPr>
            <w:tcW w:type="dxa" w:w="2088"/>
            <w:tcMar>
              <w:top w:w="45" w:type="dxa"/>
              <w:start w:w="45" w:type="dxa"/>
              <w:bottom w:w="45" w:type="dxa"/>
              <w:end w:w="45" w:type="dxa"/>
            </w:tcMar>
            <w:vAlign w:val="top"/>
            <w:shd w:fill="EEF4F8"/>
          </w:tcPr>
          <w:p>
            <w:pPr>
              <w:spacing w:after="0" w:line="228" w:lineRule="auto"/>
            </w:pPr>
            <w:r>
              <w:rPr>
                <w:rFonts w:ascii="Aptos" w:hAnsi="Aptos"/>
                <w:b w:val="0"/>
                <w:color w:val="3C4650"/>
                <w:sz w:val="12"/>
              </w:rPr>
              <w:t>Native Offline Synchronization Canon and Locked Readiness Instruments</w:t>
            </w:r>
          </w:p>
        </w:tc>
        <w:tc>
          <w:tcPr>
            <w:tcW w:type="dxa" w:w="3542"/>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Permission and Access-Control Model; Master Record Stewardship and Retention Model; Master Security and Trust Model; Master Data Protection, Encryption, and Key Management Model; Master Platform Resilience, Backup, and Recovery Model; domain canon</w:t>
            </w:r>
          </w:p>
        </w:tc>
        <w:tc>
          <w:tcPr>
            <w:tcW w:type="dxa" w:w="1051"/>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AUTH-110</w:t>
            </w:r>
          </w:p>
        </w:tc>
      </w:tr>
      <w:tr>
        <w:trPr/>
        <w:tc>
          <w:tcPr>
            <w:tcW w:type="dxa" w:w="864"/>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XREF-111</w:t>
            </w:r>
          </w:p>
        </w:tc>
        <w:tc>
          <w:tcPr>
            <w:tcW w:type="dxa" w:w="2534"/>
            <w:tcMar>
              <w:top w:w="45" w:type="dxa"/>
              <w:start w:w="45" w:type="dxa"/>
              <w:bottom w:w="45" w:type="dxa"/>
              <w:end w:w="45" w:type="dxa"/>
            </w:tcMar>
            <w:vAlign w:val="top"/>
            <w:shd w:fill="FFFFFF"/>
          </w:tcPr>
          <w:p>
            <w:pPr>
              <w:spacing w:after="0" w:line="228" w:lineRule="auto"/>
            </w:pPr>
            <w:r>
              <w:rPr>
                <w:rFonts w:ascii="Aptos" w:hAnsi="Aptos"/>
                <w:b w:val="0"/>
                <w:color w:val="3C4650"/>
                <w:sz w:val="12"/>
              </w:rPr>
              <w:t>Operational incident command, continuity actions, and emergency change</w:t>
            </w:r>
          </w:p>
        </w:tc>
        <w:tc>
          <w:tcPr>
            <w:tcW w:type="dxa" w:w="2088"/>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Platform Operations, Reliability, and Release Model</w:t>
            </w:r>
          </w:p>
        </w:tc>
        <w:tc>
          <w:tcPr>
            <w:tcW w:type="dxa" w:w="3542"/>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Security Incident Response and Disclosure Model; Master Platform Resilience, Backup, and Recovery Model; Master Communication, Notification, and Notice Model; Master Audit Event and Evidence Model</w:t>
            </w:r>
          </w:p>
        </w:tc>
        <w:tc>
          <w:tcPr>
            <w:tcW w:type="dxa" w:w="1051"/>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AUTH-111</w:t>
            </w:r>
          </w:p>
        </w:tc>
      </w:tr>
      <w:tr>
        <w:trPr/>
        <w:tc>
          <w:tcPr>
            <w:tcW w:type="dxa" w:w="864"/>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XREF-112</w:t>
            </w:r>
          </w:p>
        </w:tc>
        <w:tc>
          <w:tcPr>
            <w:tcW w:type="dxa" w:w="2534"/>
            <w:tcMar>
              <w:top w:w="45" w:type="dxa"/>
              <w:start w:w="45" w:type="dxa"/>
              <w:bottom w:w="45" w:type="dxa"/>
              <w:end w:w="45" w:type="dxa"/>
            </w:tcMar>
            <w:vAlign w:val="top"/>
            <w:shd w:fill="EEF4F8"/>
          </w:tcPr>
          <w:p>
            <w:pPr>
              <w:spacing w:after="0" w:line="228" w:lineRule="auto"/>
            </w:pPr>
            <w:r>
              <w:rPr>
                <w:rFonts w:ascii="Aptos" w:hAnsi="Aptos"/>
                <w:b w:val="0"/>
                <w:color w:val="3C4650"/>
                <w:sz w:val="12"/>
              </w:rPr>
              <w:t>Privileged administration, customer support access, impersonation, and support tooling</w:t>
            </w:r>
          </w:p>
        </w:tc>
        <w:tc>
          <w:tcPr>
            <w:tcW w:type="dxa" w:w="2088"/>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Security and Trust Model</w:t>
            </w:r>
          </w:p>
        </w:tc>
        <w:tc>
          <w:tcPr>
            <w:tcW w:type="dxa" w:w="3542"/>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Identity, Account, and Actor Model; Master Permission and Access-Control Model; Master Audit Event and Evidence Model; Master Privacy and Data Protection Model; Master Platform Operations, Reliability, and Release Model</w:t>
            </w:r>
          </w:p>
        </w:tc>
        <w:tc>
          <w:tcPr>
            <w:tcW w:type="dxa" w:w="1051"/>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AUTH-112</w:t>
            </w:r>
          </w:p>
        </w:tc>
      </w:tr>
      <w:tr>
        <w:trPr/>
        <w:tc>
          <w:tcPr>
            <w:tcW w:type="dxa" w:w="864"/>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XREF-113</w:t>
            </w:r>
          </w:p>
        </w:tc>
        <w:tc>
          <w:tcPr>
            <w:tcW w:type="dxa" w:w="2534"/>
            <w:tcMar>
              <w:top w:w="45" w:type="dxa"/>
              <w:start w:w="45" w:type="dxa"/>
              <w:bottom w:w="45" w:type="dxa"/>
              <w:end w:w="45" w:type="dxa"/>
            </w:tcMar>
            <w:vAlign w:val="top"/>
            <w:shd w:fill="FFFFFF"/>
          </w:tcPr>
          <w:p>
            <w:pPr>
              <w:spacing w:after="0" w:line="228" w:lineRule="auto"/>
            </w:pPr>
            <w:r>
              <w:rPr>
                <w:rFonts w:ascii="Aptos" w:hAnsi="Aptos"/>
                <w:b w:val="0"/>
                <w:color w:val="3C4650"/>
                <w:sz w:val="12"/>
              </w:rPr>
              <w:t>Test data, synthetic data, fixtures, sandboxes, and production-data restrictions</w:t>
            </w:r>
          </w:p>
        </w:tc>
        <w:tc>
          <w:tcPr>
            <w:tcW w:type="dxa" w:w="2088"/>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Platform Operations, Reliability, and Release Model</w:t>
            </w:r>
          </w:p>
        </w:tc>
        <w:tc>
          <w:tcPr>
            <w:tcW w:type="dxa" w:w="3542"/>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Privacy and Data Protection Model; Master Security and Trust Model; Master Developer, Platform, and Integration Governance Model; Master AI Governance and Decision Boundary Model; Master Record Stewardship and Retention Model</w:t>
            </w:r>
          </w:p>
        </w:tc>
        <w:tc>
          <w:tcPr>
            <w:tcW w:type="dxa" w:w="1051"/>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AUTH-113</w:t>
            </w:r>
          </w:p>
        </w:tc>
      </w:tr>
      <w:tr>
        <w:trPr/>
        <w:tc>
          <w:tcPr>
            <w:tcW w:type="dxa" w:w="864"/>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XREF-114</w:t>
            </w:r>
          </w:p>
        </w:tc>
        <w:tc>
          <w:tcPr>
            <w:tcW w:type="dxa" w:w="2534"/>
            <w:tcMar>
              <w:top w:w="45" w:type="dxa"/>
              <w:start w:w="45" w:type="dxa"/>
              <w:bottom w:w="45" w:type="dxa"/>
              <w:end w:w="45" w:type="dxa"/>
            </w:tcMar>
            <w:vAlign w:val="top"/>
            <w:shd w:fill="EEF4F8"/>
          </w:tcPr>
          <w:p>
            <w:pPr>
              <w:spacing w:after="0" w:line="228" w:lineRule="auto"/>
            </w:pPr>
            <w:r>
              <w:rPr>
                <w:rFonts w:ascii="Aptos" w:hAnsi="Aptos"/>
                <w:b w:val="0"/>
                <w:color w:val="3C4650"/>
                <w:sz w:val="12"/>
              </w:rPr>
              <w:t>Release certification, compliance evidence, acceptance tests, and production readiness</w:t>
            </w:r>
          </w:p>
        </w:tc>
        <w:tc>
          <w:tcPr>
            <w:tcW w:type="dxa" w:w="2088"/>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Platform Operations, Reliability, and Release Model</w:t>
            </w:r>
          </w:p>
        </w:tc>
        <w:tc>
          <w:tcPr>
            <w:tcW w:type="dxa" w:w="3542"/>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EquineSync Implementation Atlas and Authorized RF Packages; Master Audit Event and Evidence Model; affected domain canon; founder authority</w:t>
            </w:r>
          </w:p>
        </w:tc>
        <w:tc>
          <w:tcPr>
            <w:tcW w:type="dxa" w:w="1051"/>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AUTH-114</w:t>
            </w:r>
          </w:p>
        </w:tc>
      </w:tr>
      <w:tr>
        <w:trPr/>
        <w:tc>
          <w:tcPr>
            <w:tcW w:type="dxa" w:w="864"/>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XREF-115</w:t>
            </w:r>
          </w:p>
        </w:tc>
        <w:tc>
          <w:tcPr>
            <w:tcW w:type="dxa" w:w="2534"/>
            <w:tcMar>
              <w:top w:w="45" w:type="dxa"/>
              <w:start w:w="45" w:type="dxa"/>
              <w:bottom w:w="45" w:type="dxa"/>
              <w:end w:w="45" w:type="dxa"/>
            </w:tcMar>
            <w:vAlign w:val="top"/>
            <w:shd w:fill="FFFFFF"/>
          </w:tcPr>
          <w:p>
            <w:pPr>
              <w:spacing w:after="0" w:line="228" w:lineRule="auto"/>
            </w:pPr>
            <w:r>
              <w:rPr>
                <w:rFonts w:ascii="Aptos" w:hAnsi="Aptos"/>
                <w:b w:val="0"/>
                <w:color w:val="3C4650"/>
                <w:sz w:val="12"/>
              </w:rPr>
              <w:t>Implementation authority for code, schemas, integrations, migrations, and activation</w:t>
            </w:r>
          </w:p>
        </w:tc>
        <w:tc>
          <w:tcPr>
            <w:tcW w:type="dxa" w:w="2088"/>
            <w:tcMar>
              <w:top w:w="45" w:type="dxa"/>
              <w:start w:w="45" w:type="dxa"/>
              <w:bottom w:w="45" w:type="dxa"/>
              <w:end w:w="45" w:type="dxa"/>
            </w:tcMar>
            <w:vAlign w:val="top"/>
            <w:shd w:fill="FFFFFF"/>
          </w:tcPr>
          <w:p>
            <w:pPr>
              <w:spacing w:after="0" w:line="228" w:lineRule="auto"/>
            </w:pPr>
            <w:r>
              <w:rPr>
                <w:rFonts w:ascii="Aptos" w:hAnsi="Aptos"/>
                <w:b w:val="0"/>
                <w:color w:val="3C4650"/>
                <w:sz w:val="12"/>
              </w:rPr>
              <w:t>Founder Decision Register and Adoption Evidence</w:t>
            </w:r>
          </w:p>
        </w:tc>
        <w:tc>
          <w:tcPr>
            <w:tcW w:type="dxa" w:w="3542"/>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EquineSync Implementation Atlas and Authorized RF Packages; Controlled Canon Index and Constitutional Completeness Register; affected domain canon</w:t>
            </w:r>
          </w:p>
        </w:tc>
        <w:tc>
          <w:tcPr>
            <w:tcW w:type="dxa" w:w="1051"/>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AUTH-115</w:t>
            </w:r>
          </w:p>
        </w:tc>
      </w:tr>
      <w:tr>
        <w:trPr/>
        <w:tc>
          <w:tcPr>
            <w:tcW w:type="dxa" w:w="864"/>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XREF-116</w:t>
            </w:r>
          </w:p>
        </w:tc>
        <w:tc>
          <w:tcPr>
            <w:tcW w:type="dxa" w:w="2534"/>
            <w:tcMar>
              <w:top w:w="45" w:type="dxa"/>
              <w:start w:w="45" w:type="dxa"/>
              <w:bottom w:w="45" w:type="dxa"/>
              <w:end w:w="45" w:type="dxa"/>
            </w:tcMar>
            <w:vAlign w:val="top"/>
            <w:shd w:fill="EEF4F8"/>
          </w:tcPr>
          <w:p>
            <w:pPr>
              <w:spacing w:after="0" w:line="228" w:lineRule="auto"/>
            </w:pPr>
            <w:r>
              <w:rPr>
                <w:rFonts w:ascii="Aptos" w:hAnsi="Aptos"/>
                <w:b w:val="0"/>
                <w:color w:val="3C4650"/>
                <w:sz w:val="12"/>
              </w:rPr>
              <w:t>Production authority, customer-data processing, live credentials, and production mutation</w:t>
            </w:r>
          </w:p>
        </w:tc>
        <w:tc>
          <w:tcPr>
            <w:tcW w:type="dxa" w:w="2088"/>
            <w:tcMar>
              <w:top w:w="45" w:type="dxa"/>
              <w:start w:w="45" w:type="dxa"/>
              <w:bottom w:w="45" w:type="dxa"/>
              <w:end w:w="45" w:type="dxa"/>
            </w:tcMar>
            <w:vAlign w:val="top"/>
            <w:shd w:fill="EEF4F8"/>
          </w:tcPr>
          <w:p>
            <w:pPr>
              <w:spacing w:after="0" w:line="228" w:lineRule="auto"/>
            </w:pPr>
            <w:r>
              <w:rPr>
                <w:rFonts w:ascii="Aptos" w:hAnsi="Aptos"/>
                <w:b w:val="0"/>
                <w:color w:val="3C4650"/>
                <w:sz w:val="12"/>
              </w:rPr>
              <w:t>Founder Decision Register and Adoption Evidence</w:t>
            </w:r>
          </w:p>
        </w:tc>
        <w:tc>
          <w:tcPr>
            <w:tcW w:type="dxa" w:w="3542"/>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Platform Operations, Reliability, and Release Model; Master Security and Trust Model; Master Privacy and Data Protection Model; Master Platform Resilience, Backup, and Recovery Model; affected domain canon</w:t>
            </w:r>
          </w:p>
        </w:tc>
        <w:tc>
          <w:tcPr>
            <w:tcW w:type="dxa" w:w="1051"/>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AUTH-116</w:t>
            </w:r>
          </w:p>
        </w:tc>
      </w:tr>
      <w:tr>
        <w:trPr/>
        <w:tc>
          <w:tcPr>
            <w:tcW w:type="dxa" w:w="864"/>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XREF-117</w:t>
            </w:r>
          </w:p>
        </w:tc>
        <w:tc>
          <w:tcPr>
            <w:tcW w:type="dxa" w:w="2534"/>
            <w:tcMar>
              <w:top w:w="45" w:type="dxa"/>
              <w:start w:w="45" w:type="dxa"/>
              <w:bottom w:w="45" w:type="dxa"/>
              <w:end w:w="45" w:type="dxa"/>
            </w:tcMar>
            <w:vAlign w:val="top"/>
            <w:shd w:fill="FFFFFF"/>
          </w:tcPr>
          <w:p>
            <w:pPr>
              <w:spacing w:after="0" w:line="228" w:lineRule="auto"/>
            </w:pPr>
            <w:r>
              <w:rPr>
                <w:rFonts w:ascii="Aptos" w:hAnsi="Aptos"/>
                <w:b w:val="0"/>
                <w:color w:val="3C4650"/>
                <w:sz w:val="12"/>
              </w:rPr>
              <w:t>Public launch, marketplace launch, public sharing, and public trust representations</w:t>
            </w:r>
          </w:p>
        </w:tc>
        <w:tc>
          <w:tcPr>
            <w:tcW w:type="dxa" w:w="2088"/>
            <w:tcMar>
              <w:top w:w="45" w:type="dxa"/>
              <w:start w:w="45" w:type="dxa"/>
              <w:bottom w:w="45" w:type="dxa"/>
              <w:end w:w="45" w:type="dxa"/>
            </w:tcMar>
            <w:vAlign w:val="top"/>
            <w:shd w:fill="FFFFFF"/>
          </w:tcPr>
          <w:p>
            <w:pPr>
              <w:spacing w:after="0" w:line="228" w:lineRule="auto"/>
            </w:pPr>
            <w:r>
              <w:rPr>
                <w:rFonts w:ascii="Aptos" w:hAnsi="Aptos"/>
                <w:b w:val="0"/>
                <w:color w:val="3C4650"/>
                <w:sz w:val="12"/>
              </w:rPr>
              <w:t>Founder Decision Register and Adoption Evidence</w:t>
            </w:r>
          </w:p>
        </w:tc>
        <w:tc>
          <w:tcPr>
            <w:tcW w:type="dxa" w:w="3542"/>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Product Vision; Master Platform Operations, Reliability, and Release Model; Master Privacy and Data Protection Model; Master Security and Trust Model; Master Communication, Notification, and Notice Model; applicable domain canon</w:t>
            </w:r>
          </w:p>
        </w:tc>
        <w:tc>
          <w:tcPr>
            <w:tcW w:type="dxa" w:w="1051"/>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AUTH-117</w:t>
            </w:r>
          </w:p>
        </w:tc>
      </w:tr>
      <w:tr>
        <w:trPr/>
        <w:tc>
          <w:tcPr>
            <w:tcW w:type="dxa" w:w="864"/>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XREF-118</w:t>
            </w:r>
          </w:p>
        </w:tc>
        <w:tc>
          <w:tcPr>
            <w:tcW w:type="dxa" w:w="2534"/>
            <w:tcMar>
              <w:top w:w="45" w:type="dxa"/>
              <w:start w:w="45" w:type="dxa"/>
              <w:bottom w:w="45" w:type="dxa"/>
              <w:end w:w="45" w:type="dxa"/>
            </w:tcMar>
            <w:vAlign w:val="top"/>
            <w:shd w:fill="EEF4F8"/>
          </w:tcPr>
          <w:p>
            <w:pPr>
              <w:spacing w:after="0" w:line="228" w:lineRule="auto"/>
            </w:pPr>
            <w:r>
              <w:rPr>
                <w:rFonts w:ascii="Aptos" w:hAnsi="Aptos"/>
                <w:b w:val="0"/>
                <w:color w:val="3C4650"/>
                <w:sz w:val="12"/>
              </w:rPr>
              <w:t>Mobile application distribution, app-store release, and native production channels</w:t>
            </w:r>
          </w:p>
        </w:tc>
        <w:tc>
          <w:tcPr>
            <w:tcW w:type="dxa" w:w="2088"/>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Platform Operations, Reliability, and Release Model</w:t>
            </w:r>
          </w:p>
        </w:tc>
        <w:tc>
          <w:tcPr>
            <w:tcW w:type="dxa" w:w="3542"/>
            <w:tcMar>
              <w:top w:w="45" w:type="dxa"/>
              <w:start w:w="45" w:type="dxa"/>
              <w:bottom w:w="45" w:type="dxa"/>
              <w:end w:w="45" w:type="dxa"/>
            </w:tcMar>
            <w:vAlign w:val="top"/>
            <w:shd w:fill="EEF4F8"/>
          </w:tcPr>
          <w:p>
            <w:pPr>
              <w:spacing w:after="0" w:line="228" w:lineRule="auto"/>
            </w:pPr>
            <w:r>
              <w:rPr>
                <w:rFonts w:ascii="Aptos" w:hAnsi="Aptos"/>
                <w:b w:val="0"/>
                <w:color w:val="3C4650"/>
                <w:sz w:val="12"/>
              </w:rPr>
              <w:t>Master Product Vision; Master Security and Trust Model; Master Privacy and Data Protection Model; Master Platform Resilience, Backup, and Recovery Model; Master EquineSync Implementation Atlas and Authorized RF Packages</w:t>
            </w:r>
          </w:p>
        </w:tc>
        <w:tc>
          <w:tcPr>
            <w:tcW w:type="dxa" w:w="1051"/>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AUTH-118</w:t>
            </w:r>
          </w:p>
        </w:tc>
      </w:tr>
      <w:tr>
        <w:trPr/>
        <w:tc>
          <w:tcPr>
            <w:tcW w:type="dxa" w:w="864"/>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XREF-119</w:t>
            </w:r>
          </w:p>
        </w:tc>
        <w:tc>
          <w:tcPr>
            <w:tcW w:type="dxa" w:w="2534"/>
            <w:tcMar>
              <w:top w:w="45" w:type="dxa"/>
              <w:start w:w="45" w:type="dxa"/>
              <w:bottom w:w="45" w:type="dxa"/>
              <w:end w:w="45" w:type="dxa"/>
            </w:tcMar>
            <w:vAlign w:val="top"/>
            <w:shd w:fill="FFFFFF"/>
          </w:tcPr>
          <w:p>
            <w:pPr>
              <w:spacing w:after="0" w:line="228" w:lineRule="auto"/>
            </w:pPr>
            <w:r>
              <w:rPr>
                <w:rFonts w:ascii="Aptos" w:hAnsi="Aptos"/>
                <w:b w:val="0"/>
                <w:color w:val="3C4650"/>
                <w:sz w:val="12"/>
              </w:rPr>
              <w:t>Platform decommissioning, tenant exit, service termination, and durable continuity</w:t>
            </w:r>
          </w:p>
        </w:tc>
        <w:tc>
          <w:tcPr>
            <w:tcW w:type="dxa" w:w="2088"/>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Platform Resilience, Backup, and Recovery Model</w:t>
            </w:r>
          </w:p>
        </w:tc>
        <w:tc>
          <w:tcPr>
            <w:tcW w:type="dxa" w:w="3542"/>
            <w:tcMar>
              <w:top w:w="45" w:type="dxa"/>
              <w:start w:w="45" w:type="dxa"/>
              <w:bottom w:w="45" w:type="dxa"/>
              <w:end w:w="45" w:type="dxa"/>
            </w:tcMar>
            <w:vAlign w:val="top"/>
            <w:shd w:fill="FFFFFF"/>
          </w:tcPr>
          <w:p>
            <w:pPr>
              <w:spacing w:after="0" w:line="228" w:lineRule="auto"/>
            </w:pPr>
            <w:r>
              <w:rPr>
                <w:rFonts w:ascii="Aptos" w:hAnsi="Aptos"/>
                <w:b w:val="0"/>
                <w:color w:val="3C4650"/>
                <w:sz w:val="12"/>
              </w:rPr>
              <w:t>Master Record Stewardship and Retention Model; Master Privacy and Data Protection Model; Master Agreement, Consent, and Authorization Model; Master Financial Truth and Responsibility Model; Master External Architecture and Adapter Model; Master Communication, Notification, and Notice Model</w:t>
            </w:r>
          </w:p>
        </w:tc>
        <w:tc>
          <w:tcPr>
            <w:tcW w:type="dxa" w:w="1051"/>
            <w:tcMar>
              <w:top w:w="45" w:type="dxa"/>
              <w:start w:w="45" w:type="dxa"/>
              <w:bottom w:w="45" w:type="dxa"/>
              <w:end w:w="45" w:type="dxa"/>
            </w:tcMar>
            <w:vAlign w:val="top"/>
            <w:shd w:fill="FFFFFF"/>
          </w:tcPr>
          <w:p>
            <w:pPr>
              <w:spacing w:after="0" w:line="228" w:lineRule="auto"/>
              <w:jc w:val="center"/>
            </w:pPr>
            <w:r>
              <w:rPr>
                <w:rFonts w:ascii="Aptos" w:hAnsi="Aptos"/>
                <w:b/>
                <w:color w:val="0B2748"/>
                <w:sz w:val="12"/>
              </w:rPr>
              <w:t>AUTH-119</w:t>
            </w:r>
          </w:p>
        </w:tc>
      </w:tr>
      <w:tr>
        <w:trPr/>
        <w:tc>
          <w:tcPr>
            <w:tcW w:type="dxa" w:w="864"/>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XREF-120</w:t>
            </w:r>
          </w:p>
        </w:tc>
        <w:tc>
          <w:tcPr>
            <w:tcW w:type="dxa" w:w="2534"/>
            <w:tcMar>
              <w:top w:w="45" w:type="dxa"/>
              <w:start w:w="45" w:type="dxa"/>
              <w:bottom w:w="45" w:type="dxa"/>
              <w:end w:w="45" w:type="dxa"/>
            </w:tcMar>
            <w:vAlign w:val="top"/>
            <w:shd w:fill="EEF4F8"/>
          </w:tcPr>
          <w:p>
            <w:pPr>
              <w:spacing w:after="0" w:line="228" w:lineRule="auto"/>
            </w:pPr>
            <w:r>
              <w:rPr>
                <w:rFonts w:ascii="Aptos" w:hAnsi="Aptos"/>
                <w:b w:val="0"/>
                <w:color w:val="3C4650"/>
                <w:sz w:val="12"/>
              </w:rPr>
              <w:t>Maintenance and amendment of this Constitutional Authority Matrix</w:t>
            </w:r>
          </w:p>
        </w:tc>
        <w:tc>
          <w:tcPr>
            <w:tcW w:type="dxa" w:w="2088"/>
            <w:tcMar>
              <w:top w:w="45" w:type="dxa"/>
              <w:start w:w="45" w:type="dxa"/>
              <w:bottom w:w="45" w:type="dxa"/>
              <w:end w:w="45" w:type="dxa"/>
            </w:tcMar>
            <w:vAlign w:val="top"/>
            <w:shd w:fill="EEF4F8"/>
          </w:tcPr>
          <w:p>
            <w:pPr>
              <w:spacing w:after="0" w:line="228" w:lineRule="auto"/>
            </w:pPr>
            <w:r>
              <w:rPr>
                <w:rFonts w:ascii="Aptos" w:hAnsi="Aptos"/>
                <w:b w:val="0"/>
                <w:color w:val="3C4650"/>
                <w:sz w:val="12"/>
              </w:rPr>
              <w:t>Constitutional Domain Ownership and Boundary Register</w:t>
            </w:r>
          </w:p>
        </w:tc>
        <w:tc>
          <w:tcPr>
            <w:tcW w:type="dxa" w:w="3542"/>
            <w:tcMar>
              <w:top w:w="45" w:type="dxa"/>
              <w:start w:w="45" w:type="dxa"/>
              <w:bottom w:w="45" w:type="dxa"/>
              <w:end w:w="45" w:type="dxa"/>
            </w:tcMar>
            <w:vAlign w:val="top"/>
            <w:shd w:fill="EEF4F8"/>
          </w:tcPr>
          <w:p>
            <w:pPr>
              <w:spacing w:after="0" w:line="228" w:lineRule="auto"/>
            </w:pPr>
            <w:r>
              <w:rPr>
                <w:rFonts w:ascii="Aptos" w:hAnsi="Aptos"/>
                <w:b w:val="0"/>
                <w:color w:val="3C4650"/>
                <w:sz w:val="12"/>
              </w:rPr>
              <w:t>Controlled Canon Index and Constitutional Completeness Register; Constitutional Vocabulary and Definitions Index; Cross-Canon Reference Normalization Register; Founder Decision Register and Adoption Evidence</w:t>
            </w:r>
          </w:p>
        </w:tc>
        <w:tc>
          <w:tcPr>
            <w:tcW w:type="dxa" w:w="1051"/>
            <w:tcMar>
              <w:top w:w="45" w:type="dxa"/>
              <w:start w:w="45" w:type="dxa"/>
              <w:bottom w:w="45" w:type="dxa"/>
              <w:end w:w="45" w:type="dxa"/>
            </w:tcMar>
            <w:vAlign w:val="top"/>
            <w:shd w:fill="EEF4F8"/>
          </w:tcPr>
          <w:p>
            <w:pPr>
              <w:spacing w:after="0" w:line="228" w:lineRule="auto"/>
              <w:jc w:val="center"/>
            </w:pPr>
            <w:r>
              <w:rPr>
                <w:rFonts w:ascii="Aptos" w:hAnsi="Aptos"/>
                <w:b/>
                <w:color w:val="0B2748"/>
                <w:sz w:val="12"/>
              </w:rPr>
              <w:t>AUTH-120</w:t>
            </w:r>
          </w:p>
        </w:tc>
      </w:tr>
    </w:tbl>
    <w:p>
      <w:pPr>
        <w:spacing w:after="0"/>
      </w:pPr>
    </w:p>
    <w:p>
      <w:pPr>
        <w:pageBreakBefore/>
        <w:spacing w:after="0"/>
      </w:pPr>
    </w:p>
    <w:p>
      <w:pPr>
        <w:pStyle w:val="Heading1"/>
      </w:pPr>
      <w:r>
        <w:t>6. Canon-to-Topic Reverse Index</w:t>
      </w:r>
    </w:p>
    <w:p>
      <w:pPr>
        <w:keepNext w:val="0"/>
        <w:spacing w:after="60" w:line="245" w:lineRule="auto"/>
      </w:pPr>
      <w:r>
        <w:rPr>
          <w:rFonts w:ascii="Aptos" w:hAnsi="Aptos"/>
          <w:i w:val="0"/>
          <w:color w:val="3C4650"/>
          <w:sz w:val="18"/>
        </w:rPr>
        <w:t>This reverse index identifies where each constitutional family is the primary authority and where it frequently acts as a supporting or boundary authority. Supporting references are navigational and do not imply shared ownership.</w:t>
      </w:r>
    </w:p>
    <w:tbl>
      <w:tblPr>
        <w:tblW w:type="auto" w:w="0"/>
        <w:jc w:val="center"/>
        <w:tblLayout w:type="fixed"/>
        <w:tblLook w:firstColumn="1" w:firstRow="1" w:lastColumn="0" w:lastRow="0" w:noHBand="0" w:noVBand="1" w:val="04A0"/>
        <w:tblBorders>
          <w:top w:val="single" w:sz="4" w:space="0" w:color="A7B5C3"/>
          <w:left w:val="single" w:sz="4" w:space="0" w:color="A7B5C3"/>
          <w:bottom w:val="single" w:sz="4" w:space="0" w:color="A7B5C3"/>
          <w:right w:val="single" w:sz="4" w:space="0" w:color="A7B5C3"/>
          <w:insideH w:val="single" w:sz="4" w:space="0" w:color="A7B5C3"/>
          <w:insideV w:val="single" w:sz="4" w:space="0" w:color="A7B5C3"/>
        </w:tblBorders>
      </w:tblPr>
      <w:tblGrid>
        <w:gridCol w:w="3389"/>
        <w:gridCol w:w="3389"/>
        <w:gridCol w:w="3389"/>
      </w:tblGrid>
      <w:tr>
        <w:trPr>
          <w:tblHeader w:val="true"/>
        </w:trPr>
        <w:tc>
          <w:tcPr>
            <w:tcW w:type="dxa" w:w="4320"/>
            <w:shd w:fill="0B2748"/>
            <w:tcMar>
              <w:top w:w="70" w:type="dxa"/>
              <w:start w:w="60" w:type="dxa"/>
              <w:bottom w:w="70" w:type="dxa"/>
              <w:end w:w="60" w:type="dxa"/>
            </w:tcMar>
          </w:tcPr>
          <w:p>
            <w:pPr>
              <w:spacing w:after="0"/>
              <w:jc w:val="center"/>
            </w:pPr>
            <w:r>
              <w:rPr>
                <w:rFonts w:ascii="Aptos" w:hAnsi="Aptos"/>
                <w:b/>
                <w:color w:val="FFFFFF"/>
                <w:sz w:val="14"/>
              </w:rPr>
              <w:t>Constitutional Family</w:t>
            </w:r>
          </w:p>
        </w:tc>
        <w:tc>
          <w:tcPr>
            <w:tcW w:type="dxa" w:w="2563"/>
            <w:shd w:fill="0B2748"/>
            <w:tcMar>
              <w:top w:w="70" w:type="dxa"/>
              <w:start w:w="60" w:type="dxa"/>
              <w:bottom w:w="70" w:type="dxa"/>
              <w:end w:w="60" w:type="dxa"/>
            </w:tcMar>
          </w:tcPr>
          <w:p>
            <w:pPr>
              <w:spacing w:after="0"/>
              <w:jc w:val="center"/>
            </w:pPr>
            <w:r>
              <w:rPr>
                <w:rFonts w:ascii="Aptos" w:hAnsi="Aptos"/>
                <w:b/>
                <w:color w:val="FFFFFF"/>
                <w:sz w:val="14"/>
              </w:rPr>
              <w:t>Primary Topics</w:t>
            </w:r>
          </w:p>
        </w:tc>
        <w:tc>
          <w:tcPr>
            <w:tcW w:type="dxa" w:w="3196"/>
            <w:shd w:fill="0B2748"/>
            <w:tcMar>
              <w:top w:w="70" w:type="dxa"/>
              <w:start w:w="60" w:type="dxa"/>
              <w:bottom w:w="70" w:type="dxa"/>
              <w:end w:w="60" w:type="dxa"/>
            </w:tcMar>
          </w:tcPr>
          <w:p>
            <w:pPr>
              <w:spacing w:after="0"/>
              <w:jc w:val="center"/>
            </w:pPr>
            <w:r>
              <w:rPr>
                <w:rFonts w:ascii="Aptos" w:hAnsi="Aptos"/>
                <w:b/>
                <w:color w:val="FFFFFF"/>
                <w:sz w:val="14"/>
              </w:rPr>
              <w:t>Supporting / Boundary Topics</w:t>
            </w:r>
          </w:p>
        </w:tc>
      </w:tr>
      <w:tr>
        <w:tc>
          <w:tcPr>
            <w:tcW w:type="dxa" w:w="4320"/>
            <w:tcMar>
              <w:top w:w="50" w:type="dxa"/>
              <w:start w:w="55" w:type="dxa"/>
              <w:bottom w:w="50" w:type="dxa"/>
              <w:end w:w="55" w:type="dxa"/>
            </w:tcMar>
            <w:shd w:fill="FFFFFF"/>
            <w:vAlign w:val="top"/>
          </w:tcPr>
          <w:p>
            <w:pPr>
              <w:spacing w:after="0" w:line="228" w:lineRule="auto"/>
            </w:pPr>
            <w:r>
              <w:rPr>
                <w:rFonts w:ascii="Aptos" w:hAnsi="Aptos"/>
                <w:b/>
                <w:color w:val="0B2748"/>
                <w:sz w:val="13"/>
              </w:rPr>
              <w:t>Constitutional Domain Ownership and Boundary Register</w:t>
            </w:r>
          </w:p>
        </w:tc>
        <w:tc>
          <w:tcPr>
            <w:tcW w:type="dxa" w:w="2563"/>
            <w:tcMar>
              <w:top w:w="50" w:type="dxa"/>
              <w:start w:w="55" w:type="dxa"/>
              <w:bottom w:w="50" w:type="dxa"/>
              <w:end w:w="55" w:type="dxa"/>
            </w:tcMar>
            <w:shd w:fill="FFFFFF"/>
            <w:vAlign w:val="top"/>
          </w:tcPr>
          <w:p>
            <w:pPr>
              <w:spacing w:after="0" w:line="228" w:lineRule="auto"/>
            </w:pPr>
            <w:r>
              <w:rPr>
                <w:rFonts w:ascii="Aptos" w:hAnsi="Aptos"/>
                <w:b w:val="0"/>
                <w:color w:val="3C4650"/>
                <w:sz w:val="13"/>
              </w:rPr>
              <w:t>XREF-005; XREF-009; XREF-095; XREF-120</w:t>
            </w:r>
          </w:p>
        </w:tc>
        <w:tc>
          <w:tcPr>
            <w:tcW w:type="dxa" w:w="3196"/>
            <w:tcMar>
              <w:top w:w="50" w:type="dxa"/>
              <w:start w:w="55" w:type="dxa"/>
              <w:bottom w:w="50" w:type="dxa"/>
              <w:end w:w="55" w:type="dxa"/>
            </w:tcMar>
            <w:shd w:fill="FFFFFF"/>
            <w:vAlign w:val="top"/>
          </w:tcPr>
          <w:p>
            <w:pPr>
              <w:spacing w:after="0" w:line="228" w:lineRule="auto"/>
            </w:pPr>
            <w:r>
              <w:rPr>
                <w:rFonts w:ascii="Aptos" w:hAnsi="Aptos"/>
                <w:b w:val="0"/>
                <w:color w:val="3C4650"/>
                <w:sz w:val="13"/>
              </w:rPr>
              <w:t>XREF-004; XREF-035</w:t>
            </w:r>
          </w:p>
        </w:tc>
      </w:tr>
      <w:tr>
        <w:tc>
          <w:tcPr>
            <w:tcW w:type="dxa" w:w="4320"/>
            <w:tcMar>
              <w:top w:w="50" w:type="dxa"/>
              <w:start w:w="55" w:type="dxa"/>
              <w:bottom w:w="50" w:type="dxa"/>
              <w:end w:w="55" w:type="dxa"/>
            </w:tcMar>
            <w:shd w:fill="EEF4F8"/>
            <w:vAlign w:val="top"/>
          </w:tcPr>
          <w:p>
            <w:pPr>
              <w:spacing w:after="0" w:line="228" w:lineRule="auto"/>
            </w:pPr>
            <w:r>
              <w:rPr>
                <w:rFonts w:ascii="Aptos" w:hAnsi="Aptos"/>
                <w:b/>
                <w:color w:val="0B2748"/>
                <w:sz w:val="13"/>
              </w:rPr>
              <w:t>Constitutional Vocabulary and Definitions Index</w:t>
            </w:r>
          </w:p>
        </w:tc>
        <w:tc>
          <w:tcPr>
            <w:tcW w:type="dxa" w:w="2563"/>
            <w:tcMar>
              <w:top w:w="50" w:type="dxa"/>
              <w:start w:w="55" w:type="dxa"/>
              <w:bottom w:w="50" w:type="dxa"/>
              <w:end w:w="55" w:type="dxa"/>
            </w:tcMar>
            <w:shd w:fill="EEF4F8"/>
            <w:vAlign w:val="top"/>
          </w:tcPr>
          <w:p>
            <w:pPr>
              <w:spacing w:after="0" w:line="228" w:lineRule="auto"/>
            </w:pPr>
            <w:r>
              <w:rPr>
                <w:rFonts w:ascii="Aptos" w:hAnsi="Aptos"/>
                <w:b w:val="0"/>
                <w:color w:val="3C4650"/>
                <w:sz w:val="13"/>
              </w:rPr>
              <w:t>XREF-004</w:t>
            </w:r>
          </w:p>
        </w:tc>
        <w:tc>
          <w:tcPr>
            <w:tcW w:type="dxa" w:w="3196"/>
            <w:tcMar>
              <w:top w:w="50" w:type="dxa"/>
              <w:start w:w="55" w:type="dxa"/>
              <w:bottom w:w="50" w:type="dxa"/>
              <w:end w:w="55" w:type="dxa"/>
            </w:tcMar>
            <w:shd w:fill="EEF4F8"/>
            <w:vAlign w:val="top"/>
          </w:tcPr>
          <w:p>
            <w:pPr>
              <w:spacing w:after="0" w:line="228" w:lineRule="auto"/>
            </w:pPr>
            <w:r>
              <w:rPr>
                <w:rFonts w:ascii="Aptos" w:hAnsi="Aptos"/>
                <w:b w:val="0"/>
                <w:color w:val="3C4650"/>
                <w:sz w:val="13"/>
              </w:rPr>
              <w:t>XREF-120</w:t>
            </w:r>
          </w:p>
        </w:tc>
      </w:tr>
      <w:tr>
        <w:tc>
          <w:tcPr>
            <w:tcW w:type="dxa" w:w="4320"/>
            <w:tcMar>
              <w:top w:w="50" w:type="dxa"/>
              <w:start w:w="55" w:type="dxa"/>
              <w:bottom w:w="50" w:type="dxa"/>
              <w:end w:w="55" w:type="dxa"/>
            </w:tcMar>
            <w:shd w:fill="FFFFFF"/>
            <w:vAlign w:val="top"/>
          </w:tcPr>
          <w:p>
            <w:pPr>
              <w:spacing w:after="0" w:line="228" w:lineRule="auto"/>
            </w:pPr>
            <w:r>
              <w:rPr>
                <w:rFonts w:ascii="Aptos" w:hAnsi="Aptos"/>
                <w:b/>
                <w:color w:val="0B2748"/>
                <w:sz w:val="13"/>
              </w:rPr>
              <w:t>Controlled Canon Index and Constitutional Completeness Register</w:t>
            </w:r>
          </w:p>
        </w:tc>
        <w:tc>
          <w:tcPr>
            <w:tcW w:type="dxa" w:w="2563"/>
            <w:tcMar>
              <w:top w:w="50" w:type="dxa"/>
              <w:start w:w="55" w:type="dxa"/>
              <w:bottom w:w="50" w:type="dxa"/>
              <w:end w:w="55" w:type="dxa"/>
            </w:tcMar>
            <w:shd w:fill="FFFFFF"/>
            <w:vAlign w:val="top"/>
          </w:tcPr>
          <w:p>
            <w:pPr>
              <w:spacing w:after="0" w:line="228" w:lineRule="auto"/>
            </w:pPr>
            <w:r>
              <w:rPr>
                <w:rFonts w:ascii="Aptos" w:hAnsi="Aptos"/>
                <w:b w:val="0"/>
                <w:color w:val="3C4650"/>
                <w:sz w:val="13"/>
              </w:rPr>
              <w:t>XREF-003; XREF-008</w:t>
            </w:r>
          </w:p>
        </w:tc>
        <w:tc>
          <w:tcPr>
            <w:tcW w:type="dxa" w:w="3196"/>
            <w:tcMar>
              <w:top w:w="50" w:type="dxa"/>
              <w:start w:w="55" w:type="dxa"/>
              <w:bottom w:w="50" w:type="dxa"/>
              <w:end w:w="55" w:type="dxa"/>
            </w:tcMar>
            <w:shd w:fill="FFFFFF"/>
            <w:vAlign w:val="top"/>
          </w:tcPr>
          <w:p>
            <w:pPr>
              <w:spacing w:after="0" w:line="228" w:lineRule="auto"/>
            </w:pPr>
            <w:r>
              <w:rPr>
                <w:rFonts w:ascii="Aptos" w:hAnsi="Aptos"/>
                <w:b w:val="0"/>
                <w:color w:val="3C4650"/>
                <w:sz w:val="13"/>
              </w:rPr>
              <w:t>XREF-005–007; XREF-009, XREF-010; XREF-115; XREF-120</w:t>
            </w:r>
          </w:p>
        </w:tc>
      </w:tr>
      <w:tr>
        <w:tc>
          <w:tcPr>
            <w:tcW w:type="dxa" w:w="4320"/>
            <w:tcMar>
              <w:top w:w="50" w:type="dxa"/>
              <w:start w:w="55" w:type="dxa"/>
              <w:bottom w:w="50" w:type="dxa"/>
              <w:end w:w="55" w:type="dxa"/>
            </w:tcMar>
            <w:shd w:fill="EEF4F8"/>
            <w:vAlign w:val="top"/>
          </w:tcPr>
          <w:p>
            <w:pPr>
              <w:spacing w:after="0" w:line="228" w:lineRule="auto"/>
            </w:pPr>
            <w:r>
              <w:rPr>
                <w:rFonts w:ascii="Aptos" w:hAnsi="Aptos"/>
                <w:b/>
                <w:color w:val="0B2748"/>
                <w:sz w:val="13"/>
              </w:rPr>
              <w:t>Cross-Canon Reference Normalization Register</w:t>
            </w:r>
          </w:p>
        </w:tc>
        <w:tc>
          <w:tcPr>
            <w:tcW w:type="dxa" w:w="2563"/>
            <w:tcMar>
              <w:top w:w="50" w:type="dxa"/>
              <w:start w:w="55" w:type="dxa"/>
              <w:bottom w:w="50" w:type="dxa"/>
              <w:end w:w="55" w:type="dxa"/>
            </w:tcMar>
            <w:shd w:fill="EEF4F8"/>
            <w:vAlign w:val="top"/>
          </w:tcPr>
          <w:p>
            <w:pPr>
              <w:spacing w:after="0" w:line="228" w:lineRule="auto"/>
            </w:pPr>
            <w:r>
              <w:rPr>
                <w:rFonts w:ascii="Aptos" w:hAnsi="Aptos"/>
                <w:b w:val="0"/>
                <w:color w:val="3C4650"/>
                <w:sz w:val="13"/>
              </w:rPr>
              <w:t>XREF-006</w:t>
            </w:r>
          </w:p>
        </w:tc>
        <w:tc>
          <w:tcPr>
            <w:tcW w:type="dxa" w:w="3196"/>
            <w:tcMar>
              <w:top w:w="50" w:type="dxa"/>
              <w:start w:w="55" w:type="dxa"/>
              <w:bottom w:w="50" w:type="dxa"/>
              <w:end w:w="55" w:type="dxa"/>
            </w:tcMar>
            <w:shd w:fill="EEF4F8"/>
            <w:vAlign w:val="top"/>
          </w:tcPr>
          <w:p>
            <w:pPr>
              <w:spacing w:after="0" w:line="228" w:lineRule="auto"/>
            </w:pPr>
            <w:r>
              <w:rPr>
                <w:rFonts w:ascii="Aptos" w:hAnsi="Aptos"/>
                <w:b w:val="0"/>
                <w:color w:val="3C4650"/>
                <w:sz w:val="13"/>
              </w:rPr>
              <w:t>XREF-004; XREF-008; XREF-120</w:t>
            </w:r>
          </w:p>
        </w:tc>
      </w:tr>
      <w:tr>
        <w:tc>
          <w:tcPr>
            <w:tcW w:type="dxa" w:w="4320"/>
            <w:tcMar>
              <w:top w:w="50" w:type="dxa"/>
              <w:start w:w="55" w:type="dxa"/>
              <w:bottom w:w="50" w:type="dxa"/>
              <w:end w:w="55" w:type="dxa"/>
            </w:tcMar>
            <w:shd w:fill="FFFFFF"/>
            <w:vAlign w:val="top"/>
          </w:tcPr>
          <w:p>
            <w:pPr>
              <w:spacing w:after="0" w:line="228" w:lineRule="auto"/>
            </w:pPr>
            <w:r>
              <w:rPr>
                <w:rFonts w:ascii="Aptos" w:hAnsi="Aptos"/>
                <w:b/>
                <w:color w:val="0B2748"/>
                <w:sz w:val="13"/>
              </w:rPr>
              <w:t>Founder Decision Register and Adoption Evidence</w:t>
            </w:r>
          </w:p>
        </w:tc>
        <w:tc>
          <w:tcPr>
            <w:tcW w:type="dxa" w:w="2563"/>
            <w:tcMar>
              <w:top w:w="50" w:type="dxa"/>
              <w:start w:w="55" w:type="dxa"/>
              <w:bottom w:w="50" w:type="dxa"/>
              <w:end w:w="55" w:type="dxa"/>
            </w:tcMar>
            <w:shd w:fill="FFFFFF"/>
            <w:vAlign w:val="top"/>
          </w:tcPr>
          <w:p>
            <w:pPr>
              <w:spacing w:after="0" w:line="228" w:lineRule="auto"/>
            </w:pPr>
            <w:r>
              <w:rPr>
                <w:rFonts w:ascii="Aptos" w:hAnsi="Aptos"/>
                <w:b w:val="0"/>
                <w:color w:val="3C4650"/>
                <w:sz w:val="13"/>
              </w:rPr>
              <w:t>XREF-007; XREF-115–117</w:t>
            </w:r>
          </w:p>
        </w:tc>
        <w:tc>
          <w:tcPr>
            <w:tcW w:type="dxa" w:w="3196"/>
            <w:tcMar>
              <w:top w:w="50" w:type="dxa"/>
              <w:start w:w="55" w:type="dxa"/>
              <w:bottom w:w="50" w:type="dxa"/>
              <w:end w:w="55" w:type="dxa"/>
            </w:tcMar>
            <w:shd w:fill="FFFFFF"/>
            <w:vAlign w:val="top"/>
          </w:tcPr>
          <w:p>
            <w:pPr>
              <w:spacing w:after="0" w:line="228" w:lineRule="auto"/>
            </w:pPr>
            <w:r>
              <w:rPr>
                <w:rFonts w:ascii="Aptos" w:hAnsi="Aptos"/>
                <w:b w:val="0"/>
                <w:color w:val="3C4650"/>
                <w:sz w:val="13"/>
              </w:rPr>
              <w:t>XREF-003; XREF-008; XREF-120</w:t>
            </w:r>
          </w:p>
        </w:tc>
      </w:tr>
      <w:tr>
        <w:tc>
          <w:tcPr>
            <w:tcW w:type="dxa" w:w="4320"/>
            <w:tcMar>
              <w:top w:w="50" w:type="dxa"/>
              <w:start w:w="55" w:type="dxa"/>
              <w:bottom w:w="50" w:type="dxa"/>
              <w:end w:w="55" w:type="dxa"/>
            </w:tcMar>
            <w:shd w:fill="EEF4F8"/>
            <w:vAlign w:val="top"/>
          </w:tcPr>
          <w:p>
            <w:pPr>
              <w:spacing w:after="0" w:line="228" w:lineRule="auto"/>
            </w:pPr>
            <w:r>
              <w:rPr>
                <w:rFonts w:ascii="Aptos" w:hAnsi="Aptos"/>
                <w:b/>
                <w:color w:val="0B2748"/>
                <w:sz w:val="13"/>
              </w:rPr>
              <w:t>Master Agreement, Consent, and Authorization Model</w:t>
            </w:r>
          </w:p>
        </w:tc>
        <w:tc>
          <w:tcPr>
            <w:tcW w:type="dxa" w:w="2563"/>
            <w:tcMar>
              <w:top w:w="50" w:type="dxa"/>
              <w:start w:w="55" w:type="dxa"/>
              <w:bottom w:w="50" w:type="dxa"/>
              <w:end w:w="55" w:type="dxa"/>
            </w:tcMar>
            <w:shd w:fill="EEF4F8"/>
            <w:vAlign w:val="top"/>
          </w:tcPr>
          <w:p>
            <w:pPr>
              <w:spacing w:after="0" w:line="228" w:lineRule="auto"/>
            </w:pPr>
            <w:r>
              <w:rPr>
                <w:rFonts w:ascii="Aptos" w:hAnsi="Aptos"/>
                <w:b w:val="0"/>
                <w:color w:val="3C4650"/>
                <w:sz w:val="13"/>
              </w:rPr>
              <w:t>XREF-031, XREF-032</w:t>
            </w:r>
          </w:p>
        </w:tc>
        <w:tc>
          <w:tcPr>
            <w:tcW w:type="dxa" w:w="3196"/>
            <w:tcMar>
              <w:top w:w="50" w:type="dxa"/>
              <w:start w:w="55" w:type="dxa"/>
              <w:bottom w:w="50" w:type="dxa"/>
              <w:end w:w="55" w:type="dxa"/>
            </w:tcMar>
            <w:shd w:fill="EEF4F8"/>
            <w:vAlign w:val="top"/>
          </w:tcPr>
          <w:p>
            <w:pPr>
              <w:spacing w:after="0" w:line="228" w:lineRule="auto"/>
            </w:pPr>
            <w:r>
              <w:rPr>
                <w:rFonts w:ascii="Aptos" w:hAnsi="Aptos"/>
                <w:b w:val="0"/>
                <w:color w:val="3C4650"/>
                <w:sz w:val="13"/>
              </w:rPr>
              <w:t>XREF-015; XREF-018, XREF-019; XREF-024–026; XREF-029; XREF-033; XREF-037; XREF-039; XREF-041; XREF-043, XREF-044; XREF-058, XREF-059; XREF-061; XREF-072; XREF-085, XREF-086; XREF-101; XREF-119</w:t>
            </w:r>
          </w:p>
        </w:tc>
      </w:tr>
      <w:tr>
        <w:tc>
          <w:tcPr>
            <w:tcW w:type="dxa" w:w="4320"/>
            <w:tcMar>
              <w:top w:w="50" w:type="dxa"/>
              <w:start w:w="55" w:type="dxa"/>
              <w:bottom w:w="50" w:type="dxa"/>
              <w:end w:w="55" w:type="dxa"/>
            </w:tcMar>
            <w:shd w:fill="FFFFFF"/>
            <w:vAlign w:val="top"/>
          </w:tcPr>
          <w:p>
            <w:pPr>
              <w:spacing w:after="0" w:line="228" w:lineRule="auto"/>
            </w:pPr>
            <w:r>
              <w:rPr>
                <w:rFonts w:ascii="Aptos" w:hAnsi="Aptos"/>
                <w:b/>
                <w:color w:val="0B2748"/>
                <w:sz w:val="13"/>
              </w:rPr>
              <w:t>Master AI Governance and Decision Boundary Model</w:t>
            </w:r>
          </w:p>
        </w:tc>
        <w:tc>
          <w:tcPr>
            <w:tcW w:type="dxa" w:w="2563"/>
            <w:tcMar>
              <w:top w:w="50" w:type="dxa"/>
              <w:start w:w="55" w:type="dxa"/>
              <w:bottom w:w="50" w:type="dxa"/>
              <w:end w:w="55" w:type="dxa"/>
            </w:tcMar>
            <w:shd w:fill="FFFFFF"/>
            <w:vAlign w:val="top"/>
          </w:tcPr>
          <w:p>
            <w:pPr>
              <w:spacing w:after="0" w:line="228" w:lineRule="auto"/>
            </w:pPr>
            <w:r>
              <w:rPr>
                <w:rFonts w:ascii="Aptos" w:hAnsi="Aptos"/>
                <w:b w:val="0"/>
                <w:color w:val="3C4650"/>
                <w:sz w:val="13"/>
              </w:rPr>
              <w:t>XREF-071–076</w:t>
            </w:r>
          </w:p>
        </w:tc>
        <w:tc>
          <w:tcPr>
            <w:tcW w:type="dxa" w:w="3196"/>
            <w:tcMar>
              <w:top w:w="50" w:type="dxa"/>
              <w:start w:w="55" w:type="dxa"/>
              <w:bottom w:w="50" w:type="dxa"/>
              <w:end w:w="55" w:type="dxa"/>
            </w:tcMar>
            <w:shd w:fill="FFFFFF"/>
            <w:vAlign w:val="top"/>
          </w:tcPr>
          <w:p>
            <w:pPr>
              <w:spacing w:after="0" w:line="228" w:lineRule="auto"/>
            </w:pPr>
            <w:r>
              <w:rPr>
                <w:rFonts w:ascii="Aptos" w:hAnsi="Aptos"/>
                <w:b w:val="0"/>
                <w:color w:val="3C4650"/>
                <w:sz w:val="13"/>
              </w:rPr>
              <w:t>XREF-030; XREF-040; XREF-042; XREF-046; XREF-062; XREF-064, XREF-065; XREF-070; XREF-077; XREF-080; XREF-098; XREF-101; XREF-113</w:t>
            </w:r>
          </w:p>
        </w:tc>
      </w:tr>
      <w:tr>
        <w:tc>
          <w:tcPr>
            <w:tcW w:type="dxa" w:w="4320"/>
            <w:tcMar>
              <w:top w:w="50" w:type="dxa"/>
              <w:start w:w="55" w:type="dxa"/>
              <w:bottom w:w="50" w:type="dxa"/>
              <w:end w:w="55" w:type="dxa"/>
            </w:tcMar>
            <w:shd w:fill="EEF4F8"/>
            <w:vAlign w:val="top"/>
          </w:tcPr>
          <w:p>
            <w:pPr>
              <w:spacing w:after="0" w:line="228" w:lineRule="auto"/>
            </w:pPr>
            <w:r>
              <w:rPr>
                <w:rFonts w:ascii="Aptos" w:hAnsi="Aptos"/>
                <w:b/>
                <w:color w:val="0B2748"/>
                <w:sz w:val="13"/>
              </w:rPr>
              <w:t>Master Audit Event and Evidence Model</w:t>
            </w:r>
          </w:p>
        </w:tc>
        <w:tc>
          <w:tcPr>
            <w:tcW w:type="dxa" w:w="2563"/>
            <w:tcMar>
              <w:top w:w="50" w:type="dxa"/>
              <w:start w:w="55" w:type="dxa"/>
              <w:bottom w:w="50" w:type="dxa"/>
              <w:end w:w="55" w:type="dxa"/>
            </w:tcMar>
            <w:shd w:fill="EEF4F8"/>
            <w:vAlign w:val="top"/>
          </w:tcPr>
          <w:p>
            <w:pPr>
              <w:spacing w:after="0" w:line="228" w:lineRule="auto"/>
            </w:pPr>
            <w:r>
              <w:rPr>
                <w:rFonts w:ascii="Aptos" w:hAnsi="Aptos"/>
                <w:b w:val="0"/>
                <w:color w:val="3C4650"/>
                <w:sz w:val="13"/>
              </w:rPr>
              <w:t>XREF-056</w:t>
            </w:r>
          </w:p>
        </w:tc>
        <w:tc>
          <w:tcPr>
            <w:tcW w:type="dxa" w:w="3196"/>
            <w:tcMar>
              <w:top w:w="50" w:type="dxa"/>
              <w:start w:w="55" w:type="dxa"/>
              <w:bottom w:w="50" w:type="dxa"/>
              <w:end w:w="55" w:type="dxa"/>
            </w:tcMar>
            <w:shd w:fill="EEF4F8"/>
            <w:vAlign w:val="top"/>
          </w:tcPr>
          <w:p>
            <w:pPr>
              <w:spacing w:after="0" w:line="228" w:lineRule="auto"/>
            </w:pPr>
            <w:r>
              <w:rPr>
                <w:rFonts w:ascii="Aptos" w:hAnsi="Aptos"/>
                <w:b w:val="0"/>
                <w:color w:val="3C4650"/>
                <w:sz w:val="13"/>
              </w:rPr>
              <w:t>XREF-011, XREF-012; XREF-017, XREF-018; XREF-021–023; XREF-025, XREF-026; XREF-028; XREF-030–033; XREF-036–040; XREF-044; XREF-047; XREF-049; XREF-051–055; XREF-057; XREF-060; XREF-063; XREF-066, XREF-067; XREF-073; XREF-076; XREF-078; XREF-081; XREF-085–087; XREF-092; XREF-094; XREF-103–107; XREF-109; XREF-111, XREF-112; XREF-114</w:t>
            </w:r>
          </w:p>
        </w:tc>
      </w:tr>
      <w:tr>
        <w:tc>
          <w:tcPr>
            <w:tcW w:type="dxa" w:w="4320"/>
            <w:tcMar>
              <w:top w:w="50" w:type="dxa"/>
              <w:start w:w="55" w:type="dxa"/>
              <w:bottom w:w="50" w:type="dxa"/>
              <w:end w:w="55" w:type="dxa"/>
            </w:tcMar>
            <w:shd w:fill="FFFFFF"/>
            <w:vAlign w:val="top"/>
          </w:tcPr>
          <w:p>
            <w:pPr>
              <w:spacing w:after="0" w:line="228" w:lineRule="auto"/>
            </w:pPr>
            <w:r>
              <w:rPr>
                <w:rFonts w:ascii="Aptos" w:hAnsi="Aptos"/>
                <w:b/>
                <w:color w:val="0B2748"/>
                <w:sz w:val="13"/>
              </w:rPr>
              <w:t>Master Barn Lifecycle and Operations Canon</w:t>
            </w:r>
          </w:p>
        </w:tc>
        <w:tc>
          <w:tcPr>
            <w:tcW w:type="dxa" w:w="2563"/>
            <w:tcMar>
              <w:top w:w="50" w:type="dxa"/>
              <w:start w:w="55" w:type="dxa"/>
              <w:bottom w:w="50" w:type="dxa"/>
              <w:end w:w="55" w:type="dxa"/>
            </w:tcMar>
            <w:shd w:fill="FFFFFF"/>
            <w:vAlign w:val="top"/>
          </w:tcPr>
          <w:p>
            <w:pPr>
              <w:spacing w:after="0" w:line="228" w:lineRule="auto"/>
            </w:pPr>
            <w:r>
              <w:rPr>
                <w:rFonts w:ascii="Aptos" w:hAnsi="Aptos"/>
                <w:b w:val="0"/>
                <w:color w:val="3C4650"/>
                <w:sz w:val="13"/>
              </w:rPr>
              <w:t>XREF-014; XREF-017</w:t>
            </w:r>
          </w:p>
        </w:tc>
        <w:tc>
          <w:tcPr>
            <w:tcW w:type="dxa" w:w="3196"/>
            <w:tcMar>
              <w:top w:w="50" w:type="dxa"/>
              <w:start w:w="55" w:type="dxa"/>
              <w:bottom w:w="50" w:type="dxa"/>
              <w:end w:w="55" w:type="dxa"/>
            </w:tcMar>
            <w:shd w:fill="FFFFFF"/>
            <w:vAlign w:val="top"/>
          </w:tcPr>
          <w:p>
            <w:pPr>
              <w:spacing w:after="0" w:line="228" w:lineRule="auto"/>
            </w:pPr>
            <w:r>
              <w:rPr>
                <w:rFonts w:ascii="Aptos" w:hAnsi="Aptos"/>
                <w:b w:val="0"/>
                <w:color w:val="3C4650"/>
                <w:sz w:val="13"/>
              </w:rPr>
              <w:t>XREF-013; XREF-020; XREF-079; XREF-100</w:t>
            </w:r>
          </w:p>
        </w:tc>
      </w:tr>
      <w:tr>
        <w:tc>
          <w:tcPr>
            <w:tcW w:type="dxa" w:w="4320"/>
            <w:tcMar>
              <w:top w:w="50" w:type="dxa"/>
              <w:start w:w="55" w:type="dxa"/>
              <w:bottom w:w="50" w:type="dxa"/>
              <w:end w:w="55" w:type="dxa"/>
            </w:tcMar>
            <w:shd w:fill="EEF4F8"/>
            <w:vAlign w:val="top"/>
          </w:tcPr>
          <w:p>
            <w:pPr>
              <w:spacing w:after="0" w:line="228" w:lineRule="auto"/>
            </w:pPr>
            <w:r>
              <w:rPr>
                <w:rFonts w:ascii="Aptos" w:hAnsi="Aptos"/>
                <w:b/>
                <w:color w:val="0B2748"/>
                <w:sz w:val="13"/>
              </w:rPr>
              <w:t>Master Business Lifecycle Model</w:t>
            </w:r>
          </w:p>
        </w:tc>
        <w:tc>
          <w:tcPr>
            <w:tcW w:type="dxa" w:w="2563"/>
            <w:tcMar>
              <w:top w:w="50" w:type="dxa"/>
              <w:start w:w="55" w:type="dxa"/>
              <w:bottom w:w="50" w:type="dxa"/>
              <w:end w:w="55" w:type="dxa"/>
            </w:tcMar>
            <w:shd w:fill="EEF4F8"/>
            <w:vAlign w:val="top"/>
          </w:tcPr>
          <w:p>
            <w:pPr>
              <w:spacing w:after="0" w:line="228" w:lineRule="auto"/>
            </w:pPr>
            <w:r>
              <w:rPr>
                <w:rFonts w:ascii="Aptos" w:hAnsi="Aptos"/>
                <w:b w:val="0"/>
                <w:color w:val="3C4650"/>
                <w:sz w:val="13"/>
              </w:rPr>
              <w:t>XREF-015</w:t>
            </w:r>
          </w:p>
        </w:tc>
        <w:tc>
          <w:tcPr>
            <w:tcW w:type="dxa" w:w="3196"/>
            <w:tcMar>
              <w:top w:w="50" w:type="dxa"/>
              <w:start w:w="55" w:type="dxa"/>
              <w:bottom w:w="50" w:type="dxa"/>
              <w:end w:w="55" w:type="dxa"/>
            </w:tcMar>
            <w:shd w:fill="EEF4F8"/>
            <w:vAlign w:val="top"/>
          </w:tcPr>
          <w:p>
            <w:pPr>
              <w:spacing w:after="0" w:line="228" w:lineRule="auto"/>
            </w:pPr>
            <w:r>
              <w:rPr>
                <w:rFonts w:ascii="Aptos" w:hAnsi="Aptos"/>
                <w:b w:val="0"/>
                <w:color w:val="3C4650"/>
                <w:sz w:val="13"/>
              </w:rPr>
              <w:t>—</w:t>
            </w:r>
          </w:p>
        </w:tc>
      </w:tr>
      <w:tr>
        <w:tc>
          <w:tcPr>
            <w:tcW w:type="dxa" w:w="4320"/>
            <w:tcMar>
              <w:top w:w="50" w:type="dxa"/>
              <w:start w:w="55" w:type="dxa"/>
              <w:bottom w:w="50" w:type="dxa"/>
              <w:end w:w="55" w:type="dxa"/>
            </w:tcMar>
            <w:shd w:fill="FFFFFF"/>
            <w:vAlign w:val="top"/>
          </w:tcPr>
          <w:p>
            <w:pPr>
              <w:spacing w:after="0" w:line="228" w:lineRule="auto"/>
            </w:pPr>
            <w:r>
              <w:rPr>
                <w:rFonts w:ascii="Aptos" w:hAnsi="Aptos"/>
                <w:b/>
                <w:color w:val="0B2748"/>
                <w:sz w:val="13"/>
              </w:rPr>
              <w:t>Master Claims, Disputes, and Authority Model</w:t>
            </w:r>
          </w:p>
        </w:tc>
        <w:tc>
          <w:tcPr>
            <w:tcW w:type="dxa" w:w="2563"/>
            <w:tcMar>
              <w:top w:w="50" w:type="dxa"/>
              <w:start w:w="55" w:type="dxa"/>
              <w:bottom w:w="50" w:type="dxa"/>
              <w:end w:w="55" w:type="dxa"/>
            </w:tcMar>
            <w:shd w:fill="FFFFFF"/>
            <w:vAlign w:val="top"/>
          </w:tcPr>
          <w:p>
            <w:pPr>
              <w:spacing w:after="0" w:line="228" w:lineRule="auto"/>
            </w:pPr>
            <w:r>
              <w:rPr>
                <w:rFonts w:ascii="Aptos" w:hAnsi="Aptos"/>
                <w:b w:val="0"/>
                <w:color w:val="3C4650"/>
                <w:sz w:val="13"/>
              </w:rPr>
              <w:t>XREF-039; XREF-055</w:t>
            </w:r>
          </w:p>
        </w:tc>
        <w:tc>
          <w:tcPr>
            <w:tcW w:type="dxa" w:w="3196"/>
            <w:tcMar>
              <w:top w:w="50" w:type="dxa"/>
              <w:start w:w="55" w:type="dxa"/>
              <w:bottom w:w="50" w:type="dxa"/>
              <w:end w:w="55" w:type="dxa"/>
            </w:tcMar>
            <w:shd w:fill="FFFFFF"/>
            <w:vAlign w:val="top"/>
          </w:tcPr>
          <w:p>
            <w:pPr>
              <w:spacing w:after="0" w:line="228" w:lineRule="auto"/>
            </w:pPr>
            <w:r>
              <w:rPr>
                <w:rFonts w:ascii="Aptos" w:hAnsi="Aptos"/>
                <w:b w:val="0"/>
                <w:color w:val="3C4650"/>
                <w:sz w:val="13"/>
              </w:rPr>
              <w:t>XREF-012; XREF-030; XREF-051; XREF-053, XREF-054; XREF-058; XREF-061; XREF-070; XREF-073; XREF-078; XREF-081; XREF-083; XREF-090</w:t>
            </w:r>
          </w:p>
        </w:tc>
      </w:tr>
      <w:tr>
        <w:tc>
          <w:tcPr>
            <w:tcW w:type="dxa" w:w="4320"/>
            <w:tcMar>
              <w:top w:w="50" w:type="dxa"/>
              <w:start w:w="55" w:type="dxa"/>
              <w:bottom w:w="50" w:type="dxa"/>
              <w:end w:w="55" w:type="dxa"/>
            </w:tcMar>
            <w:shd w:fill="EEF4F8"/>
            <w:vAlign w:val="top"/>
          </w:tcPr>
          <w:p>
            <w:pPr>
              <w:spacing w:after="0" w:line="228" w:lineRule="auto"/>
            </w:pPr>
            <w:r>
              <w:rPr>
                <w:rFonts w:ascii="Aptos" w:hAnsi="Aptos"/>
                <w:b/>
                <w:color w:val="0B2748"/>
                <w:sz w:val="13"/>
              </w:rPr>
              <w:t>Master Communication, Notification, and Notice Model</w:t>
            </w:r>
          </w:p>
        </w:tc>
        <w:tc>
          <w:tcPr>
            <w:tcW w:type="dxa" w:w="2563"/>
            <w:tcMar>
              <w:top w:w="50" w:type="dxa"/>
              <w:start w:w="55" w:type="dxa"/>
              <w:bottom w:w="50" w:type="dxa"/>
              <w:end w:w="55" w:type="dxa"/>
            </w:tcMar>
            <w:shd w:fill="EEF4F8"/>
            <w:vAlign w:val="top"/>
          </w:tcPr>
          <w:p>
            <w:pPr>
              <w:spacing w:after="0" w:line="228" w:lineRule="auto"/>
            </w:pPr>
            <w:r>
              <w:rPr>
                <w:rFonts w:ascii="Aptos" w:hAnsi="Aptos"/>
                <w:b w:val="0"/>
                <w:color w:val="3C4650"/>
                <w:sz w:val="13"/>
              </w:rPr>
              <w:t>XREF-057–059</w:t>
            </w:r>
          </w:p>
        </w:tc>
        <w:tc>
          <w:tcPr>
            <w:tcW w:type="dxa" w:w="3196"/>
            <w:tcMar>
              <w:top w:w="50" w:type="dxa"/>
              <w:start w:w="55" w:type="dxa"/>
              <w:bottom w:w="50" w:type="dxa"/>
              <w:end w:w="55" w:type="dxa"/>
            </w:tcMar>
            <w:shd w:fill="EEF4F8"/>
            <w:vAlign w:val="top"/>
          </w:tcPr>
          <w:p>
            <w:pPr>
              <w:spacing w:after="0" w:line="228" w:lineRule="auto"/>
            </w:pPr>
            <w:r>
              <w:rPr>
                <w:rFonts w:ascii="Aptos" w:hAnsi="Aptos"/>
                <w:b w:val="0"/>
                <w:color w:val="3C4650"/>
                <w:sz w:val="13"/>
              </w:rPr>
              <w:t>XREF-014; XREF-016, XREF-017; XREF-029, XREF-030; XREF-032; XREF-037; XREF-039; XREF-049; XREF-055; XREF-061; XREF-068; XREF-081; XREF-086; XREF-090; XREF-099; XREF-101; XREF-108, XREF-109; XREF-111; XREF-117; XREF-119</w:t>
            </w:r>
          </w:p>
        </w:tc>
      </w:tr>
      <w:tr>
        <w:tc>
          <w:tcPr>
            <w:tcW w:type="dxa" w:w="4320"/>
            <w:tcMar>
              <w:top w:w="50" w:type="dxa"/>
              <w:start w:w="55" w:type="dxa"/>
              <w:bottom w:w="50" w:type="dxa"/>
              <w:end w:w="55" w:type="dxa"/>
            </w:tcMar>
            <w:shd w:fill="FFFFFF"/>
            <w:vAlign w:val="top"/>
          </w:tcPr>
          <w:p>
            <w:pPr>
              <w:spacing w:after="0" w:line="228" w:lineRule="auto"/>
            </w:pPr>
            <w:r>
              <w:rPr>
                <w:rFonts w:ascii="Aptos" w:hAnsi="Aptos"/>
                <w:b/>
                <w:color w:val="0B2748"/>
                <w:sz w:val="13"/>
              </w:rPr>
              <w:t>Master Configuration and Feature Flag Governance Model</w:t>
            </w:r>
          </w:p>
        </w:tc>
        <w:tc>
          <w:tcPr>
            <w:tcW w:type="dxa" w:w="2563"/>
            <w:tcMar>
              <w:top w:w="50" w:type="dxa"/>
              <w:start w:w="55" w:type="dxa"/>
              <w:bottom w:w="50" w:type="dxa"/>
              <w:end w:w="55" w:type="dxa"/>
            </w:tcMar>
            <w:shd w:fill="FFFFFF"/>
            <w:vAlign w:val="top"/>
          </w:tcPr>
          <w:p>
            <w:pPr>
              <w:spacing w:after="0" w:line="228" w:lineRule="auto"/>
            </w:pPr>
            <w:r>
              <w:rPr>
                <w:rFonts w:ascii="Aptos" w:hAnsi="Aptos"/>
                <w:b w:val="0"/>
                <w:color w:val="3C4650"/>
                <w:sz w:val="13"/>
              </w:rPr>
              <w:t>XREF-104</w:t>
            </w:r>
          </w:p>
        </w:tc>
        <w:tc>
          <w:tcPr>
            <w:tcW w:type="dxa" w:w="3196"/>
            <w:tcMar>
              <w:top w:w="50" w:type="dxa"/>
              <w:start w:w="55" w:type="dxa"/>
              <w:bottom w:w="50" w:type="dxa"/>
              <w:end w:w="55" w:type="dxa"/>
            </w:tcMar>
            <w:shd w:fill="FFFFFF"/>
            <w:vAlign w:val="top"/>
          </w:tcPr>
          <w:p>
            <w:pPr>
              <w:spacing w:after="0" w:line="228" w:lineRule="auto"/>
            </w:pPr>
            <w:r>
              <w:rPr>
                <w:rFonts w:ascii="Aptos" w:hAnsi="Aptos"/>
                <w:b w:val="0"/>
                <w:color w:val="3C4650"/>
                <w:sz w:val="13"/>
              </w:rPr>
              <w:t>XREF-103; XREF-106</w:t>
            </w:r>
          </w:p>
        </w:tc>
      </w:tr>
      <w:tr>
        <w:tc>
          <w:tcPr>
            <w:tcW w:type="dxa" w:w="4320"/>
            <w:tcMar>
              <w:top w:w="50" w:type="dxa"/>
              <w:start w:w="55" w:type="dxa"/>
              <w:bottom w:w="50" w:type="dxa"/>
              <w:end w:w="55" w:type="dxa"/>
            </w:tcMar>
            <w:shd w:fill="EEF4F8"/>
            <w:vAlign w:val="top"/>
          </w:tcPr>
          <w:p>
            <w:pPr>
              <w:spacing w:after="0" w:line="228" w:lineRule="auto"/>
            </w:pPr>
            <w:r>
              <w:rPr>
                <w:rFonts w:ascii="Aptos" w:hAnsi="Aptos"/>
                <w:b/>
                <w:color w:val="0B2748"/>
                <w:sz w:val="13"/>
              </w:rPr>
              <w:t>Master Data Protection, Encryption, and Key Management Model</w:t>
            </w:r>
          </w:p>
        </w:tc>
        <w:tc>
          <w:tcPr>
            <w:tcW w:type="dxa" w:w="2563"/>
            <w:tcMar>
              <w:top w:w="50" w:type="dxa"/>
              <w:start w:w="55" w:type="dxa"/>
              <w:bottom w:w="50" w:type="dxa"/>
              <w:end w:w="55" w:type="dxa"/>
            </w:tcMar>
            <w:shd w:fill="EEF4F8"/>
            <w:vAlign w:val="top"/>
          </w:tcPr>
          <w:p>
            <w:pPr>
              <w:spacing w:after="0" w:line="228" w:lineRule="auto"/>
            </w:pPr>
            <w:r>
              <w:rPr>
                <w:rFonts w:ascii="Aptos" w:hAnsi="Aptos"/>
                <w:b w:val="0"/>
                <w:color w:val="3C4650"/>
                <w:sz w:val="13"/>
              </w:rPr>
              <w:t>XREF-048</w:t>
            </w:r>
          </w:p>
        </w:tc>
        <w:tc>
          <w:tcPr>
            <w:tcW w:type="dxa" w:w="3196"/>
            <w:tcMar>
              <w:top w:w="50" w:type="dxa"/>
              <w:start w:w="55" w:type="dxa"/>
              <w:bottom w:w="50" w:type="dxa"/>
              <w:end w:w="55" w:type="dxa"/>
            </w:tcMar>
            <w:shd w:fill="EEF4F8"/>
            <w:vAlign w:val="top"/>
          </w:tcPr>
          <w:p>
            <w:pPr>
              <w:spacing w:after="0" w:line="228" w:lineRule="auto"/>
            </w:pPr>
            <w:r>
              <w:rPr>
                <w:rFonts w:ascii="Aptos" w:hAnsi="Aptos"/>
                <w:b w:val="0"/>
                <w:color w:val="3C4650"/>
                <w:sz w:val="13"/>
              </w:rPr>
              <w:t>XREF-022; XREF-047; XREF-067; XREF-097, XREF-098; XREF-108; XREF-110</w:t>
            </w:r>
          </w:p>
        </w:tc>
      </w:tr>
      <w:tr>
        <w:tc>
          <w:tcPr>
            <w:tcW w:type="dxa" w:w="4320"/>
            <w:tcMar>
              <w:top w:w="50" w:type="dxa"/>
              <w:start w:w="55" w:type="dxa"/>
              <w:bottom w:w="50" w:type="dxa"/>
              <w:end w:w="55" w:type="dxa"/>
            </w:tcMar>
            <w:shd w:fill="FFFFFF"/>
            <w:vAlign w:val="top"/>
          </w:tcPr>
          <w:p>
            <w:pPr>
              <w:spacing w:after="0" w:line="228" w:lineRule="auto"/>
            </w:pPr>
            <w:r>
              <w:rPr>
                <w:rFonts w:ascii="Aptos" w:hAnsi="Aptos"/>
                <w:b/>
                <w:color w:val="0B2748"/>
                <w:sz w:val="13"/>
              </w:rPr>
              <w:t>Master Developer, Platform, and Integration Governance Model</w:t>
            </w:r>
          </w:p>
        </w:tc>
        <w:tc>
          <w:tcPr>
            <w:tcW w:type="dxa" w:w="2563"/>
            <w:tcMar>
              <w:top w:w="50" w:type="dxa"/>
              <w:start w:w="55" w:type="dxa"/>
              <w:bottom w:w="50" w:type="dxa"/>
              <w:end w:w="55" w:type="dxa"/>
            </w:tcMar>
            <w:shd w:fill="FFFFFF"/>
            <w:vAlign w:val="top"/>
          </w:tcPr>
          <w:p>
            <w:pPr>
              <w:spacing w:after="0" w:line="228" w:lineRule="auto"/>
            </w:pPr>
            <w:r>
              <w:rPr>
                <w:rFonts w:ascii="Aptos" w:hAnsi="Aptos"/>
                <w:b w:val="0"/>
                <w:color w:val="3C4650"/>
                <w:sz w:val="13"/>
              </w:rPr>
              <w:t>XREF-092, XREF-093; XREF-100</w:t>
            </w:r>
          </w:p>
        </w:tc>
        <w:tc>
          <w:tcPr>
            <w:tcW w:type="dxa" w:w="3196"/>
            <w:tcMar>
              <w:top w:w="50" w:type="dxa"/>
              <w:start w:w="55" w:type="dxa"/>
              <w:bottom w:w="50" w:type="dxa"/>
              <w:end w:w="55" w:type="dxa"/>
            </w:tcMar>
            <w:shd w:fill="FFFFFF"/>
            <w:vAlign w:val="top"/>
          </w:tcPr>
          <w:p>
            <w:pPr>
              <w:spacing w:after="0" w:line="228" w:lineRule="auto"/>
            </w:pPr>
            <w:r>
              <w:rPr>
                <w:rFonts w:ascii="Aptos" w:hAnsi="Aptos"/>
                <w:b w:val="0"/>
                <w:color w:val="3C4650"/>
                <w:sz w:val="13"/>
              </w:rPr>
              <w:t>XREF-023; XREF-046; XREF-050; XREF-091; XREF-094, XREF-095; XREF-099; XREF-102; XREF-113</w:t>
            </w:r>
          </w:p>
        </w:tc>
      </w:tr>
      <w:tr>
        <w:tc>
          <w:tcPr>
            <w:tcW w:type="dxa" w:w="4320"/>
            <w:tcMar>
              <w:top w:w="50" w:type="dxa"/>
              <w:start w:w="55" w:type="dxa"/>
              <w:bottom w:w="50" w:type="dxa"/>
              <w:end w:w="55" w:type="dxa"/>
            </w:tcMar>
            <w:shd w:fill="EEF4F8"/>
            <w:vAlign w:val="top"/>
          </w:tcPr>
          <w:p>
            <w:pPr>
              <w:spacing w:after="0" w:line="228" w:lineRule="auto"/>
            </w:pPr>
            <w:r>
              <w:rPr>
                <w:rFonts w:ascii="Aptos" w:hAnsi="Aptos"/>
                <w:b/>
                <w:color w:val="0B2748"/>
                <w:sz w:val="13"/>
              </w:rPr>
              <w:t>Master Ecosystem Model</w:t>
            </w:r>
          </w:p>
        </w:tc>
        <w:tc>
          <w:tcPr>
            <w:tcW w:type="dxa" w:w="2563"/>
            <w:tcMar>
              <w:top w:w="50" w:type="dxa"/>
              <w:start w:w="55" w:type="dxa"/>
              <w:bottom w:w="50" w:type="dxa"/>
              <w:end w:w="55" w:type="dxa"/>
            </w:tcMar>
            <w:shd w:fill="EEF4F8"/>
            <w:vAlign w:val="top"/>
          </w:tcPr>
          <w:p>
            <w:pPr>
              <w:spacing w:after="0" w:line="228" w:lineRule="auto"/>
            </w:pPr>
            <w:r>
              <w:rPr>
                <w:rFonts w:ascii="Aptos" w:hAnsi="Aptos"/>
                <w:b w:val="0"/>
                <w:color w:val="3C4650"/>
                <w:sz w:val="13"/>
              </w:rPr>
              <w:t>XREF-002; XREF-018; XREF-020</w:t>
            </w:r>
          </w:p>
        </w:tc>
        <w:tc>
          <w:tcPr>
            <w:tcW w:type="dxa" w:w="3196"/>
            <w:tcMar>
              <w:top w:w="50" w:type="dxa"/>
              <w:start w:w="55" w:type="dxa"/>
              <w:bottom w:w="50" w:type="dxa"/>
              <w:end w:w="55" w:type="dxa"/>
            </w:tcMar>
            <w:shd w:fill="EEF4F8"/>
            <w:vAlign w:val="top"/>
          </w:tcPr>
          <w:p>
            <w:pPr>
              <w:spacing w:after="0" w:line="228" w:lineRule="auto"/>
            </w:pPr>
            <w:r>
              <w:rPr>
                <w:rFonts w:ascii="Aptos" w:hAnsi="Aptos"/>
                <w:b w:val="0"/>
                <w:color w:val="3C4650"/>
                <w:sz w:val="13"/>
              </w:rPr>
              <w:t>XREF-001; XREF-013; XREF-015</w:t>
            </w:r>
          </w:p>
        </w:tc>
      </w:tr>
      <w:tr>
        <w:tc>
          <w:tcPr>
            <w:tcW w:type="dxa" w:w="4320"/>
            <w:tcMar>
              <w:top w:w="50" w:type="dxa"/>
              <w:start w:w="55" w:type="dxa"/>
              <w:bottom w:w="50" w:type="dxa"/>
              <w:end w:w="55" w:type="dxa"/>
            </w:tcMar>
            <w:shd w:fill="FFFFFF"/>
            <w:vAlign w:val="top"/>
          </w:tcPr>
          <w:p>
            <w:pPr>
              <w:spacing w:after="0" w:line="228" w:lineRule="auto"/>
            </w:pPr>
            <w:r>
              <w:rPr>
                <w:rFonts w:ascii="Aptos" w:hAnsi="Aptos"/>
                <w:b/>
                <w:color w:val="0B2748"/>
                <w:sz w:val="13"/>
              </w:rPr>
              <w:t>Master EquineSync Implementation Atlas and Authorized RF Packages</w:t>
            </w:r>
          </w:p>
        </w:tc>
        <w:tc>
          <w:tcPr>
            <w:tcW w:type="dxa" w:w="2563"/>
            <w:tcMar>
              <w:top w:w="50" w:type="dxa"/>
              <w:start w:w="55" w:type="dxa"/>
              <w:bottom w:w="50" w:type="dxa"/>
              <w:end w:w="55" w:type="dxa"/>
            </w:tcMar>
            <w:shd w:fill="FFFFFF"/>
            <w:vAlign w:val="top"/>
          </w:tcPr>
          <w:p>
            <w:pPr>
              <w:spacing w:after="0" w:line="228" w:lineRule="auto"/>
            </w:pPr>
            <w:r>
              <w:rPr>
                <w:rFonts w:ascii="Aptos" w:hAnsi="Aptos"/>
                <w:b w:val="0"/>
                <w:color w:val="3C4650"/>
                <w:sz w:val="13"/>
              </w:rPr>
              <w:t>XREF-010</w:t>
            </w:r>
          </w:p>
        </w:tc>
        <w:tc>
          <w:tcPr>
            <w:tcW w:type="dxa" w:w="3196"/>
            <w:tcMar>
              <w:top w:w="50" w:type="dxa"/>
              <w:start w:w="55" w:type="dxa"/>
              <w:bottom w:w="50" w:type="dxa"/>
              <w:end w:w="55" w:type="dxa"/>
            </w:tcMar>
            <w:shd w:fill="FFFFFF"/>
            <w:vAlign w:val="top"/>
          </w:tcPr>
          <w:p>
            <w:pPr>
              <w:spacing w:after="0" w:line="228" w:lineRule="auto"/>
            </w:pPr>
            <w:r>
              <w:rPr>
                <w:rFonts w:ascii="Aptos" w:hAnsi="Aptos"/>
                <w:b w:val="0"/>
                <w:color w:val="3C4650"/>
                <w:sz w:val="13"/>
              </w:rPr>
              <w:t>XREF-071; XREF-103; XREF-105, XREF-106; XREF-114, XREF-115; XREF-118</w:t>
            </w:r>
          </w:p>
        </w:tc>
      </w:tr>
      <w:tr>
        <w:tc>
          <w:tcPr>
            <w:tcW w:type="dxa" w:w="4320"/>
            <w:tcMar>
              <w:top w:w="50" w:type="dxa"/>
              <w:start w:w="55" w:type="dxa"/>
              <w:bottom w:w="50" w:type="dxa"/>
              <w:end w:w="55" w:type="dxa"/>
            </w:tcMar>
            <w:shd w:fill="EEF4F8"/>
            <w:vAlign w:val="top"/>
          </w:tcPr>
          <w:p>
            <w:pPr>
              <w:spacing w:after="0" w:line="228" w:lineRule="auto"/>
            </w:pPr>
            <w:r>
              <w:rPr>
                <w:rFonts w:ascii="Aptos" w:hAnsi="Aptos"/>
                <w:b/>
                <w:color w:val="0B2748"/>
                <w:sz w:val="13"/>
              </w:rPr>
              <w:t>Master External Architecture and Adapter Model</w:t>
            </w:r>
          </w:p>
        </w:tc>
        <w:tc>
          <w:tcPr>
            <w:tcW w:type="dxa" w:w="2563"/>
            <w:tcMar>
              <w:top w:w="50" w:type="dxa"/>
              <w:start w:w="55" w:type="dxa"/>
              <w:bottom w:w="50" w:type="dxa"/>
              <w:end w:w="55" w:type="dxa"/>
            </w:tcMar>
            <w:shd w:fill="EEF4F8"/>
            <w:vAlign w:val="top"/>
          </w:tcPr>
          <w:p>
            <w:pPr>
              <w:spacing w:after="0" w:line="228" w:lineRule="auto"/>
            </w:pPr>
            <w:r>
              <w:rPr>
                <w:rFonts w:ascii="Aptos" w:hAnsi="Aptos"/>
                <w:b w:val="0"/>
                <w:color w:val="3C4650"/>
                <w:sz w:val="13"/>
              </w:rPr>
              <w:t>XREF-091; XREF-098; XREF-101</w:t>
            </w:r>
          </w:p>
        </w:tc>
        <w:tc>
          <w:tcPr>
            <w:tcW w:type="dxa" w:w="3196"/>
            <w:tcMar>
              <w:top w:w="50" w:type="dxa"/>
              <w:start w:w="55" w:type="dxa"/>
              <w:bottom w:w="50" w:type="dxa"/>
              <w:end w:w="55" w:type="dxa"/>
            </w:tcMar>
            <w:shd w:fill="EEF4F8"/>
            <w:vAlign w:val="top"/>
          </w:tcPr>
          <w:p>
            <w:pPr>
              <w:spacing w:after="0" w:line="228" w:lineRule="auto"/>
            </w:pPr>
            <w:r>
              <w:rPr>
                <w:rFonts w:ascii="Aptos" w:hAnsi="Aptos"/>
                <w:b w:val="0"/>
                <w:color w:val="3C4650"/>
                <w:sz w:val="13"/>
              </w:rPr>
              <w:t>XREF-043; XREF-050; XREF-087–089; XREF-092; XREF-094; XREF-096, XREF-097; XREF-099; XREF-102; XREF-119</w:t>
            </w:r>
          </w:p>
        </w:tc>
      </w:tr>
      <w:tr>
        <w:tc>
          <w:tcPr>
            <w:tcW w:type="dxa" w:w="4320"/>
            <w:tcMar>
              <w:top w:w="50" w:type="dxa"/>
              <w:start w:w="55" w:type="dxa"/>
              <w:bottom w:w="50" w:type="dxa"/>
              <w:end w:w="55" w:type="dxa"/>
            </w:tcMar>
            <w:shd w:fill="FFFFFF"/>
            <w:vAlign w:val="top"/>
          </w:tcPr>
          <w:p>
            <w:pPr>
              <w:spacing w:after="0" w:line="228" w:lineRule="auto"/>
            </w:pPr>
            <w:r>
              <w:rPr>
                <w:rFonts w:ascii="Aptos" w:hAnsi="Aptos"/>
                <w:b/>
                <w:color w:val="0B2748"/>
                <w:sz w:val="13"/>
              </w:rPr>
              <w:t>Master Facility Domain Model</w:t>
            </w:r>
          </w:p>
        </w:tc>
        <w:tc>
          <w:tcPr>
            <w:tcW w:type="dxa" w:w="2563"/>
            <w:tcMar>
              <w:top w:w="50" w:type="dxa"/>
              <w:start w:w="55" w:type="dxa"/>
              <w:bottom w:w="50" w:type="dxa"/>
              <w:end w:w="55" w:type="dxa"/>
            </w:tcMar>
            <w:shd w:fill="FFFFFF"/>
            <w:vAlign w:val="top"/>
          </w:tcPr>
          <w:p>
            <w:pPr>
              <w:spacing w:after="0" w:line="228" w:lineRule="auto"/>
            </w:pPr>
            <w:r>
              <w:rPr>
                <w:rFonts w:ascii="Aptos" w:hAnsi="Aptos"/>
                <w:b w:val="0"/>
                <w:color w:val="3C4650"/>
                <w:sz w:val="13"/>
              </w:rPr>
              <w:t>XREF-013</w:t>
            </w:r>
          </w:p>
        </w:tc>
        <w:tc>
          <w:tcPr>
            <w:tcW w:type="dxa" w:w="3196"/>
            <w:tcMar>
              <w:top w:w="50" w:type="dxa"/>
              <w:start w:w="55" w:type="dxa"/>
              <w:bottom w:w="50" w:type="dxa"/>
              <w:end w:w="55" w:type="dxa"/>
            </w:tcMar>
            <w:shd w:fill="FFFFFF"/>
            <w:vAlign w:val="top"/>
          </w:tcPr>
          <w:p>
            <w:pPr>
              <w:spacing w:after="0" w:line="228" w:lineRule="auto"/>
            </w:pPr>
            <w:r>
              <w:rPr>
                <w:rFonts w:ascii="Aptos" w:hAnsi="Aptos"/>
                <w:b w:val="0"/>
                <w:color w:val="3C4650"/>
                <w:sz w:val="13"/>
              </w:rPr>
              <w:t>XREF-014; XREF-020</w:t>
            </w:r>
          </w:p>
        </w:tc>
      </w:tr>
      <w:tr>
        <w:tc>
          <w:tcPr>
            <w:tcW w:type="dxa" w:w="4320"/>
            <w:tcMar>
              <w:top w:w="50" w:type="dxa"/>
              <w:start w:w="55" w:type="dxa"/>
              <w:bottom w:w="50" w:type="dxa"/>
              <w:end w:w="55" w:type="dxa"/>
            </w:tcMar>
            <w:shd w:fill="EEF4F8"/>
            <w:vAlign w:val="top"/>
          </w:tcPr>
          <w:p>
            <w:pPr>
              <w:spacing w:after="0" w:line="228" w:lineRule="auto"/>
            </w:pPr>
            <w:r>
              <w:rPr>
                <w:rFonts w:ascii="Aptos" w:hAnsi="Aptos"/>
                <w:b/>
                <w:color w:val="0B2748"/>
                <w:sz w:val="13"/>
              </w:rPr>
              <w:t>Master Financial Truth and Responsibility Model</w:t>
            </w:r>
          </w:p>
        </w:tc>
        <w:tc>
          <w:tcPr>
            <w:tcW w:type="dxa" w:w="2563"/>
            <w:tcMar>
              <w:top w:w="50" w:type="dxa"/>
              <w:start w:w="55" w:type="dxa"/>
              <w:bottom w:w="50" w:type="dxa"/>
              <w:end w:w="55" w:type="dxa"/>
            </w:tcMar>
            <w:shd w:fill="EEF4F8"/>
            <w:vAlign w:val="top"/>
          </w:tcPr>
          <w:p>
            <w:pPr>
              <w:spacing w:after="0" w:line="228" w:lineRule="auto"/>
            </w:pPr>
            <w:r>
              <w:rPr>
                <w:rFonts w:ascii="Aptos" w:hAnsi="Aptos"/>
                <w:b w:val="0"/>
                <w:color w:val="3C4650"/>
                <w:sz w:val="13"/>
              </w:rPr>
              <w:t>XREF-085–090; XREF-102</w:t>
            </w:r>
          </w:p>
        </w:tc>
        <w:tc>
          <w:tcPr>
            <w:tcW w:type="dxa" w:w="3196"/>
            <w:tcMar>
              <w:top w:w="50" w:type="dxa"/>
              <w:start w:w="55" w:type="dxa"/>
              <w:bottom w:w="50" w:type="dxa"/>
              <w:end w:w="55" w:type="dxa"/>
            </w:tcMar>
            <w:shd w:fill="EEF4F8"/>
            <w:vAlign w:val="top"/>
          </w:tcPr>
          <w:p>
            <w:pPr>
              <w:spacing w:after="0" w:line="228" w:lineRule="auto"/>
            </w:pPr>
            <w:r>
              <w:rPr>
                <w:rFonts w:ascii="Aptos" w:hAnsi="Aptos"/>
                <w:b w:val="0"/>
                <w:color w:val="3C4650"/>
                <w:sz w:val="13"/>
              </w:rPr>
              <w:t>XREF-012; XREF-015; XREF-018–020; XREF-024; XREF-040; XREF-045; XREF-055; XREF-058; XREF-074; XREF-079, XREF-080; XREF-082; XREF-108; XREF-119</w:t>
            </w:r>
          </w:p>
        </w:tc>
      </w:tr>
      <w:tr>
        <w:tc>
          <w:tcPr>
            <w:tcW w:type="dxa" w:w="4320"/>
            <w:tcMar>
              <w:top w:w="50" w:type="dxa"/>
              <w:start w:w="55" w:type="dxa"/>
              <w:bottom w:w="50" w:type="dxa"/>
              <w:end w:w="55" w:type="dxa"/>
            </w:tcMar>
            <w:shd w:fill="FFFFFF"/>
            <w:vAlign w:val="top"/>
          </w:tcPr>
          <w:p>
            <w:pPr>
              <w:spacing w:after="0" w:line="228" w:lineRule="auto"/>
            </w:pPr>
            <w:r>
              <w:rPr>
                <w:rFonts w:ascii="Aptos" w:hAnsi="Aptos"/>
                <w:b/>
                <w:color w:val="0B2748"/>
                <w:sz w:val="13"/>
              </w:rPr>
              <w:t>Master Horse Lifecycle and Passport Model</w:t>
            </w:r>
          </w:p>
        </w:tc>
        <w:tc>
          <w:tcPr>
            <w:tcW w:type="dxa" w:w="2563"/>
            <w:tcMar>
              <w:top w:w="50" w:type="dxa"/>
              <w:start w:w="55" w:type="dxa"/>
              <w:bottom w:w="50" w:type="dxa"/>
              <w:end w:w="55" w:type="dxa"/>
            </w:tcMar>
            <w:shd w:fill="FFFFFF"/>
            <w:vAlign w:val="top"/>
          </w:tcPr>
          <w:p>
            <w:pPr>
              <w:spacing w:after="0" w:line="228" w:lineRule="auto"/>
            </w:pPr>
            <w:r>
              <w:rPr>
                <w:rFonts w:ascii="Aptos" w:hAnsi="Aptos"/>
                <w:b w:val="0"/>
                <w:color w:val="3C4650"/>
                <w:sz w:val="13"/>
              </w:rPr>
              <w:t>XREF-011</w:t>
            </w:r>
          </w:p>
        </w:tc>
        <w:tc>
          <w:tcPr>
            <w:tcW w:type="dxa" w:w="3196"/>
            <w:tcMar>
              <w:top w:w="50" w:type="dxa"/>
              <w:start w:w="55" w:type="dxa"/>
              <w:bottom w:w="50" w:type="dxa"/>
              <w:end w:w="55" w:type="dxa"/>
            </w:tcMar>
            <w:shd w:fill="FFFFFF"/>
            <w:vAlign w:val="top"/>
          </w:tcPr>
          <w:p>
            <w:pPr>
              <w:spacing w:after="0" w:line="228" w:lineRule="auto"/>
            </w:pPr>
            <w:r>
              <w:rPr>
                <w:rFonts w:ascii="Aptos" w:hAnsi="Aptos"/>
                <w:b w:val="0"/>
                <w:color w:val="3C4650"/>
                <w:sz w:val="13"/>
              </w:rPr>
              <w:t>XREF-014; XREF-017; XREF-027; XREF-036; XREF-038; XREF-100; XREF-108</w:t>
            </w:r>
          </w:p>
        </w:tc>
      </w:tr>
      <w:tr>
        <w:tc>
          <w:tcPr>
            <w:tcW w:type="dxa" w:w="4320"/>
            <w:tcMar>
              <w:top w:w="50" w:type="dxa"/>
              <w:start w:w="55" w:type="dxa"/>
              <w:bottom w:w="50" w:type="dxa"/>
              <w:end w:w="55" w:type="dxa"/>
            </w:tcMar>
            <w:shd w:fill="EEF4F8"/>
            <w:vAlign w:val="top"/>
          </w:tcPr>
          <w:p>
            <w:pPr>
              <w:spacing w:after="0" w:line="228" w:lineRule="auto"/>
            </w:pPr>
            <w:r>
              <w:rPr>
                <w:rFonts w:ascii="Aptos" w:hAnsi="Aptos"/>
                <w:b/>
                <w:color w:val="0B2748"/>
                <w:sz w:val="13"/>
              </w:rPr>
              <w:t>Master Horse Transfer and Continuity Policy</w:t>
            </w:r>
          </w:p>
        </w:tc>
        <w:tc>
          <w:tcPr>
            <w:tcW w:type="dxa" w:w="2563"/>
            <w:tcMar>
              <w:top w:w="50" w:type="dxa"/>
              <w:start w:w="55" w:type="dxa"/>
              <w:bottom w:w="50" w:type="dxa"/>
              <w:end w:w="55" w:type="dxa"/>
            </w:tcMar>
            <w:shd w:fill="EEF4F8"/>
            <w:vAlign w:val="top"/>
          </w:tcPr>
          <w:p>
            <w:pPr>
              <w:spacing w:after="0" w:line="228" w:lineRule="auto"/>
            </w:pPr>
            <w:r>
              <w:rPr>
                <w:rFonts w:ascii="Aptos" w:hAnsi="Aptos"/>
                <w:b w:val="0"/>
                <w:color w:val="3C4650"/>
                <w:sz w:val="13"/>
              </w:rPr>
              <w:t>XREF-012</w:t>
            </w:r>
          </w:p>
        </w:tc>
        <w:tc>
          <w:tcPr>
            <w:tcW w:type="dxa" w:w="3196"/>
            <w:tcMar>
              <w:top w:w="50" w:type="dxa"/>
              <w:start w:w="55" w:type="dxa"/>
              <w:bottom w:w="50" w:type="dxa"/>
              <w:end w:w="55" w:type="dxa"/>
            </w:tcMar>
            <w:shd w:fill="EEF4F8"/>
            <w:vAlign w:val="top"/>
          </w:tcPr>
          <w:p>
            <w:pPr>
              <w:spacing w:after="0" w:line="228" w:lineRule="auto"/>
            </w:pPr>
            <w:r>
              <w:rPr>
                <w:rFonts w:ascii="Aptos" w:hAnsi="Aptos"/>
                <w:b w:val="0"/>
                <w:color w:val="3C4650"/>
                <w:sz w:val="13"/>
              </w:rPr>
              <w:t>XREF-011; XREF-027; XREF-040; XREF-055; XREF-058; XREF-074; XREF-090</w:t>
            </w:r>
          </w:p>
        </w:tc>
      </w:tr>
      <w:tr>
        <w:tc>
          <w:tcPr>
            <w:tcW w:type="dxa" w:w="4320"/>
            <w:tcMar>
              <w:top w:w="50" w:type="dxa"/>
              <w:start w:w="55" w:type="dxa"/>
              <w:bottom w:w="50" w:type="dxa"/>
              <w:end w:w="55" w:type="dxa"/>
            </w:tcMar>
            <w:shd w:fill="FFFFFF"/>
            <w:vAlign w:val="top"/>
          </w:tcPr>
          <w:p>
            <w:pPr>
              <w:spacing w:after="0" w:line="228" w:lineRule="auto"/>
            </w:pPr>
            <w:r>
              <w:rPr>
                <w:rFonts w:ascii="Aptos" w:hAnsi="Aptos"/>
                <w:b/>
                <w:color w:val="0B2748"/>
                <w:sz w:val="13"/>
              </w:rPr>
              <w:t>Master Identity, Account, and Actor Model</w:t>
            </w:r>
          </w:p>
        </w:tc>
        <w:tc>
          <w:tcPr>
            <w:tcW w:type="dxa" w:w="2563"/>
            <w:tcMar>
              <w:top w:w="50" w:type="dxa"/>
              <w:start w:w="55" w:type="dxa"/>
              <w:bottom w:w="50" w:type="dxa"/>
              <w:end w:w="55" w:type="dxa"/>
            </w:tcMar>
            <w:shd w:fill="FFFFFF"/>
            <w:vAlign w:val="top"/>
          </w:tcPr>
          <w:p>
            <w:pPr>
              <w:spacing w:after="0" w:line="228" w:lineRule="auto"/>
            </w:pPr>
            <w:r>
              <w:rPr>
                <w:rFonts w:ascii="Aptos" w:hAnsi="Aptos"/>
                <w:b w:val="0"/>
                <w:color w:val="3C4650"/>
                <w:sz w:val="13"/>
              </w:rPr>
              <w:t>XREF-021–025; XREF-028; XREF-036</w:t>
            </w:r>
          </w:p>
        </w:tc>
        <w:tc>
          <w:tcPr>
            <w:tcW w:type="dxa" w:w="3196"/>
            <w:tcMar>
              <w:top w:w="50" w:type="dxa"/>
              <w:start w:w="55" w:type="dxa"/>
              <w:bottom w:w="50" w:type="dxa"/>
              <w:end w:w="55" w:type="dxa"/>
            </w:tcMar>
            <w:shd w:fill="FFFFFF"/>
            <w:vAlign w:val="top"/>
          </w:tcPr>
          <w:p>
            <w:pPr>
              <w:spacing w:after="0" w:line="228" w:lineRule="auto"/>
            </w:pPr>
            <w:r>
              <w:rPr>
                <w:rFonts w:ascii="Aptos" w:hAnsi="Aptos"/>
                <w:b w:val="0"/>
                <w:color w:val="3C4650"/>
                <w:sz w:val="13"/>
              </w:rPr>
              <w:t>XREF-015; XREF-019; XREF-026; XREF-029; XREF-031; XREF-033; XREF-035; XREF-037; XREF-093; XREF-100; XREF-112</w:t>
            </w:r>
          </w:p>
        </w:tc>
      </w:tr>
      <w:tr>
        <w:tc>
          <w:tcPr>
            <w:tcW w:type="dxa" w:w="4320"/>
            <w:tcMar>
              <w:top w:w="50" w:type="dxa"/>
              <w:start w:w="55" w:type="dxa"/>
              <w:bottom w:w="50" w:type="dxa"/>
              <w:end w:w="55" w:type="dxa"/>
            </w:tcMar>
            <w:shd w:fill="EEF4F8"/>
            <w:vAlign w:val="top"/>
          </w:tcPr>
          <w:p>
            <w:pPr>
              <w:spacing w:after="0" w:line="228" w:lineRule="auto"/>
            </w:pPr>
            <w:r>
              <w:rPr>
                <w:rFonts w:ascii="Aptos" w:hAnsi="Aptos"/>
                <w:b/>
                <w:color w:val="0B2748"/>
                <w:sz w:val="13"/>
              </w:rPr>
              <w:t>Master Media, Files, and Digital Asset Governance Model</w:t>
            </w:r>
          </w:p>
        </w:tc>
        <w:tc>
          <w:tcPr>
            <w:tcW w:type="dxa" w:w="2563"/>
            <w:tcMar>
              <w:top w:w="50" w:type="dxa"/>
              <w:start w:w="55" w:type="dxa"/>
              <w:bottom w:w="50" w:type="dxa"/>
              <w:end w:w="55" w:type="dxa"/>
            </w:tcMar>
            <w:shd w:fill="EEF4F8"/>
            <w:vAlign w:val="top"/>
          </w:tcPr>
          <w:p>
            <w:pPr>
              <w:spacing w:after="0" w:line="228" w:lineRule="auto"/>
            </w:pPr>
            <w:r>
              <w:rPr>
                <w:rFonts w:ascii="Aptos" w:hAnsi="Aptos"/>
                <w:b w:val="0"/>
                <w:color w:val="3C4650"/>
                <w:sz w:val="13"/>
              </w:rPr>
              <w:t>XREF-060–062</w:t>
            </w:r>
          </w:p>
        </w:tc>
        <w:tc>
          <w:tcPr>
            <w:tcW w:type="dxa" w:w="3196"/>
            <w:tcMar>
              <w:top w:w="50" w:type="dxa"/>
              <w:start w:w="55" w:type="dxa"/>
              <w:bottom w:w="50" w:type="dxa"/>
              <w:end w:w="55" w:type="dxa"/>
            </w:tcMar>
            <w:shd w:fill="EEF4F8"/>
            <w:vAlign w:val="top"/>
          </w:tcPr>
          <w:p>
            <w:pPr>
              <w:spacing w:after="0" w:line="228" w:lineRule="auto"/>
            </w:pPr>
            <w:r>
              <w:rPr>
                <w:rFonts w:ascii="Aptos" w:hAnsi="Aptos"/>
                <w:b w:val="0"/>
                <w:color w:val="3C4650"/>
                <w:sz w:val="13"/>
              </w:rPr>
              <w:t>XREF-031; XREF-034; XREF-042; XREF-044, XREF-045; XREF-052–054; XREF-057; XREF-063, XREF-064; XREF-066; XREF-068; XREF-075; XREF-084; XREF-101</w:t>
            </w:r>
          </w:p>
        </w:tc>
      </w:tr>
      <w:tr>
        <w:tc>
          <w:tcPr>
            <w:tcW w:type="dxa" w:w="4320"/>
            <w:tcMar>
              <w:top w:w="50" w:type="dxa"/>
              <w:start w:w="55" w:type="dxa"/>
              <w:bottom w:w="50" w:type="dxa"/>
              <w:end w:w="55" w:type="dxa"/>
            </w:tcMar>
            <w:shd w:fill="FFFFFF"/>
            <w:vAlign w:val="top"/>
          </w:tcPr>
          <w:p>
            <w:pPr>
              <w:spacing w:after="0" w:line="228" w:lineRule="auto"/>
            </w:pPr>
            <w:r>
              <w:rPr>
                <w:rFonts w:ascii="Aptos" w:hAnsi="Aptos"/>
                <w:b/>
                <w:color w:val="0B2748"/>
                <w:sz w:val="13"/>
              </w:rPr>
              <w:t>Master Permission and Access-Control Model</w:t>
            </w:r>
          </w:p>
        </w:tc>
        <w:tc>
          <w:tcPr>
            <w:tcW w:type="dxa" w:w="2563"/>
            <w:tcMar>
              <w:top w:w="50" w:type="dxa"/>
              <w:start w:w="55" w:type="dxa"/>
              <w:bottom w:w="50" w:type="dxa"/>
              <w:end w:w="55" w:type="dxa"/>
            </w:tcMar>
            <w:shd w:fill="FFFFFF"/>
            <w:vAlign w:val="top"/>
          </w:tcPr>
          <w:p>
            <w:pPr>
              <w:spacing w:after="0" w:line="228" w:lineRule="auto"/>
            </w:pPr>
            <w:r>
              <w:rPr>
                <w:rFonts w:ascii="Aptos" w:hAnsi="Aptos"/>
                <w:b w:val="0"/>
                <w:color w:val="3C4650"/>
                <w:sz w:val="13"/>
              </w:rPr>
              <w:t>XREF-033–035; XREF-037; XREF-040</w:t>
            </w:r>
          </w:p>
        </w:tc>
        <w:tc>
          <w:tcPr>
            <w:tcW w:type="dxa" w:w="3196"/>
            <w:tcMar>
              <w:top w:w="50" w:type="dxa"/>
              <w:start w:w="55" w:type="dxa"/>
              <w:bottom w:w="50" w:type="dxa"/>
              <w:end w:w="55" w:type="dxa"/>
            </w:tcMar>
            <w:shd w:fill="FFFFFF"/>
            <w:vAlign w:val="top"/>
          </w:tcPr>
          <w:p>
            <w:pPr>
              <w:spacing w:after="0" w:line="228" w:lineRule="auto"/>
            </w:pPr>
            <w:r>
              <w:rPr>
                <w:rFonts w:ascii="Aptos" w:hAnsi="Aptos"/>
                <w:b w:val="0"/>
                <w:color w:val="3C4650"/>
                <w:sz w:val="13"/>
              </w:rPr>
              <w:t>XREF-012; XREF-016, XREF-017; XREF-019–025; XREF-027–029; XREF-032; XREF-036; XREF-038, XREF-039; XREF-041, XREF-042; XREF-046; XREF-052; XREF-057; XREF-059, XREF-060; XREF-064–066; XREF-074; XREF-076, XREF-077; XREF-092; XREF-094; XREF-104; XREF-110; XREF-112</w:t>
            </w:r>
          </w:p>
        </w:tc>
      </w:tr>
      <w:tr>
        <w:tc>
          <w:tcPr>
            <w:tcW w:type="dxa" w:w="4320"/>
            <w:tcMar>
              <w:top w:w="50" w:type="dxa"/>
              <w:start w:w="55" w:type="dxa"/>
              <w:bottom w:w="50" w:type="dxa"/>
              <w:end w:w="55" w:type="dxa"/>
            </w:tcMar>
            <w:shd w:fill="EEF4F8"/>
            <w:vAlign w:val="top"/>
          </w:tcPr>
          <w:p>
            <w:pPr>
              <w:spacing w:after="0" w:line="228" w:lineRule="auto"/>
            </w:pPr>
            <w:r>
              <w:rPr>
                <w:rFonts w:ascii="Aptos" w:hAnsi="Aptos"/>
                <w:b/>
                <w:color w:val="0B2748"/>
                <w:sz w:val="13"/>
              </w:rPr>
              <w:t>Master Platform Extensibility and Plugin Governance Model</w:t>
            </w:r>
          </w:p>
        </w:tc>
        <w:tc>
          <w:tcPr>
            <w:tcW w:type="dxa" w:w="2563"/>
            <w:tcMar>
              <w:top w:w="50" w:type="dxa"/>
              <w:start w:w="55" w:type="dxa"/>
              <w:bottom w:w="50" w:type="dxa"/>
              <w:end w:w="55" w:type="dxa"/>
            </w:tcMar>
            <w:shd w:fill="EEF4F8"/>
            <w:vAlign w:val="top"/>
          </w:tcPr>
          <w:p>
            <w:pPr>
              <w:spacing w:after="0" w:line="228" w:lineRule="auto"/>
            </w:pPr>
            <w:r>
              <w:rPr>
                <w:rFonts w:ascii="Aptos" w:hAnsi="Aptos"/>
                <w:b w:val="0"/>
                <w:color w:val="3C4650"/>
                <w:sz w:val="13"/>
              </w:rPr>
              <w:t>XREF-094; XREF-099</w:t>
            </w:r>
          </w:p>
        </w:tc>
        <w:tc>
          <w:tcPr>
            <w:tcW w:type="dxa" w:w="3196"/>
            <w:tcMar>
              <w:top w:w="50" w:type="dxa"/>
              <w:start w:w="55" w:type="dxa"/>
              <w:bottom w:w="50" w:type="dxa"/>
              <w:end w:w="55" w:type="dxa"/>
            </w:tcMar>
            <w:shd w:fill="EEF4F8"/>
            <w:vAlign w:val="top"/>
          </w:tcPr>
          <w:p>
            <w:pPr>
              <w:spacing w:after="0" w:line="228" w:lineRule="auto"/>
            </w:pPr>
            <w:r>
              <w:rPr>
                <w:rFonts w:ascii="Aptos" w:hAnsi="Aptos"/>
                <w:b w:val="0"/>
                <w:color w:val="3C4650"/>
                <w:sz w:val="13"/>
              </w:rPr>
              <w:t>XREF-023; XREF-046; XREF-050; XREF-091, XREF-092; XREF-095</w:t>
            </w:r>
          </w:p>
        </w:tc>
      </w:tr>
      <w:tr>
        <w:tc>
          <w:tcPr>
            <w:tcW w:type="dxa" w:w="4320"/>
            <w:tcMar>
              <w:top w:w="50" w:type="dxa"/>
              <w:start w:w="55" w:type="dxa"/>
              <w:bottom w:w="50" w:type="dxa"/>
              <w:end w:w="55" w:type="dxa"/>
            </w:tcMar>
            <w:shd w:fill="FFFFFF"/>
            <w:vAlign w:val="top"/>
          </w:tcPr>
          <w:p>
            <w:pPr>
              <w:spacing w:after="0" w:line="228" w:lineRule="auto"/>
            </w:pPr>
            <w:r>
              <w:rPr>
                <w:rFonts w:ascii="Aptos" w:hAnsi="Aptos"/>
                <w:b/>
                <w:color w:val="0B2748"/>
                <w:sz w:val="13"/>
              </w:rPr>
              <w:t>Master Platform Operations, Reliability, and Release Model</w:t>
            </w:r>
          </w:p>
        </w:tc>
        <w:tc>
          <w:tcPr>
            <w:tcW w:type="dxa" w:w="2563"/>
            <w:tcMar>
              <w:top w:w="50" w:type="dxa"/>
              <w:start w:w="55" w:type="dxa"/>
              <w:bottom w:w="50" w:type="dxa"/>
              <w:end w:w="55" w:type="dxa"/>
            </w:tcMar>
            <w:shd w:fill="FFFFFF"/>
            <w:vAlign w:val="top"/>
          </w:tcPr>
          <w:p>
            <w:pPr>
              <w:spacing w:after="0" w:line="228" w:lineRule="auto"/>
            </w:pPr>
            <w:r>
              <w:rPr>
                <w:rFonts w:ascii="Aptos" w:hAnsi="Aptos"/>
                <w:b w:val="0"/>
                <w:color w:val="3C4650"/>
                <w:sz w:val="13"/>
              </w:rPr>
              <w:t>XREF-103; XREF-105–107; XREF-111; XREF-113, XREF-114; XREF-118</w:t>
            </w:r>
          </w:p>
        </w:tc>
        <w:tc>
          <w:tcPr>
            <w:tcW w:type="dxa" w:w="3196"/>
            <w:tcMar>
              <w:top w:w="50" w:type="dxa"/>
              <w:start w:w="55" w:type="dxa"/>
              <w:bottom w:w="50" w:type="dxa"/>
              <w:end w:w="55" w:type="dxa"/>
            </w:tcMar>
            <w:shd w:fill="FFFFFF"/>
            <w:vAlign w:val="top"/>
          </w:tcPr>
          <w:p>
            <w:pPr>
              <w:spacing w:after="0" w:line="228" w:lineRule="auto"/>
            </w:pPr>
            <w:r>
              <w:rPr>
                <w:rFonts w:ascii="Aptos" w:hAnsi="Aptos"/>
                <w:b w:val="0"/>
                <w:color w:val="3C4650"/>
                <w:sz w:val="13"/>
              </w:rPr>
              <w:t>XREF-013; XREF-016; XREF-024; XREF-036; XREF-068, XREF-069; XREF-076; XREF-079; XREF-093; XREF-104; XREF-109; XREF-112; XREF-116, XREF-117</w:t>
            </w:r>
          </w:p>
        </w:tc>
      </w:tr>
      <w:tr>
        <w:tc>
          <w:tcPr>
            <w:tcW w:type="dxa" w:w="4320"/>
            <w:tcMar>
              <w:top w:w="50" w:type="dxa"/>
              <w:start w:w="55" w:type="dxa"/>
              <w:bottom w:w="50" w:type="dxa"/>
              <w:end w:w="55" w:type="dxa"/>
            </w:tcMar>
            <w:shd w:fill="EEF4F8"/>
            <w:vAlign w:val="top"/>
          </w:tcPr>
          <w:p>
            <w:pPr>
              <w:spacing w:after="0" w:line="228" w:lineRule="auto"/>
            </w:pPr>
            <w:r>
              <w:rPr>
                <w:rFonts w:ascii="Aptos" w:hAnsi="Aptos"/>
                <w:b/>
                <w:color w:val="0B2748"/>
                <w:sz w:val="13"/>
              </w:rPr>
              <w:t>Master Platform Resilience, Backup, and Recovery Model</w:t>
            </w:r>
          </w:p>
        </w:tc>
        <w:tc>
          <w:tcPr>
            <w:tcW w:type="dxa" w:w="2563"/>
            <w:tcMar>
              <w:top w:w="50" w:type="dxa"/>
              <w:start w:w="55" w:type="dxa"/>
              <w:bottom w:w="50" w:type="dxa"/>
              <w:end w:w="55" w:type="dxa"/>
            </w:tcMar>
            <w:shd w:fill="EEF4F8"/>
            <w:vAlign w:val="top"/>
          </w:tcPr>
          <w:p>
            <w:pPr>
              <w:spacing w:after="0" w:line="228" w:lineRule="auto"/>
            </w:pPr>
            <w:r>
              <w:rPr>
                <w:rFonts w:ascii="Aptos" w:hAnsi="Aptos"/>
                <w:b w:val="0"/>
                <w:color w:val="3C4650"/>
                <w:sz w:val="13"/>
              </w:rPr>
              <w:t>XREF-067; XREF-108, XREF-109; XREF-119</w:t>
            </w:r>
          </w:p>
        </w:tc>
        <w:tc>
          <w:tcPr>
            <w:tcW w:type="dxa" w:w="3196"/>
            <w:tcMar>
              <w:top w:w="50" w:type="dxa"/>
              <w:start w:w="55" w:type="dxa"/>
              <w:bottom w:w="50" w:type="dxa"/>
              <w:end w:w="55" w:type="dxa"/>
            </w:tcMar>
            <w:shd w:fill="EEF4F8"/>
            <w:vAlign w:val="top"/>
          </w:tcPr>
          <w:p>
            <w:pPr>
              <w:spacing w:after="0" w:line="228" w:lineRule="auto"/>
            </w:pPr>
            <w:r>
              <w:rPr>
                <w:rFonts w:ascii="Aptos" w:hAnsi="Aptos"/>
                <w:b w:val="0"/>
                <w:color w:val="3C4650"/>
                <w:sz w:val="13"/>
              </w:rPr>
              <w:t>XREF-014; XREF-047–050; XREF-053; XREF-084; XREF-091; XREF-096; XREF-098; XREF-103; XREF-105; XREF-110, XREF-111; XREF-116; XREF-118</w:t>
            </w:r>
          </w:p>
        </w:tc>
      </w:tr>
      <w:tr>
        <w:tc>
          <w:tcPr>
            <w:tcW w:type="dxa" w:w="4320"/>
            <w:tcMar>
              <w:top w:w="50" w:type="dxa"/>
              <w:start w:w="55" w:type="dxa"/>
              <w:bottom w:w="50" w:type="dxa"/>
              <w:end w:w="55" w:type="dxa"/>
            </w:tcMar>
            <w:shd w:fill="FFFFFF"/>
            <w:vAlign w:val="top"/>
          </w:tcPr>
          <w:p>
            <w:pPr>
              <w:spacing w:after="0" w:line="228" w:lineRule="auto"/>
            </w:pPr>
            <w:r>
              <w:rPr>
                <w:rFonts w:ascii="Aptos" w:hAnsi="Aptos"/>
                <w:b/>
                <w:color w:val="0B2748"/>
                <w:sz w:val="13"/>
              </w:rPr>
              <w:t>Master Privacy and Data Protection Model</w:t>
            </w:r>
          </w:p>
        </w:tc>
        <w:tc>
          <w:tcPr>
            <w:tcW w:type="dxa" w:w="2563"/>
            <w:tcMar>
              <w:top w:w="50" w:type="dxa"/>
              <w:start w:w="55" w:type="dxa"/>
              <w:bottom w:w="50" w:type="dxa"/>
              <w:end w:w="55" w:type="dxa"/>
            </w:tcMar>
            <w:shd w:fill="FFFFFF"/>
            <w:vAlign w:val="top"/>
          </w:tcPr>
          <w:p>
            <w:pPr>
              <w:spacing w:after="0" w:line="228" w:lineRule="auto"/>
            </w:pPr>
            <w:r>
              <w:rPr>
                <w:rFonts w:ascii="Aptos" w:hAnsi="Aptos"/>
                <w:b w:val="0"/>
                <w:color w:val="3C4650"/>
                <w:sz w:val="13"/>
              </w:rPr>
              <w:t>XREF-041–045; XREF-070; XREF-097</w:t>
            </w:r>
          </w:p>
        </w:tc>
        <w:tc>
          <w:tcPr>
            <w:tcW w:type="dxa" w:w="3196"/>
            <w:tcMar>
              <w:top w:w="50" w:type="dxa"/>
              <w:start w:w="55" w:type="dxa"/>
              <w:bottom w:w="50" w:type="dxa"/>
              <w:end w:w="55" w:type="dxa"/>
            </w:tcMar>
            <w:shd w:fill="FFFFFF"/>
            <w:vAlign w:val="top"/>
          </w:tcPr>
          <w:p>
            <w:pPr>
              <w:spacing w:after="0" w:line="228" w:lineRule="auto"/>
            </w:pPr>
            <w:r>
              <w:rPr>
                <w:rFonts w:ascii="Aptos" w:hAnsi="Aptos"/>
                <w:b w:val="0"/>
                <w:color w:val="3C4650"/>
                <w:sz w:val="13"/>
              </w:rPr>
              <w:t>XREF-029, XREF-030; XREF-032; XREF-034; XREF-046; XREF-048–050; XREF-053; XREF-057; XREF-059–067; XREF-069; XREF-071, XREF-072; XREF-075; XREF-077; XREF-080; XREF-083–085; XREF-096; XREF-100; XREF-107; XREF-112, XREF-113; XREF-116–119</w:t>
            </w:r>
          </w:p>
        </w:tc>
      </w:tr>
      <w:tr>
        <w:tc>
          <w:tcPr>
            <w:tcW w:type="dxa" w:w="4320"/>
            <w:tcMar>
              <w:top w:w="50" w:type="dxa"/>
              <w:start w:w="55" w:type="dxa"/>
              <w:bottom w:w="50" w:type="dxa"/>
              <w:end w:w="55" w:type="dxa"/>
            </w:tcMar>
            <w:shd w:fill="EEF4F8"/>
            <w:vAlign w:val="top"/>
          </w:tcPr>
          <w:p>
            <w:pPr>
              <w:spacing w:after="0" w:line="228" w:lineRule="auto"/>
            </w:pPr>
            <w:r>
              <w:rPr>
                <w:rFonts w:ascii="Aptos" w:hAnsi="Aptos"/>
                <w:b/>
                <w:color w:val="0B2748"/>
                <w:sz w:val="13"/>
              </w:rPr>
              <w:t>Master Product Vision</w:t>
            </w:r>
          </w:p>
        </w:tc>
        <w:tc>
          <w:tcPr>
            <w:tcW w:type="dxa" w:w="2563"/>
            <w:tcMar>
              <w:top w:w="50" w:type="dxa"/>
              <w:start w:w="55" w:type="dxa"/>
              <w:bottom w:w="50" w:type="dxa"/>
              <w:end w:w="55" w:type="dxa"/>
            </w:tcMar>
            <w:shd w:fill="EEF4F8"/>
            <w:vAlign w:val="top"/>
          </w:tcPr>
          <w:p>
            <w:pPr>
              <w:spacing w:after="0" w:line="228" w:lineRule="auto"/>
            </w:pPr>
            <w:r>
              <w:rPr>
                <w:rFonts w:ascii="Aptos" w:hAnsi="Aptos"/>
                <w:b w:val="0"/>
                <w:color w:val="3C4650"/>
                <w:sz w:val="13"/>
              </w:rPr>
              <w:t>XREF-001; XREF-068, XREF-069</w:t>
            </w:r>
          </w:p>
        </w:tc>
        <w:tc>
          <w:tcPr>
            <w:tcW w:type="dxa" w:w="3196"/>
            <w:tcMar>
              <w:top w:w="50" w:type="dxa"/>
              <w:start w:w="55" w:type="dxa"/>
              <w:bottom w:w="50" w:type="dxa"/>
              <w:end w:w="55" w:type="dxa"/>
            </w:tcMar>
            <w:shd w:fill="EEF4F8"/>
            <w:vAlign w:val="top"/>
          </w:tcPr>
          <w:p>
            <w:pPr>
              <w:spacing w:after="0" w:line="228" w:lineRule="auto"/>
            </w:pPr>
            <w:r>
              <w:rPr>
                <w:rFonts w:ascii="Aptos" w:hAnsi="Aptos"/>
                <w:b w:val="0"/>
                <w:color w:val="3C4650"/>
                <w:sz w:val="13"/>
              </w:rPr>
              <w:t>XREF-002; XREF-082, XREF-083; XREF-099; XREF-117, XREF-118</w:t>
            </w:r>
          </w:p>
        </w:tc>
      </w:tr>
      <w:tr>
        <w:tc>
          <w:tcPr>
            <w:tcW w:type="dxa" w:w="4320"/>
            <w:tcMar>
              <w:top w:w="50" w:type="dxa"/>
              <w:start w:w="55" w:type="dxa"/>
              <w:bottom w:w="50" w:type="dxa"/>
              <w:end w:w="55" w:type="dxa"/>
            </w:tcMar>
            <w:shd w:fill="FFFFFF"/>
            <w:vAlign w:val="top"/>
          </w:tcPr>
          <w:p>
            <w:pPr>
              <w:spacing w:after="0" w:line="228" w:lineRule="auto"/>
            </w:pPr>
            <w:r>
              <w:rPr>
                <w:rFonts w:ascii="Aptos" w:hAnsi="Aptos"/>
                <w:b/>
                <w:color w:val="0B2748"/>
                <w:sz w:val="13"/>
              </w:rPr>
              <w:t>Master Record Stewardship and Retention Model</w:t>
            </w:r>
          </w:p>
        </w:tc>
        <w:tc>
          <w:tcPr>
            <w:tcW w:type="dxa" w:w="2563"/>
            <w:tcMar>
              <w:top w:w="50" w:type="dxa"/>
              <w:start w:w="55" w:type="dxa"/>
              <w:bottom w:w="50" w:type="dxa"/>
              <w:end w:w="55" w:type="dxa"/>
            </w:tcMar>
            <w:shd w:fill="FFFFFF"/>
            <w:vAlign w:val="top"/>
          </w:tcPr>
          <w:p>
            <w:pPr>
              <w:spacing w:after="0" w:line="228" w:lineRule="auto"/>
            </w:pPr>
            <w:r>
              <w:rPr>
                <w:rFonts w:ascii="Aptos" w:hAnsi="Aptos"/>
                <w:b w:val="0"/>
                <w:color w:val="3C4650"/>
                <w:sz w:val="13"/>
              </w:rPr>
              <w:t>XREF-051–054; XREF-066</w:t>
            </w:r>
          </w:p>
        </w:tc>
        <w:tc>
          <w:tcPr>
            <w:tcW w:type="dxa" w:w="3196"/>
            <w:tcMar>
              <w:top w:w="50" w:type="dxa"/>
              <w:start w:w="55" w:type="dxa"/>
              <w:bottom w:w="50" w:type="dxa"/>
              <w:end w:w="55" w:type="dxa"/>
            </w:tcMar>
            <w:shd w:fill="FFFFFF"/>
            <w:vAlign w:val="top"/>
          </w:tcPr>
          <w:p>
            <w:pPr>
              <w:spacing w:after="0" w:line="228" w:lineRule="auto"/>
            </w:pPr>
            <w:r>
              <w:rPr>
                <w:rFonts w:ascii="Aptos" w:hAnsi="Aptos"/>
                <w:b w:val="0"/>
                <w:color w:val="3C4650"/>
                <w:sz w:val="13"/>
              </w:rPr>
              <w:t>XREF-011–013; XREF-019, XREF-020; XREF-026, XREF-027; XREF-031; XREF-034; XREF-041; XREF-043–045; XREF-048; XREF-055–057; XREF-060; XREF-062; XREF-064; XREF-067; XREF-070; XREF-072, XREF-073; XREF-075; XREF-077–079; XREF-081, XREF-082; XREF-084, XREF-085; XREF-096–098; XREF-100; XREF-105; XREF-107, XREF-108; XREF-110; XREF-113; XREF-119</w:t>
            </w:r>
          </w:p>
        </w:tc>
      </w:tr>
      <w:tr>
        <w:tc>
          <w:tcPr>
            <w:tcW w:type="dxa" w:w="4320"/>
            <w:tcMar>
              <w:top w:w="50" w:type="dxa"/>
              <w:start w:w="55" w:type="dxa"/>
              <w:bottom w:w="50" w:type="dxa"/>
              <w:end w:w="55" w:type="dxa"/>
            </w:tcMar>
            <w:shd w:fill="EEF4F8"/>
            <w:vAlign w:val="top"/>
          </w:tcPr>
          <w:p>
            <w:pPr>
              <w:spacing w:after="0" w:line="228" w:lineRule="auto"/>
            </w:pPr>
            <w:r>
              <w:rPr>
                <w:rFonts w:ascii="Aptos" w:hAnsi="Aptos"/>
                <w:b/>
                <w:color w:val="0B2748"/>
                <w:sz w:val="13"/>
              </w:rPr>
              <w:t>Master Relationship Model</w:t>
            </w:r>
          </w:p>
        </w:tc>
        <w:tc>
          <w:tcPr>
            <w:tcW w:type="dxa" w:w="2563"/>
            <w:tcMar>
              <w:top w:w="50" w:type="dxa"/>
              <w:start w:w="55" w:type="dxa"/>
              <w:bottom w:w="50" w:type="dxa"/>
              <w:end w:w="55" w:type="dxa"/>
            </w:tcMar>
            <w:shd w:fill="EEF4F8"/>
            <w:vAlign w:val="top"/>
          </w:tcPr>
          <w:p>
            <w:pPr>
              <w:spacing w:after="0" w:before="0"/>
            </w:pPr>
            <w:r>
              <w:rPr>
                <w:rFonts w:ascii="Aptos" w:hAnsi="Aptos"/>
                <w:sz w:val="16"/>
              </w:rPr>
              <w:t>XREF-019; XREF-026, XREF-027; XREF-038</w:t>
            </w:r>
          </w:p>
        </w:tc>
        <w:tc>
          <w:tcPr>
            <w:tcW w:type="dxa" w:w="3196"/>
            <w:tcMar>
              <w:top w:w="50" w:type="dxa"/>
              <w:start w:w="55" w:type="dxa"/>
              <w:bottom w:w="50" w:type="dxa"/>
              <w:end w:w="55" w:type="dxa"/>
            </w:tcMar>
            <w:shd w:fill="EEF4F8"/>
            <w:vAlign w:val="top"/>
          </w:tcPr>
          <w:p>
            <w:pPr>
              <w:spacing w:after="0" w:before="0"/>
            </w:pPr>
            <w:r>
              <w:rPr>
                <w:rFonts w:ascii="Aptos" w:hAnsi="Aptos"/>
                <w:sz w:val="16"/>
              </w:rPr>
              <w:t>XREF-002; XREF-011, XREF-012; XREF-014–018; XREF-021; XREF-025; XREF-028, XREF-029; XREF-031; XREF-033–035; XREF-037, XREF-039; XREF-052; XREF-055; XREF-085, XREF-086; XREF-090</w:t>
            </w:r>
          </w:p>
        </w:tc>
      </w:tr>
      <w:tr>
        <w:tc>
          <w:tcPr>
            <w:tcW w:type="dxa" w:w="4320"/>
            <w:tcMar>
              <w:top w:w="50" w:type="dxa"/>
              <w:start w:w="55" w:type="dxa"/>
              <w:bottom w:w="50" w:type="dxa"/>
              <w:end w:w="55" w:type="dxa"/>
            </w:tcMar>
            <w:shd w:fill="FFFFFF"/>
            <w:vAlign w:val="top"/>
          </w:tcPr>
          <w:p>
            <w:pPr>
              <w:spacing w:after="0" w:line="228" w:lineRule="auto"/>
            </w:pPr>
            <w:r>
              <w:rPr>
                <w:rFonts w:ascii="Aptos" w:hAnsi="Aptos"/>
                <w:b/>
                <w:color w:val="0B2748"/>
                <w:sz w:val="13"/>
              </w:rPr>
              <w:t>Master Reporting, Analytics, and Business Intelligence Model</w:t>
            </w:r>
          </w:p>
        </w:tc>
        <w:tc>
          <w:tcPr>
            <w:tcW w:type="dxa" w:w="2563"/>
            <w:tcMar>
              <w:top w:w="50" w:type="dxa"/>
              <w:start w:w="55" w:type="dxa"/>
              <w:bottom w:w="50" w:type="dxa"/>
              <w:end w:w="55" w:type="dxa"/>
            </w:tcMar>
            <w:shd w:fill="FFFFFF"/>
            <w:vAlign w:val="top"/>
          </w:tcPr>
          <w:p>
            <w:pPr>
              <w:spacing w:after="0" w:line="228" w:lineRule="auto"/>
            </w:pPr>
            <w:r>
              <w:rPr>
                <w:rFonts w:ascii="Aptos" w:hAnsi="Aptos"/>
                <w:b w:val="0"/>
                <w:color w:val="3C4650"/>
                <w:sz w:val="13"/>
              </w:rPr>
              <w:t>XREF-077–084</w:t>
            </w:r>
          </w:p>
        </w:tc>
        <w:tc>
          <w:tcPr>
            <w:tcW w:type="dxa" w:w="3196"/>
            <w:tcMar>
              <w:top w:w="50" w:type="dxa"/>
              <w:start w:w="55" w:type="dxa"/>
              <w:bottom w:w="50" w:type="dxa"/>
              <w:end w:w="55" w:type="dxa"/>
            </w:tcMar>
            <w:shd w:fill="FFFFFF"/>
            <w:vAlign w:val="top"/>
          </w:tcPr>
          <w:p>
            <w:pPr>
              <w:spacing w:after="0" w:line="228" w:lineRule="auto"/>
            </w:pPr>
            <w:r>
              <w:rPr>
                <w:rFonts w:ascii="Aptos" w:hAnsi="Aptos"/>
                <w:b w:val="0"/>
                <w:color w:val="3C4650"/>
                <w:sz w:val="13"/>
              </w:rPr>
              <w:t>XREF-042; XREF-046; XREF-051; XREF-065; XREF-068–070; XREF-089; XREF-101; XREF-107</w:t>
            </w:r>
          </w:p>
        </w:tc>
      </w:tr>
      <w:tr>
        <w:tc>
          <w:tcPr>
            <w:tcW w:type="dxa" w:w="4320"/>
            <w:tcMar>
              <w:top w:w="50" w:type="dxa"/>
              <w:start w:w="55" w:type="dxa"/>
              <w:bottom w:w="50" w:type="dxa"/>
              <w:end w:w="55" w:type="dxa"/>
            </w:tcMar>
            <w:shd w:fill="EEF4F8"/>
            <w:vAlign w:val="top"/>
          </w:tcPr>
          <w:p>
            <w:pPr>
              <w:spacing w:after="0" w:line="228" w:lineRule="auto"/>
            </w:pPr>
            <w:r>
              <w:rPr>
                <w:rFonts w:ascii="Aptos" w:hAnsi="Aptos"/>
                <w:b/>
                <w:color w:val="0B2748"/>
                <w:sz w:val="13"/>
              </w:rPr>
              <w:t>Master Search, Discovery, Ranking, and Retrieval Model</w:t>
            </w:r>
          </w:p>
        </w:tc>
        <w:tc>
          <w:tcPr>
            <w:tcW w:type="dxa" w:w="2563"/>
            <w:tcMar>
              <w:top w:w="50" w:type="dxa"/>
              <w:start w:w="55" w:type="dxa"/>
              <w:bottom w:w="50" w:type="dxa"/>
              <w:end w:w="55" w:type="dxa"/>
            </w:tcMar>
            <w:shd w:fill="EEF4F8"/>
            <w:vAlign w:val="top"/>
          </w:tcPr>
          <w:p>
            <w:pPr>
              <w:spacing w:after="0" w:before="0"/>
            </w:pPr>
            <w:r>
              <w:rPr>
                <w:rFonts w:ascii="Aptos" w:hAnsi="Aptos"/>
                <w:sz w:val="16"/>
              </w:rPr>
              <w:t>XREF-064, XREF-065</w:t>
            </w:r>
          </w:p>
        </w:tc>
        <w:tc>
          <w:tcPr>
            <w:tcW w:type="dxa" w:w="3196"/>
            <w:tcMar>
              <w:top w:w="50" w:type="dxa"/>
              <w:start w:w="55" w:type="dxa"/>
              <w:bottom w:w="50" w:type="dxa"/>
              <w:end w:w="55" w:type="dxa"/>
            </w:tcMar>
            <w:shd w:fill="EEF4F8"/>
            <w:vAlign w:val="top"/>
          </w:tcPr>
          <w:p>
            <w:pPr>
              <w:spacing w:after="0" w:before="0"/>
            </w:pPr>
            <w:r>
              <w:rPr>
                <w:rFonts w:ascii="Aptos" w:hAnsi="Aptos"/>
                <w:sz w:val="16"/>
              </w:rPr>
              <w:t>XREF-038; XREF-062; XREF-075</w:t>
            </w:r>
          </w:p>
        </w:tc>
      </w:tr>
      <w:tr>
        <w:tc>
          <w:tcPr>
            <w:tcW w:type="dxa" w:w="4320"/>
            <w:tcMar>
              <w:top w:w="50" w:type="dxa"/>
              <w:start w:w="55" w:type="dxa"/>
              <w:bottom w:w="50" w:type="dxa"/>
              <w:end w:w="55" w:type="dxa"/>
            </w:tcMar>
            <w:shd w:fill="FFFFFF"/>
            <w:vAlign w:val="top"/>
          </w:tcPr>
          <w:p>
            <w:pPr>
              <w:spacing w:after="0" w:line="228" w:lineRule="auto"/>
            </w:pPr>
            <w:r>
              <w:rPr>
                <w:rFonts w:ascii="Aptos" w:hAnsi="Aptos"/>
                <w:b/>
                <w:color w:val="0B2748"/>
                <w:sz w:val="13"/>
              </w:rPr>
              <w:t>Master Security and Trust Model</w:t>
            </w:r>
          </w:p>
        </w:tc>
        <w:tc>
          <w:tcPr>
            <w:tcW w:type="dxa" w:w="2563"/>
            <w:tcMar>
              <w:top w:w="50" w:type="dxa"/>
              <w:start w:w="55" w:type="dxa"/>
              <w:bottom w:w="50" w:type="dxa"/>
              <w:end w:w="55" w:type="dxa"/>
            </w:tcMar>
            <w:shd w:fill="FFFFFF"/>
            <w:vAlign w:val="top"/>
          </w:tcPr>
          <w:p>
            <w:pPr>
              <w:spacing w:after="0" w:line="228" w:lineRule="auto"/>
            </w:pPr>
            <w:r>
              <w:rPr>
                <w:rFonts w:ascii="Aptos" w:hAnsi="Aptos"/>
                <w:b w:val="0"/>
                <w:color w:val="3C4650"/>
                <w:sz w:val="13"/>
              </w:rPr>
              <w:t>XREF-046, XREF-047; XREF-063; XREF-112</w:t>
            </w:r>
          </w:p>
        </w:tc>
        <w:tc>
          <w:tcPr>
            <w:tcW w:type="dxa" w:w="3196"/>
            <w:tcMar>
              <w:top w:w="50" w:type="dxa"/>
              <w:start w:w="55" w:type="dxa"/>
              <w:bottom w:w="50" w:type="dxa"/>
              <w:end w:w="55" w:type="dxa"/>
            </w:tcMar>
            <w:shd w:fill="FFFFFF"/>
            <w:vAlign w:val="top"/>
          </w:tcPr>
          <w:p>
            <w:pPr>
              <w:spacing w:after="0" w:line="228" w:lineRule="auto"/>
            </w:pPr>
            <w:r>
              <w:rPr>
                <w:rFonts w:ascii="Aptos" w:hAnsi="Aptos"/>
                <w:b w:val="0"/>
                <w:color w:val="3C4650"/>
                <w:sz w:val="13"/>
              </w:rPr>
              <w:t>XREF-021–024; XREF-028; XREF-030; XREF-034; XREF-036; XREF-040, XREF-041; XREF-045; XREF-048–050; XREF-056; XREF-060; XREF-062; XREF-069; XREF-071; XREF-075; XREF-091; XREF-093; XREF-095, XREF-096; XREF-100; XREF-103; XREF-106–108; XREF-110; XREF-113; XREF-116–118</w:t>
            </w:r>
          </w:p>
        </w:tc>
      </w:tr>
      <w:tr>
        <w:tc>
          <w:tcPr>
            <w:tcW w:type="dxa" w:w="4320"/>
            <w:tcMar>
              <w:top w:w="50" w:type="dxa"/>
              <w:start w:w="55" w:type="dxa"/>
              <w:bottom w:w="50" w:type="dxa"/>
              <w:end w:w="55" w:type="dxa"/>
            </w:tcMar>
            <w:shd w:fill="EEF4F8"/>
            <w:vAlign w:val="top"/>
          </w:tcPr>
          <w:p>
            <w:pPr>
              <w:spacing w:after="0" w:line="228" w:lineRule="auto"/>
            </w:pPr>
            <w:r>
              <w:rPr>
                <w:rFonts w:ascii="Aptos" w:hAnsi="Aptos"/>
                <w:b/>
                <w:color w:val="0B2748"/>
                <w:sz w:val="13"/>
              </w:rPr>
              <w:t>Master Security Incident Response and Disclosure Model</w:t>
            </w:r>
          </w:p>
        </w:tc>
        <w:tc>
          <w:tcPr>
            <w:tcW w:type="dxa" w:w="2563"/>
            <w:tcMar>
              <w:top w:w="50" w:type="dxa"/>
              <w:start w:w="55" w:type="dxa"/>
              <w:bottom w:w="50" w:type="dxa"/>
              <w:end w:w="55" w:type="dxa"/>
            </w:tcMar>
            <w:shd w:fill="EEF4F8"/>
            <w:vAlign w:val="top"/>
          </w:tcPr>
          <w:p>
            <w:pPr>
              <w:spacing w:after="0" w:line="228" w:lineRule="auto"/>
            </w:pPr>
            <w:r>
              <w:rPr>
                <w:rFonts w:ascii="Aptos" w:hAnsi="Aptos"/>
                <w:b w:val="0"/>
                <w:color w:val="3C4650"/>
                <w:sz w:val="13"/>
              </w:rPr>
              <w:t>XREF-049</w:t>
            </w:r>
          </w:p>
        </w:tc>
        <w:tc>
          <w:tcPr>
            <w:tcW w:type="dxa" w:w="3196"/>
            <w:tcMar>
              <w:top w:w="50" w:type="dxa"/>
              <w:start w:w="55" w:type="dxa"/>
              <w:bottom w:w="50" w:type="dxa"/>
              <w:end w:w="55" w:type="dxa"/>
            </w:tcMar>
            <w:shd w:fill="EEF4F8"/>
            <w:vAlign w:val="top"/>
          </w:tcPr>
          <w:p>
            <w:pPr>
              <w:spacing w:after="0" w:line="228" w:lineRule="auto"/>
            </w:pPr>
            <w:r>
              <w:rPr>
                <w:rFonts w:ascii="Aptos" w:hAnsi="Aptos"/>
                <w:b w:val="0"/>
                <w:color w:val="3C4650"/>
                <w:sz w:val="13"/>
              </w:rPr>
              <w:t>XREF-047; XREF-058; XREF-063; XREF-109; XREF-111</w:t>
            </w:r>
          </w:p>
        </w:tc>
      </w:tr>
      <w:tr>
        <w:tc>
          <w:tcPr>
            <w:tcW w:type="dxa" w:w="4320"/>
            <w:tcMar>
              <w:top w:w="50" w:type="dxa"/>
              <w:start w:w="55" w:type="dxa"/>
              <w:bottom w:w="50" w:type="dxa"/>
              <w:end w:w="55" w:type="dxa"/>
            </w:tcMar>
            <w:shd w:fill="FFFFFF"/>
            <w:vAlign w:val="top"/>
          </w:tcPr>
          <w:p>
            <w:pPr>
              <w:spacing w:after="0" w:line="228" w:lineRule="auto"/>
            </w:pPr>
            <w:r>
              <w:rPr>
                <w:rFonts w:ascii="Aptos" w:hAnsi="Aptos"/>
                <w:b/>
                <w:color w:val="0B2748"/>
                <w:sz w:val="13"/>
              </w:rPr>
              <w:t>Master Vendor Security and Supply Chain Model</w:t>
            </w:r>
          </w:p>
        </w:tc>
        <w:tc>
          <w:tcPr>
            <w:tcW w:type="dxa" w:w="2563"/>
            <w:tcMar>
              <w:top w:w="50" w:type="dxa"/>
              <w:start w:w="55" w:type="dxa"/>
              <w:bottom w:w="50" w:type="dxa"/>
              <w:end w:w="55" w:type="dxa"/>
            </w:tcMar>
            <w:shd w:fill="FFFFFF"/>
            <w:vAlign w:val="top"/>
          </w:tcPr>
          <w:p>
            <w:pPr>
              <w:spacing w:after="0" w:line="228" w:lineRule="auto"/>
            </w:pPr>
            <w:r>
              <w:rPr>
                <w:rFonts w:ascii="Aptos" w:hAnsi="Aptos"/>
                <w:b w:val="0"/>
                <w:color w:val="3C4650"/>
                <w:sz w:val="13"/>
              </w:rPr>
              <w:t>XREF-050; XREF-096</w:t>
            </w:r>
          </w:p>
        </w:tc>
        <w:tc>
          <w:tcPr>
            <w:tcW w:type="dxa" w:w="3196"/>
            <w:tcMar>
              <w:top w:w="50" w:type="dxa"/>
              <w:start w:w="55" w:type="dxa"/>
              <w:bottom w:w="50" w:type="dxa"/>
              <w:end w:w="55" w:type="dxa"/>
            </w:tcMar>
            <w:shd w:fill="FFFFFF"/>
            <w:vAlign w:val="top"/>
          </w:tcPr>
          <w:p>
            <w:pPr>
              <w:spacing w:after="0" w:line="228" w:lineRule="auto"/>
            </w:pPr>
            <w:r>
              <w:rPr>
                <w:rFonts w:ascii="Aptos" w:hAnsi="Aptos"/>
                <w:b w:val="0"/>
                <w:color w:val="3C4650"/>
                <w:sz w:val="13"/>
              </w:rPr>
              <w:t>XREF-041–044; XREF-047–049; XREF-066; XREF-069; XREF-071, XREF-072; XREF-087, XREF-088; XREF-091–095; XREF-097, XREF-098; XREF-101, XREF-102</w:t>
            </w:r>
          </w:p>
        </w:tc>
      </w:tr>
      <w:tr>
        <w:tc>
          <w:tcPr>
            <w:tcW w:type="dxa" w:w="4320"/>
            <w:tcMar>
              <w:top w:w="50" w:type="dxa"/>
              <w:start w:w="55" w:type="dxa"/>
              <w:bottom w:w="50" w:type="dxa"/>
              <w:end w:w="55" w:type="dxa"/>
            </w:tcMar>
            <w:shd w:fill="EEF4F8"/>
            <w:vAlign w:val="top"/>
          </w:tcPr>
          <w:p>
            <w:pPr>
              <w:spacing w:after="0" w:line="228" w:lineRule="auto"/>
            </w:pPr>
            <w:r>
              <w:rPr>
                <w:rFonts w:ascii="Aptos" w:hAnsi="Aptos"/>
                <w:b/>
                <w:color w:val="0B2748"/>
                <w:sz w:val="13"/>
              </w:rPr>
              <w:t>Minor, Guardian, Safeguarding, and Delegated-Assistance Canon</w:t>
            </w:r>
          </w:p>
        </w:tc>
        <w:tc>
          <w:tcPr>
            <w:tcW w:type="dxa" w:w="2563"/>
            <w:tcMar>
              <w:top w:w="50" w:type="dxa"/>
              <w:start w:w="55" w:type="dxa"/>
              <w:bottom w:w="50" w:type="dxa"/>
              <w:end w:w="55" w:type="dxa"/>
            </w:tcMar>
            <w:shd w:fill="EEF4F8"/>
            <w:vAlign w:val="top"/>
          </w:tcPr>
          <w:p>
            <w:pPr>
              <w:spacing w:after="0" w:line="228" w:lineRule="auto"/>
            </w:pPr>
            <w:r>
              <w:rPr>
                <w:rFonts w:ascii="Aptos" w:hAnsi="Aptos"/>
                <w:b w:val="0"/>
                <w:color w:val="3C4650"/>
                <w:sz w:val="13"/>
              </w:rPr>
              <w:t>XREF-029, XREF-030</w:t>
            </w:r>
          </w:p>
        </w:tc>
        <w:tc>
          <w:tcPr>
            <w:tcW w:type="dxa" w:w="3196"/>
            <w:tcMar>
              <w:top w:w="50" w:type="dxa"/>
              <w:start w:w="55" w:type="dxa"/>
              <w:bottom w:w="50" w:type="dxa"/>
              <w:end w:w="55" w:type="dxa"/>
            </w:tcMar>
            <w:shd w:fill="EEF4F8"/>
            <w:vAlign w:val="top"/>
          </w:tcPr>
          <w:p>
            <w:pPr>
              <w:spacing w:after="0" w:line="228" w:lineRule="auto"/>
            </w:pPr>
            <w:r>
              <w:rPr>
                <w:rFonts w:ascii="Aptos" w:hAnsi="Aptos"/>
                <w:b w:val="0"/>
                <w:color w:val="3C4650"/>
                <w:sz w:val="13"/>
              </w:rPr>
              <w:t>XREF-018; XREF-027; XREF-032; XREF-036; XREF-038; XREF-040; XREF-045; XREF-059; XREF-061; XREF-065; XREF-070; XREF-074; XREF-080; XREF-083</w:t>
            </w:r>
          </w:p>
        </w:tc>
      </w:tr>
      <w:tr>
        <w:tc>
          <w:tcPr>
            <w:tcW w:type="dxa" w:w="4320"/>
            <w:tcMar>
              <w:top w:w="50" w:type="dxa"/>
              <w:start w:w="55" w:type="dxa"/>
              <w:bottom w:w="50" w:type="dxa"/>
              <w:end w:w="55" w:type="dxa"/>
            </w:tcMar>
            <w:shd w:fill="FFFFFF"/>
            <w:vAlign w:val="top"/>
          </w:tcPr>
          <w:p>
            <w:pPr>
              <w:spacing w:after="0" w:line="228" w:lineRule="auto"/>
            </w:pPr>
            <w:r>
              <w:rPr>
                <w:rFonts w:ascii="Aptos" w:hAnsi="Aptos"/>
                <w:b/>
                <w:color w:val="0B2748"/>
                <w:sz w:val="13"/>
              </w:rPr>
              <w:t>Native Offline Synchronization Canon and Locked Readiness Instruments</w:t>
            </w:r>
          </w:p>
        </w:tc>
        <w:tc>
          <w:tcPr>
            <w:tcW w:type="dxa" w:w="2563"/>
            <w:tcMar>
              <w:top w:w="50" w:type="dxa"/>
              <w:start w:w="55" w:type="dxa"/>
              <w:bottom w:w="50" w:type="dxa"/>
              <w:end w:w="55" w:type="dxa"/>
            </w:tcMar>
            <w:shd w:fill="FFFFFF"/>
            <w:vAlign w:val="top"/>
          </w:tcPr>
          <w:p>
            <w:pPr>
              <w:spacing w:after="0" w:line="228" w:lineRule="auto"/>
            </w:pPr>
            <w:r>
              <w:rPr>
                <w:rFonts w:ascii="Aptos" w:hAnsi="Aptos"/>
                <w:b w:val="0"/>
                <w:color w:val="3C4650"/>
                <w:sz w:val="13"/>
              </w:rPr>
              <w:t>XREF-110</w:t>
            </w:r>
          </w:p>
        </w:tc>
        <w:tc>
          <w:tcPr>
            <w:tcW w:type="dxa" w:w="3196"/>
            <w:tcMar>
              <w:top w:w="50" w:type="dxa"/>
              <w:start w:w="55" w:type="dxa"/>
              <w:bottom w:w="50" w:type="dxa"/>
              <w:end w:w="55" w:type="dxa"/>
            </w:tcMar>
            <w:shd w:fill="FFFFFF"/>
            <w:vAlign w:val="top"/>
          </w:tcPr>
          <w:p>
            <w:pPr>
              <w:spacing w:after="0" w:line="228" w:lineRule="auto"/>
            </w:pPr>
            <w:r>
              <w:rPr>
                <w:rFonts w:ascii="Aptos" w:hAnsi="Aptos"/>
                <w:b w:val="0"/>
                <w:color w:val="3C4650"/>
                <w:sz w:val="13"/>
              </w:rPr>
              <w:t>—</w:t>
            </w:r>
          </w:p>
        </w:tc>
      </w:tr>
      <w:tr>
        <w:tc>
          <w:tcPr>
            <w:tcW w:type="dxa" w:w="4320"/>
            <w:tcMar>
              <w:top w:w="50" w:type="dxa"/>
              <w:start w:w="55" w:type="dxa"/>
              <w:bottom w:w="50" w:type="dxa"/>
              <w:end w:w="55" w:type="dxa"/>
            </w:tcMar>
            <w:shd w:fill="EEF4F8"/>
            <w:vAlign w:val="top"/>
          </w:tcPr>
          <w:p>
            <w:pPr>
              <w:spacing w:after="0" w:line="228" w:lineRule="auto"/>
            </w:pPr>
            <w:r>
              <w:rPr>
                <w:rFonts w:ascii="Aptos" w:hAnsi="Aptos"/>
                <w:b/>
                <w:color w:val="0B2748"/>
                <w:sz w:val="13"/>
              </w:rPr>
              <w:t>RF ledgers</w:t>
            </w:r>
          </w:p>
        </w:tc>
        <w:tc>
          <w:tcPr>
            <w:tcW w:type="dxa" w:w="2563"/>
            <w:tcMar>
              <w:top w:w="50" w:type="dxa"/>
              <w:start w:w="55" w:type="dxa"/>
              <w:bottom w:w="50" w:type="dxa"/>
              <w:end w:w="55" w:type="dxa"/>
            </w:tcMar>
            <w:shd w:fill="EEF4F8"/>
            <w:vAlign w:val="top"/>
          </w:tcPr>
          <w:p>
            <w:pPr>
              <w:spacing w:after="0" w:line="228" w:lineRule="auto"/>
            </w:pPr>
            <w:r>
              <w:rPr>
                <w:rFonts w:ascii="Aptos" w:hAnsi="Aptos"/>
                <w:b w:val="0"/>
                <w:color w:val="3C4650"/>
                <w:sz w:val="13"/>
              </w:rPr>
              <w:t>—</w:t>
            </w:r>
          </w:p>
        </w:tc>
        <w:tc>
          <w:tcPr>
            <w:tcW w:type="dxa" w:w="3196"/>
            <w:tcMar>
              <w:top w:w="50" w:type="dxa"/>
              <w:start w:w="55" w:type="dxa"/>
              <w:bottom w:w="50" w:type="dxa"/>
              <w:end w:w="55" w:type="dxa"/>
            </w:tcMar>
            <w:shd w:fill="EEF4F8"/>
            <w:vAlign w:val="top"/>
          </w:tcPr>
          <w:p>
            <w:pPr>
              <w:spacing w:after="0" w:line="228" w:lineRule="auto"/>
            </w:pPr>
            <w:r>
              <w:rPr>
                <w:rFonts w:ascii="Aptos" w:hAnsi="Aptos"/>
                <w:b w:val="0"/>
                <w:color w:val="3C4650"/>
                <w:sz w:val="13"/>
              </w:rPr>
              <w:t>XREF-007</w:t>
            </w:r>
          </w:p>
        </w:tc>
      </w:tr>
      <w:tr>
        <w:tc>
          <w:tcPr>
            <w:tcW w:type="dxa" w:w="4320"/>
            <w:tcMar>
              <w:top w:w="50" w:type="dxa"/>
              <w:start w:w="55" w:type="dxa"/>
              <w:bottom w:w="50" w:type="dxa"/>
              <w:end w:w="55" w:type="dxa"/>
            </w:tcMar>
            <w:shd w:fill="FFFFFF"/>
            <w:vAlign w:val="top"/>
          </w:tcPr>
          <w:p>
            <w:pPr>
              <w:spacing w:after="0" w:line="228" w:lineRule="auto"/>
            </w:pPr>
            <w:r>
              <w:rPr>
                <w:rFonts w:ascii="Aptos" w:hAnsi="Aptos"/>
                <w:b/>
                <w:color w:val="0B2748"/>
                <w:sz w:val="13"/>
              </w:rPr>
              <w:t>RF29 Calendar Domain Canon</w:t>
            </w:r>
          </w:p>
        </w:tc>
        <w:tc>
          <w:tcPr>
            <w:tcW w:type="dxa" w:w="2563"/>
            <w:tcMar>
              <w:top w:w="50" w:type="dxa"/>
              <w:start w:w="55" w:type="dxa"/>
              <w:bottom w:w="50" w:type="dxa"/>
              <w:end w:w="55" w:type="dxa"/>
            </w:tcMar>
            <w:shd w:fill="FFFFFF"/>
            <w:vAlign w:val="top"/>
          </w:tcPr>
          <w:p>
            <w:pPr>
              <w:spacing w:after="0" w:line="228" w:lineRule="auto"/>
            </w:pPr>
            <w:r>
              <w:rPr>
                <w:rFonts w:ascii="Aptos" w:hAnsi="Aptos"/>
                <w:b w:val="0"/>
                <w:color w:val="3C4650"/>
                <w:sz w:val="13"/>
              </w:rPr>
              <w:t>XREF-016</w:t>
            </w:r>
          </w:p>
        </w:tc>
        <w:tc>
          <w:tcPr>
            <w:tcW w:type="dxa" w:w="3196"/>
            <w:tcMar>
              <w:top w:w="50" w:type="dxa"/>
              <w:start w:w="55" w:type="dxa"/>
              <w:bottom w:w="50" w:type="dxa"/>
              <w:end w:w="55" w:type="dxa"/>
            </w:tcMar>
            <w:shd w:fill="FFFFFF"/>
            <w:vAlign w:val="top"/>
          </w:tcPr>
          <w:p>
            <w:pPr>
              <w:spacing w:after="0" w:line="228" w:lineRule="auto"/>
            </w:pPr>
            <w:r>
              <w:rPr>
                <w:rFonts w:ascii="Aptos" w:hAnsi="Aptos"/>
                <w:b w:val="0"/>
                <w:color w:val="3C4650"/>
                <w:sz w:val="13"/>
              </w:rPr>
              <w:t>XREF-014; XREF-017, XREF-018</w:t>
            </w:r>
          </w:p>
        </w:tc>
      </w:tr>
    </w:tbl>
    <w:p>
      <w:pPr>
        <w:spacing w:after="0"/>
      </w:pPr>
    </w:p>
    <w:p>
      <w:pPr>
        <w:pageBreakBefore/>
        <w:spacing w:after="0"/>
      </w:pPr>
    </w:p>
    <w:p>
      <w:pPr>
        <w:pStyle w:val="Heading1"/>
      </w:pPr>
      <w:r>
        <w:t>7. High-Risk Cross-Canon Reading Sets</w:t>
      </w:r>
    </w:p>
    <w:p>
      <w:pPr>
        <w:keepNext w:val="0"/>
        <w:spacing w:after="60" w:line="245" w:lineRule="auto"/>
      </w:pPr>
      <w:r>
        <w:rPr>
          <w:rFonts w:ascii="Aptos" w:hAnsi="Aptos"/>
          <w:i w:val="0"/>
          <w:color w:val="3C4650"/>
          <w:sz w:val="18"/>
        </w:rPr>
        <w:t>These reading sets are designed for matters where consulting only one canon would create a material risk of incomplete interpretation. They are starting packages, not substitutes for fact-specific review.</w:t>
      </w:r>
    </w:p>
    <w:p>
      <w:pPr>
        <w:pStyle w:val="Heading2"/>
        <w:keepNext/>
        <w:spacing w:before="100" w:after="40"/>
      </w:pPr>
      <w:r>
        <w:rPr>
          <w:rFonts w:ascii="Aptos Display" w:hAnsi="Aptos Display"/>
          <w:b/>
          <w:color w:val="1F4E79"/>
          <w:sz w:val="21"/>
        </w:rPr>
        <w:t>7.1 Horse identity, ownership, transfer, and continuity</w:t>
      </w:r>
    </w:p>
    <w:tbl>
      <w:tblPr>
        <w:tblW w:type="auto" w:w="0"/>
        <w:jc w:val="center"/>
        <w:tblLayout w:type="fixed"/>
        <w:tblLook w:firstColumn="1" w:firstRow="1" w:lastColumn="0" w:lastRow="0" w:noHBand="0" w:noVBand="1" w:val="04A0"/>
        <w:tblBorders>
          <w:top w:val="single" w:sz="4" w:space="0" w:color="B8C8D6"/>
          <w:left w:val="single" w:sz="4" w:space="0" w:color="B8C8D6"/>
          <w:bottom w:val="single" w:sz="4" w:space="0" w:color="B8C8D6"/>
          <w:right w:val="single" w:sz="4" w:space="0" w:color="B8C8D6"/>
          <w:insideH w:val="single" w:sz="4" w:space="0" w:color="B8C8D6"/>
          <w:insideV w:val="single" w:sz="4" w:space="0" w:color="B8C8D6"/>
        </w:tblBorders>
      </w:tblPr>
      <w:tblGrid>
        <w:gridCol w:w="5083"/>
        <w:gridCol w:w="5083"/>
      </w:tblGrid>
      <w:tr>
        <w:trPr>
          <w:cantSplit/>
        </w:trPr>
        <w:tc>
          <w:tcPr>
            <w:tcW w:type="dxa" w:w="1512"/>
            <w:tcMar>
              <w:top w:w="45" w:type="dxa"/>
              <w:start w:w="65" w:type="dxa"/>
              <w:bottom w:w="45" w:type="dxa"/>
              <w:end w:w="65" w:type="dxa"/>
            </w:tcMar>
            <w:vAlign w:val="top"/>
            <w:shd w:fill="DCE6F1"/>
          </w:tcPr>
          <w:p>
            <w:pPr>
              <w:keepNext/>
              <w:spacing w:after="0"/>
            </w:pPr>
            <w:r>
              <w:rPr>
                <w:rFonts w:ascii="Aptos" w:hAnsi="Aptos"/>
                <w:b/>
                <w:color w:val="0B2748"/>
                <w:sz w:val="15"/>
              </w:rPr>
              <w:t>Use when</w:t>
            </w:r>
          </w:p>
        </w:tc>
        <w:tc>
          <w:tcPr>
            <w:tcW w:type="dxa" w:w="8568"/>
            <w:tcMar>
              <w:top w:w="45" w:type="dxa"/>
              <w:start w:w="65" w:type="dxa"/>
              <w:bottom w:w="45" w:type="dxa"/>
              <w:end w:w="65" w:type="dxa"/>
            </w:tcMar>
            <w:vAlign w:val="top"/>
            <w:shd w:fill="FFFFFF"/>
          </w:tcPr>
          <w:p>
            <w:pPr>
              <w:keepNext/>
              <w:spacing w:after="0" w:line="235" w:lineRule="auto"/>
            </w:pPr>
            <w:r>
              <w:rPr>
                <w:rFonts w:ascii="Aptos" w:hAnsi="Aptos"/>
                <w:b w:val="0"/>
                <w:color w:val="3C4650"/>
                <w:sz w:val="15"/>
              </w:rPr>
              <w:t>A horse is created, corrected, transferred, moved, disputed, inherited, or separated from a prior owner or facility.</w:t>
            </w:r>
          </w:p>
        </w:tc>
      </w:tr>
      <w:tr>
        <w:trPr>
          <w:cantSplit/>
        </w:trPr>
        <w:tc>
          <w:tcPr>
            <w:tcW w:type="dxa" w:w="1512"/>
            <w:tcMar>
              <w:top w:w="45" w:type="dxa"/>
              <w:start w:w="65" w:type="dxa"/>
              <w:bottom w:w="45" w:type="dxa"/>
              <w:end w:w="65" w:type="dxa"/>
            </w:tcMar>
            <w:vAlign w:val="top"/>
            <w:shd w:fill="DCE6F1"/>
          </w:tcPr>
          <w:p>
            <w:pPr>
              <w:keepNext/>
              <w:spacing w:after="0"/>
            </w:pPr>
            <w:r>
              <w:rPr>
                <w:rFonts w:ascii="Aptos" w:hAnsi="Aptos"/>
                <w:b/>
                <w:color w:val="0B2748"/>
                <w:sz w:val="15"/>
              </w:rPr>
              <w:t>Start with</w:t>
            </w:r>
          </w:p>
        </w:tc>
        <w:tc>
          <w:tcPr>
            <w:tcW w:type="dxa" w:w="8568"/>
            <w:tcMar>
              <w:top w:w="45" w:type="dxa"/>
              <w:start w:w="65" w:type="dxa"/>
              <w:bottom w:w="45" w:type="dxa"/>
              <w:end w:w="65" w:type="dxa"/>
            </w:tcMar>
            <w:vAlign w:val="top"/>
            <w:shd w:fill="F3F5F7"/>
          </w:tcPr>
          <w:p>
            <w:pPr>
              <w:keepNext/>
              <w:spacing w:after="0" w:line="235" w:lineRule="auto"/>
            </w:pPr>
            <w:r>
              <w:rPr>
                <w:rFonts w:ascii="Aptos" w:hAnsi="Aptos"/>
                <w:b w:val="0"/>
                <w:color w:val="3C4650"/>
                <w:sz w:val="15"/>
              </w:rPr>
              <w:t>Master Horse Lifecycle and Passport Model; Master Horse Transfer and Continuity Policy</w:t>
            </w:r>
          </w:p>
        </w:tc>
      </w:tr>
      <w:tr>
        <w:trPr>
          <w:cantSplit/>
        </w:trPr>
        <w:tc>
          <w:tcPr>
            <w:tcW w:type="dxa" w:w="1512"/>
            <w:tcMar>
              <w:top w:w="45" w:type="dxa"/>
              <w:start w:w="65" w:type="dxa"/>
              <w:bottom w:w="45" w:type="dxa"/>
              <w:end w:w="65" w:type="dxa"/>
            </w:tcMar>
            <w:vAlign w:val="top"/>
            <w:shd w:fill="DCE6F1"/>
          </w:tcPr>
          <w:p>
            <w:pPr>
              <w:keepNext/>
              <w:spacing w:after="0"/>
            </w:pPr>
            <w:r>
              <w:rPr>
                <w:rFonts w:ascii="Aptos" w:hAnsi="Aptos"/>
                <w:b/>
                <w:color w:val="0B2748"/>
                <w:sz w:val="15"/>
              </w:rPr>
              <w:t>Read with</w:t>
            </w:r>
          </w:p>
        </w:tc>
        <w:tc>
          <w:tcPr>
            <w:tcW w:type="dxa" w:w="8568"/>
            <w:tcMar>
              <w:top w:w="45" w:type="dxa"/>
              <w:start w:w="65" w:type="dxa"/>
              <w:bottom w:w="45" w:type="dxa"/>
              <w:end w:w="65" w:type="dxa"/>
            </w:tcMar>
            <w:vAlign w:val="top"/>
            <w:shd w:fill="FFFFFF"/>
          </w:tcPr>
          <w:p>
            <w:pPr>
              <w:keepNext/>
              <w:spacing w:after="0" w:line="235" w:lineRule="auto"/>
            </w:pPr>
            <w:r>
              <w:rPr>
                <w:rFonts w:ascii="Aptos" w:hAnsi="Aptos"/>
                <w:b w:val="0"/>
                <w:color w:val="3C4650"/>
                <w:sz w:val="15"/>
              </w:rPr>
              <w:t>Master Relationship Model; Master Permission and Access-Control Model; Master Record Stewardship and Retention Model; Master Claims, Disputes, and Authority Model; Master Audit Event and Evidence Model</w:t>
            </w:r>
          </w:p>
        </w:tc>
      </w:tr>
      <w:tr>
        <w:trPr>
          <w:cantSplit/>
        </w:trPr>
        <w:tc>
          <w:tcPr>
            <w:tcW w:type="dxa" w:w="1512"/>
            <w:tcMar>
              <w:top w:w="45" w:type="dxa"/>
              <w:start w:w="65" w:type="dxa"/>
              <w:bottom w:w="45" w:type="dxa"/>
              <w:end w:w="65" w:type="dxa"/>
            </w:tcMar>
            <w:vAlign w:val="top"/>
            <w:shd w:fill="DCE6F1"/>
          </w:tcPr>
          <w:p>
            <w:pPr>
              <w:keepNext w:val="0"/>
              <w:spacing w:after="0"/>
            </w:pPr>
            <w:r>
              <w:rPr>
                <w:rFonts w:ascii="Aptos" w:hAnsi="Aptos"/>
                <w:b/>
                <w:color w:val="0B2748"/>
                <w:sz w:val="15"/>
              </w:rPr>
              <w:t>Index entries</w:t>
            </w:r>
          </w:p>
        </w:tc>
        <w:tc>
          <w:tcPr>
            <w:tcW w:type="dxa" w:w="8568"/>
            <w:tcMar>
              <w:top w:w="45" w:type="dxa"/>
              <w:start w:w="65" w:type="dxa"/>
              <w:bottom w:w="45" w:type="dxa"/>
              <w:end w:w="65" w:type="dxa"/>
            </w:tcMar>
            <w:vAlign w:val="top"/>
            <w:shd w:fill="F3F5F7"/>
          </w:tcPr>
          <w:p>
            <w:pPr>
              <w:keepNext w:val="0"/>
              <w:spacing w:after="0" w:line="235" w:lineRule="auto"/>
            </w:pPr>
            <w:r>
              <w:rPr>
                <w:rFonts w:ascii="Aptos" w:hAnsi="Aptos"/>
                <w:b/>
                <w:color w:val="3C4650"/>
                <w:sz w:val="15"/>
              </w:rPr>
              <w:t>XREF-011–012; XREF-026–027; XREF-034; XREF-051–056; XREF-090</w:t>
            </w:r>
          </w:p>
        </w:tc>
      </w:tr>
    </w:tbl>
    <w:p>
      <w:pPr>
        <w:spacing w:after="20"/>
      </w:pPr>
    </w:p>
    <w:p>
      <w:pPr>
        <w:pStyle w:val="Heading2"/>
        <w:keepNext/>
        <w:spacing w:before="100" w:after="40"/>
      </w:pPr>
      <w:r>
        <w:rPr>
          <w:rFonts w:ascii="Aptos Display" w:hAnsi="Aptos Display"/>
          <w:b/>
          <w:color w:val="1F4E79"/>
          <w:sz w:val="21"/>
        </w:rPr>
        <w:t>7.2 Facility, barn operations, daily care, and scheduling</w:t>
      </w:r>
    </w:p>
    <w:tbl>
      <w:tblPr>
        <w:tblW w:type="auto" w:w="0"/>
        <w:jc w:val="center"/>
        <w:tblLayout w:type="fixed"/>
        <w:tblLook w:firstColumn="1" w:firstRow="1" w:lastColumn="0" w:lastRow="0" w:noHBand="0" w:noVBand="1" w:val="04A0"/>
        <w:tblBorders>
          <w:top w:val="single" w:sz="4" w:space="0" w:color="B8C8D6"/>
          <w:left w:val="single" w:sz="4" w:space="0" w:color="B8C8D6"/>
          <w:bottom w:val="single" w:sz="4" w:space="0" w:color="B8C8D6"/>
          <w:right w:val="single" w:sz="4" w:space="0" w:color="B8C8D6"/>
          <w:insideH w:val="single" w:sz="4" w:space="0" w:color="B8C8D6"/>
          <w:insideV w:val="single" w:sz="4" w:space="0" w:color="B8C8D6"/>
        </w:tblBorders>
      </w:tblPr>
      <w:tblGrid>
        <w:gridCol w:w="5083"/>
        <w:gridCol w:w="5083"/>
      </w:tblGrid>
      <w:tr>
        <w:trPr>
          <w:cantSplit/>
        </w:trPr>
        <w:tc>
          <w:tcPr>
            <w:tcW w:type="dxa" w:w="1512"/>
            <w:tcMar>
              <w:top w:w="45" w:type="dxa"/>
              <w:start w:w="65" w:type="dxa"/>
              <w:bottom w:w="45" w:type="dxa"/>
              <w:end w:w="65" w:type="dxa"/>
            </w:tcMar>
            <w:vAlign w:val="top"/>
            <w:shd w:fill="DCE6F1"/>
          </w:tcPr>
          <w:p>
            <w:pPr>
              <w:keepNext/>
              <w:spacing w:after="0"/>
            </w:pPr>
            <w:r>
              <w:rPr>
                <w:rFonts w:ascii="Aptos" w:hAnsi="Aptos"/>
                <w:b/>
                <w:color w:val="0B2748"/>
                <w:sz w:val="15"/>
              </w:rPr>
              <w:t>Use when</w:t>
            </w:r>
          </w:p>
        </w:tc>
        <w:tc>
          <w:tcPr>
            <w:tcW w:type="dxa" w:w="8568"/>
            <w:tcMar>
              <w:top w:w="45" w:type="dxa"/>
              <w:start w:w="65" w:type="dxa"/>
              <w:bottom w:w="45" w:type="dxa"/>
              <w:end w:w="65" w:type="dxa"/>
            </w:tcMar>
            <w:vAlign w:val="top"/>
            <w:shd w:fill="FFFFFF"/>
          </w:tcPr>
          <w:p>
            <w:pPr>
              <w:keepNext/>
              <w:spacing w:after="0" w:line="235" w:lineRule="auto"/>
            </w:pPr>
            <w:r>
              <w:rPr>
                <w:rFonts w:ascii="Aptos" w:hAnsi="Aptos"/>
                <w:b w:val="0"/>
                <w:color w:val="3C4650"/>
                <w:sz w:val="15"/>
              </w:rPr>
              <w:t>A facility, barn, lesson, provider, task, care instruction, calendar event, inventory item, or operational handoff is being governed.</w:t>
            </w:r>
          </w:p>
        </w:tc>
      </w:tr>
      <w:tr>
        <w:trPr>
          <w:cantSplit/>
        </w:trPr>
        <w:tc>
          <w:tcPr>
            <w:tcW w:type="dxa" w:w="1512"/>
            <w:tcMar>
              <w:top w:w="45" w:type="dxa"/>
              <w:start w:w="65" w:type="dxa"/>
              <w:bottom w:w="45" w:type="dxa"/>
              <w:end w:w="65" w:type="dxa"/>
            </w:tcMar>
            <w:vAlign w:val="top"/>
            <w:shd w:fill="DCE6F1"/>
          </w:tcPr>
          <w:p>
            <w:pPr>
              <w:keepNext/>
              <w:spacing w:after="0"/>
            </w:pPr>
            <w:r>
              <w:rPr>
                <w:rFonts w:ascii="Aptos" w:hAnsi="Aptos"/>
                <w:b/>
                <w:color w:val="0B2748"/>
                <w:sz w:val="15"/>
              </w:rPr>
              <w:t>Start with</w:t>
            </w:r>
          </w:p>
        </w:tc>
        <w:tc>
          <w:tcPr>
            <w:tcW w:type="dxa" w:w="8568"/>
            <w:tcMar>
              <w:top w:w="45" w:type="dxa"/>
              <w:start w:w="65" w:type="dxa"/>
              <w:bottom w:w="45" w:type="dxa"/>
              <w:end w:w="65" w:type="dxa"/>
            </w:tcMar>
            <w:vAlign w:val="top"/>
            <w:shd w:fill="F3F5F7"/>
          </w:tcPr>
          <w:p>
            <w:pPr>
              <w:keepNext/>
              <w:spacing w:after="0" w:line="235" w:lineRule="auto"/>
            </w:pPr>
            <w:r>
              <w:rPr>
                <w:rFonts w:ascii="Aptos" w:hAnsi="Aptos"/>
                <w:b w:val="0"/>
                <w:color w:val="3C4650"/>
                <w:sz w:val="15"/>
              </w:rPr>
              <w:t>Master Facility Domain Model; Master Barn Lifecycle and Operations Canon; RF29 Calendar Domain Canon</w:t>
            </w:r>
          </w:p>
        </w:tc>
      </w:tr>
      <w:tr>
        <w:trPr>
          <w:cantSplit/>
        </w:trPr>
        <w:tc>
          <w:tcPr>
            <w:tcW w:type="dxa" w:w="1512"/>
            <w:tcMar>
              <w:top w:w="45" w:type="dxa"/>
              <w:start w:w="65" w:type="dxa"/>
              <w:bottom w:w="45" w:type="dxa"/>
              <w:end w:w="65" w:type="dxa"/>
            </w:tcMar>
            <w:vAlign w:val="top"/>
            <w:shd w:fill="DCE6F1"/>
          </w:tcPr>
          <w:p>
            <w:pPr>
              <w:keepNext/>
              <w:spacing w:after="0"/>
            </w:pPr>
            <w:r>
              <w:rPr>
                <w:rFonts w:ascii="Aptos" w:hAnsi="Aptos"/>
                <w:b/>
                <w:color w:val="0B2748"/>
                <w:sz w:val="15"/>
              </w:rPr>
              <w:t>Read with</w:t>
            </w:r>
          </w:p>
        </w:tc>
        <w:tc>
          <w:tcPr>
            <w:tcW w:type="dxa" w:w="8568"/>
            <w:tcMar>
              <w:top w:w="45" w:type="dxa"/>
              <w:start w:w="65" w:type="dxa"/>
              <w:bottom w:w="45" w:type="dxa"/>
              <w:end w:w="65" w:type="dxa"/>
            </w:tcMar>
            <w:vAlign w:val="top"/>
            <w:shd w:fill="FFFFFF"/>
          </w:tcPr>
          <w:p>
            <w:pPr>
              <w:keepNext/>
              <w:spacing w:after="0" w:line="235" w:lineRule="auto"/>
            </w:pPr>
            <w:r>
              <w:rPr>
                <w:rFonts w:ascii="Aptos" w:hAnsi="Aptos"/>
                <w:b w:val="0"/>
                <w:color w:val="3C4650"/>
                <w:sz w:val="15"/>
              </w:rPr>
              <w:t>Master Relationship Model; Master Permission and Access-Control Model; Master Horse Lifecycle and Passport Model; Master Communication, Notification, and Notice Model; Master Audit Event and Evidence Model</w:t>
            </w:r>
          </w:p>
        </w:tc>
      </w:tr>
      <w:tr>
        <w:trPr>
          <w:cantSplit/>
        </w:trPr>
        <w:tc>
          <w:tcPr>
            <w:tcW w:type="dxa" w:w="1512"/>
            <w:tcMar>
              <w:top w:w="45" w:type="dxa"/>
              <w:start w:w="65" w:type="dxa"/>
              <w:bottom w:w="45" w:type="dxa"/>
              <w:end w:w="65" w:type="dxa"/>
            </w:tcMar>
            <w:vAlign w:val="top"/>
            <w:shd w:fill="DCE6F1"/>
          </w:tcPr>
          <w:p>
            <w:pPr>
              <w:keepNext w:val="0"/>
              <w:spacing w:after="0"/>
            </w:pPr>
            <w:r>
              <w:rPr>
                <w:rFonts w:ascii="Aptos" w:hAnsi="Aptos"/>
                <w:b/>
                <w:color w:val="0B2748"/>
                <w:sz w:val="15"/>
              </w:rPr>
              <w:t>Index entries</w:t>
            </w:r>
          </w:p>
        </w:tc>
        <w:tc>
          <w:tcPr>
            <w:tcW w:type="dxa" w:w="8568"/>
            <w:tcMar>
              <w:top w:w="45" w:type="dxa"/>
              <w:start w:w="65" w:type="dxa"/>
              <w:bottom w:w="45" w:type="dxa"/>
              <w:end w:w="65" w:type="dxa"/>
            </w:tcMar>
            <w:vAlign w:val="top"/>
            <w:shd w:fill="F3F5F7"/>
          </w:tcPr>
          <w:p>
            <w:pPr>
              <w:keepNext w:val="0"/>
              <w:spacing w:after="0" w:line="235" w:lineRule="auto"/>
            </w:pPr>
            <w:r>
              <w:rPr>
                <w:rFonts w:ascii="Aptos" w:hAnsi="Aptos"/>
                <w:b/>
                <w:color w:val="3C4650"/>
                <w:sz w:val="15"/>
              </w:rPr>
              <w:t>XREF-013–020</w:t>
            </w:r>
          </w:p>
        </w:tc>
      </w:tr>
    </w:tbl>
    <w:p>
      <w:pPr>
        <w:spacing w:after="20"/>
      </w:pPr>
    </w:p>
    <w:p>
      <w:pPr>
        <w:pStyle w:val="Heading2"/>
        <w:keepNext/>
        <w:spacing w:before="100" w:after="40"/>
      </w:pPr>
      <w:r>
        <w:rPr>
          <w:rFonts w:ascii="Aptos Display" w:hAnsi="Aptos Display"/>
          <w:b/>
          <w:color w:val="1F4E79"/>
          <w:sz w:val="21"/>
        </w:rPr>
        <w:t>7.3 Identity, representation, relationships, and membership</w:t>
      </w:r>
    </w:p>
    <w:tbl>
      <w:tblPr>
        <w:tblW w:type="auto" w:w="0"/>
        <w:jc w:val="center"/>
        <w:tblLayout w:type="fixed"/>
        <w:tblLook w:firstColumn="1" w:firstRow="1" w:lastColumn="0" w:lastRow="0" w:noHBand="0" w:noVBand="1" w:val="04A0"/>
        <w:tblBorders>
          <w:top w:val="single" w:sz="4" w:space="0" w:color="B8C8D6"/>
          <w:left w:val="single" w:sz="4" w:space="0" w:color="B8C8D6"/>
          <w:bottom w:val="single" w:sz="4" w:space="0" w:color="B8C8D6"/>
          <w:right w:val="single" w:sz="4" w:space="0" w:color="B8C8D6"/>
          <w:insideH w:val="single" w:sz="4" w:space="0" w:color="B8C8D6"/>
          <w:insideV w:val="single" w:sz="4" w:space="0" w:color="B8C8D6"/>
        </w:tblBorders>
      </w:tblPr>
      <w:tblGrid>
        <w:gridCol w:w="5083"/>
        <w:gridCol w:w="5083"/>
      </w:tblGrid>
      <w:tr>
        <w:trPr>
          <w:cantSplit/>
        </w:trPr>
        <w:tc>
          <w:tcPr>
            <w:tcW w:type="dxa" w:w="1512"/>
            <w:tcMar>
              <w:top w:w="45" w:type="dxa"/>
              <w:start w:w="65" w:type="dxa"/>
              <w:bottom w:w="45" w:type="dxa"/>
              <w:end w:w="65" w:type="dxa"/>
            </w:tcMar>
            <w:vAlign w:val="top"/>
            <w:shd w:fill="DCE6F1"/>
          </w:tcPr>
          <w:p>
            <w:pPr>
              <w:keepNext/>
              <w:spacing w:after="0"/>
            </w:pPr>
            <w:r>
              <w:rPr>
                <w:rFonts w:ascii="Aptos" w:hAnsi="Aptos"/>
                <w:b/>
                <w:color w:val="0B2748"/>
                <w:sz w:val="15"/>
              </w:rPr>
              <w:t>Use when</w:t>
            </w:r>
          </w:p>
        </w:tc>
        <w:tc>
          <w:tcPr>
            <w:tcW w:type="dxa" w:w="8568"/>
            <w:tcMar>
              <w:top w:w="45" w:type="dxa"/>
              <w:start w:w="65" w:type="dxa"/>
              <w:bottom w:w="45" w:type="dxa"/>
              <w:end w:w="65" w:type="dxa"/>
            </w:tcMar>
            <w:vAlign w:val="top"/>
            <w:shd w:fill="FFFFFF"/>
          </w:tcPr>
          <w:p>
            <w:pPr>
              <w:keepNext/>
              <w:spacing w:after="0" w:line="235" w:lineRule="auto"/>
            </w:pPr>
            <w:r>
              <w:rPr>
                <w:rFonts w:ascii="Aptos" w:hAnsi="Aptos"/>
                <w:b w:val="0"/>
                <w:color w:val="3C4650"/>
                <w:sz w:val="15"/>
              </w:rPr>
              <w:t>The question is who or what acted, for whom, in what capacity, under which relationship, and inside which organization or tenant context.</w:t>
            </w:r>
          </w:p>
        </w:tc>
      </w:tr>
      <w:tr>
        <w:trPr>
          <w:cantSplit/>
        </w:trPr>
        <w:tc>
          <w:tcPr>
            <w:tcW w:type="dxa" w:w="1512"/>
            <w:tcMar>
              <w:top w:w="45" w:type="dxa"/>
              <w:start w:w="65" w:type="dxa"/>
              <w:bottom w:w="45" w:type="dxa"/>
              <w:end w:w="65" w:type="dxa"/>
            </w:tcMar>
            <w:vAlign w:val="top"/>
            <w:shd w:fill="DCE6F1"/>
          </w:tcPr>
          <w:p>
            <w:pPr>
              <w:keepNext/>
              <w:spacing w:after="0"/>
            </w:pPr>
            <w:r>
              <w:rPr>
                <w:rFonts w:ascii="Aptos" w:hAnsi="Aptos"/>
                <w:b/>
                <w:color w:val="0B2748"/>
                <w:sz w:val="15"/>
              </w:rPr>
              <w:t>Start with</w:t>
            </w:r>
          </w:p>
        </w:tc>
        <w:tc>
          <w:tcPr>
            <w:tcW w:type="dxa" w:w="8568"/>
            <w:tcMar>
              <w:top w:w="45" w:type="dxa"/>
              <w:start w:w="65" w:type="dxa"/>
              <w:bottom w:w="45" w:type="dxa"/>
              <w:end w:w="65" w:type="dxa"/>
            </w:tcMar>
            <w:vAlign w:val="top"/>
            <w:shd w:fill="F3F5F7"/>
          </w:tcPr>
          <w:p>
            <w:pPr>
              <w:keepNext/>
              <w:spacing w:after="0" w:line="235" w:lineRule="auto"/>
            </w:pPr>
            <w:r>
              <w:rPr>
                <w:rFonts w:ascii="Aptos" w:hAnsi="Aptos"/>
                <w:b w:val="0"/>
                <w:color w:val="3C4650"/>
                <w:sz w:val="15"/>
              </w:rPr>
              <w:t>Master Identity, Account, and Actor Model; Master Relationship Model</w:t>
            </w:r>
          </w:p>
        </w:tc>
      </w:tr>
      <w:tr>
        <w:trPr>
          <w:cantSplit/>
        </w:trPr>
        <w:tc>
          <w:tcPr>
            <w:tcW w:type="dxa" w:w="1512"/>
            <w:tcMar>
              <w:top w:w="45" w:type="dxa"/>
              <w:start w:w="65" w:type="dxa"/>
              <w:bottom w:w="45" w:type="dxa"/>
              <w:end w:w="65" w:type="dxa"/>
            </w:tcMar>
            <w:vAlign w:val="top"/>
            <w:shd w:fill="DCE6F1"/>
          </w:tcPr>
          <w:p>
            <w:pPr>
              <w:keepNext/>
              <w:spacing w:after="0"/>
            </w:pPr>
            <w:r>
              <w:rPr>
                <w:rFonts w:ascii="Aptos" w:hAnsi="Aptos"/>
                <w:b/>
                <w:color w:val="0B2748"/>
                <w:sz w:val="15"/>
              </w:rPr>
              <w:t>Read with</w:t>
            </w:r>
          </w:p>
        </w:tc>
        <w:tc>
          <w:tcPr>
            <w:tcW w:type="dxa" w:w="8568"/>
            <w:tcMar>
              <w:top w:w="45" w:type="dxa"/>
              <w:start w:w="65" w:type="dxa"/>
              <w:bottom w:w="45" w:type="dxa"/>
              <w:end w:w="65" w:type="dxa"/>
            </w:tcMar>
            <w:vAlign w:val="top"/>
            <w:shd w:fill="FFFFFF"/>
          </w:tcPr>
          <w:p>
            <w:pPr>
              <w:keepNext/>
              <w:spacing w:after="0" w:line="235" w:lineRule="auto"/>
            </w:pPr>
            <w:r>
              <w:rPr>
                <w:rFonts w:ascii="Aptos" w:hAnsi="Aptos"/>
                <w:b w:val="0"/>
                <w:color w:val="3C4650"/>
                <w:sz w:val="15"/>
              </w:rPr>
              <w:t>Master Agreement, Consent, and Authorization Model; Master Permission and Access-Control Model; Minor, Guardian, Safeguarding, and Delegated-Assistance Canon; Master Audit Event and Evidence Model</w:t>
            </w:r>
          </w:p>
        </w:tc>
      </w:tr>
      <w:tr>
        <w:trPr>
          <w:cantSplit/>
        </w:trPr>
        <w:tc>
          <w:tcPr>
            <w:tcW w:type="dxa" w:w="1512"/>
            <w:tcMar>
              <w:top w:w="45" w:type="dxa"/>
              <w:start w:w="65" w:type="dxa"/>
              <w:bottom w:w="45" w:type="dxa"/>
              <w:end w:w="65" w:type="dxa"/>
            </w:tcMar>
            <w:vAlign w:val="top"/>
            <w:shd w:fill="DCE6F1"/>
          </w:tcPr>
          <w:p>
            <w:pPr>
              <w:keepNext w:val="0"/>
              <w:spacing w:after="0"/>
            </w:pPr>
            <w:r>
              <w:rPr>
                <w:rFonts w:ascii="Aptos" w:hAnsi="Aptos"/>
                <w:b/>
                <w:color w:val="0B2748"/>
                <w:sz w:val="15"/>
              </w:rPr>
              <w:t>Index entries</w:t>
            </w:r>
          </w:p>
        </w:tc>
        <w:tc>
          <w:tcPr>
            <w:tcW w:type="dxa" w:w="8568"/>
            <w:tcMar>
              <w:top w:w="45" w:type="dxa"/>
              <w:start w:w="65" w:type="dxa"/>
              <w:bottom w:w="45" w:type="dxa"/>
              <w:end w:w="65" w:type="dxa"/>
            </w:tcMar>
            <w:vAlign w:val="top"/>
            <w:shd w:fill="F3F5F7"/>
          </w:tcPr>
          <w:p>
            <w:pPr>
              <w:keepNext w:val="0"/>
              <w:spacing w:after="0" w:line="235" w:lineRule="auto"/>
            </w:pPr>
            <w:r>
              <w:rPr>
                <w:rFonts w:ascii="Aptos" w:hAnsi="Aptos"/>
                <w:b/>
                <w:color w:val="3C4650"/>
                <w:sz w:val="15"/>
              </w:rPr>
              <w:t>XREF-021–028; XREF-031–039</w:t>
            </w:r>
          </w:p>
        </w:tc>
      </w:tr>
    </w:tbl>
    <w:p>
      <w:pPr>
        <w:spacing w:after="20"/>
      </w:pPr>
    </w:p>
    <w:p>
      <w:pPr>
        <w:pStyle w:val="Heading2"/>
        <w:keepNext/>
        <w:spacing w:before="100" w:after="40"/>
      </w:pPr>
      <w:r>
        <w:rPr>
          <w:rFonts w:ascii="Aptos Display" w:hAnsi="Aptos Display"/>
          <w:b/>
          <w:color w:val="1F4E79"/>
          <w:sz w:val="21"/>
        </w:rPr>
        <w:t>7.4 Minors, guardians, safeguarding, and delegated assistance</w:t>
      </w:r>
    </w:p>
    <w:tbl>
      <w:tblPr>
        <w:tblW w:type="auto" w:w="0"/>
        <w:jc w:val="center"/>
        <w:tblLayout w:type="fixed"/>
        <w:tblLook w:firstColumn="1" w:firstRow="1" w:lastColumn="0" w:lastRow="0" w:noHBand="0" w:noVBand="1" w:val="04A0"/>
        <w:tblBorders>
          <w:top w:val="single" w:sz="4" w:space="0" w:color="B8C8D6"/>
          <w:left w:val="single" w:sz="4" w:space="0" w:color="B8C8D6"/>
          <w:bottom w:val="single" w:sz="4" w:space="0" w:color="B8C8D6"/>
          <w:right w:val="single" w:sz="4" w:space="0" w:color="B8C8D6"/>
          <w:insideH w:val="single" w:sz="4" w:space="0" w:color="B8C8D6"/>
          <w:insideV w:val="single" w:sz="4" w:space="0" w:color="B8C8D6"/>
        </w:tblBorders>
      </w:tblPr>
      <w:tblGrid>
        <w:gridCol w:w="5083"/>
        <w:gridCol w:w="5083"/>
      </w:tblGrid>
      <w:tr>
        <w:trPr>
          <w:cantSplit/>
        </w:trPr>
        <w:tc>
          <w:tcPr>
            <w:tcW w:type="dxa" w:w="1512"/>
            <w:tcMar>
              <w:top w:w="45" w:type="dxa"/>
              <w:start w:w="65" w:type="dxa"/>
              <w:bottom w:w="45" w:type="dxa"/>
              <w:end w:w="65" w:type="dxa"/>
            </w:tcMar>
            <w:vAlign w:val="top"/>
            <w:shd w:fill="DCE6F1"/>
          </w:tcPr>
          <w:p>
            <w:pPr>
              <w:keepNext/>
              <w:spacing w:after="0"/>
            </w:pPr>
            <w:r>
              <w:rPr>
                <w:rFonts w:ascii="Aptos" w:hAnsi="Aptos"/>
                <w:b/>
                <w:color w:val="0B2748"/>
                <w:sz w:val="15"/>
              </w:rPr>
              <w:t>Use when</w:t>
            </w:r>
          </w:p>
        </w:tc>
        <w:tc>
          <w:tcPr>
            <w:tcW w:type="dxa" w:w="8568"/>
            <w:tcMar>
              <w:top w:w="45" w:type="dxa"/>
              <w:start w:w="65" w:type="dxa"/>
              <w:bottom w:w="45" w:type="dxa"/>
              <w:end w:w="65" w:type="dxa"/>
            </w:tcMar>
            <w:vAlign w:val="top"/>
            <w:shd w:fill="FFFFFF"/>
          </w:tcPr>
          <w:p>
            <w:pPr>
              <w:keepNext/>
              <w:spacing w:after="0" w:line="235" w:lineRule="auto"/>
            </w:pPr>
            <w:r>
              <w:rPr>
                <w:rFonts w:ascii="Aptos" w:hAnsi="Aptos"/>
                <w:b w:val="0"/>
                <w:color w:val="3C4650"/>
                <w:sz w:val="15"/>
              </w:rPr>
              <w:t>A minor participates, a guardian acts, safeguarding information exists, or another person receives task-limited access to assist with horse care.</w:t>
            </w:r>
          </w:p>
        </w:tc>
      </w:tr>
      <w:tr>
        <w:trPr>
          <w:cantSplit/>
        </w:trPr>
        <w:tc>
          <w:tcPr>
            <w:tcW w:type="dxa" w:w="1512"/>
            <w:tcMar>
              <w:top w:w="45" w:type="dxa"/>
              <w:start w:w="65" w:type="dxa"/>
              <w:bottom w:w="45" w:type="dxa"/>
              <w:end w:w="65" w:type="dxa"/>
            </w:tcMar>
            <w:vAlign w:val="top"/>
            <w:shd w:fill="DCE6F1"/>
          </w:tcPr>
          <w:p>
            <w:pPr>
              <w:keepNext/>
              <w:spacing w:after="0"/>
            </w:pPr>
            <w:r>
              <w:rPr>
                <w:rFonts w:ascii="Aptos" w:hAnsi="Aptos"/>
                <w:b/>
                <w:color w:val="0B2748"/>
                <w:sz w:val="15"/>
              </w:rPr>
              <w:t>Start with</w:t>
            </w:r>
          </w:p>
        </w:tc>
        <w:tc>
          <w:tcPr>
            <w:tcW w:type="dxa" w:w="8568"/>
            <w:tcMar>
              <w:top w:w="45" w:type="dxa"/>
              <w:start w:w="65" w:type="dxa"/>
              <w:bottom w:w="45" w:type="dxa"/>
              <w:end w:w="65" w:type="dxa"/>
            </w:tcMar>
            <w:vAlign w:val="top"/>
            <w:shd w:fill="F3F5F7"/>
          </w:tcPr>
          <w:p>
            <w:pPr>
              <w:keepNext/>
              <w:spacing w:after="0" w:line="235" w:lineRule="auto"/>
            </w:pPr>
            <w:r>
              <w:rPr>
                <w:rFonts w:ascii="Aptos" w:hAnsi="Aptos"/>
                <w:b w:val="0"/>
                <w:color w:val="3C4650"/>
                <w:sz w:val="15"/>
              </w:rPr>
              <w:t>Minor, Guardian, Safeguarding, and Delegated-Assistance Canon</w:t>
            </w:r>
          </w:p>
        </w:tc>
      </w:tr>
      <w:tr>
        <w:trPr>
          <w:cantSplit/>
        </w:trPr>
        <w:tc>
          <w:tcPr>
            <w:tcW w:type="dxa" w:w="1512"/>
            <w:tcMar>
              <w:top w:w="45" w:type="dxa"/>
              <w:start w:w="65" w:type="dxa"/>
              <w:bottom w:w="45" w:type="dxa"/>
              <w:end w:w="65" w:type="dxa"/>
            </w:tcMar>
            <w:vAlign w:val="top"/>
            <w:shd w:fill="DCE6F1"/>
          </w:tcPr>
          <w:p>
            <w:pPr>
              <w:keepNext/>
              <w:spacing w:after="0"/>
            </w:pPr>
            <w:r>
              <w:rPr>
                <w:rFonts w:ascii="Aptos" w:hAnsi="Aptos"/>
                <w:b/>
                <w:color w:val="0B2748"/>
                <w:sz w:val="15"/>
              </w:rPr>
              <w:t>Read with</w:t>
            </w:r>
          </w:p>
        </w:tc>
        <w:tc>
          <w:tcPr>
            <w:tcW w:type="dxa" w:w="8568"/>
            <w:tcMar>
              <w:top w:w="45" w:type="dxa"/>
              <w:start w:w="65" w:type="dxa"/>
              <w:bottom w:w="45" w:type="dxa"/>
              <w:end w:w="65" w:type="dxa"/>
            </w:tcMar>
            <w:vAlign w:val="top"/>
            <w:shd w:fill="FFFFFF"/>
          </w:tcPr>
          <w:p>
            <w:pPr>
              <w:keepNext/>
              <w:spacing w:after="0" w:line="235" w:lineRule="auto"/>
            </w:pPr>
            <w:r>
              <w:rPr>
                <w:rFonts w:ascii="Aptos" w:hAnsi="Aptos"/>
                <w:b w:val="0"/>
                <w:color w:val="3C4650"/>
                <w:sz w:val="15"/>
              </w:rPr>
              <w:t>Master Identity, Account, and Actor Model; Master Relationship Model; Master Permission and Access-Control Model; Master Agreement, Consent, and Authorization Model; Master Privacy and Data Protection Model; Master Audit Event and Evidence Model</w:t>
            </w:r>
          </w:p>
        </w:tc>
      </w:tr>
      <w:tr>
        <w:trPr>
          <w:cantSplit/>
        </w:trPr>
        <w:tc>
          <w:tcPr>
            <w:tcW w:type="dxa" w:w="1512"/>
            <w:tcMar>
              <w:top w:w="45" w:type="dxa"/>
              <w:start w:w="65" w:type="dxa"/>
              <w:bottom w:w="45" w:type="dxa"/>
              <w:end w:w="65" w:type="dxa"/>
            </w:tcMar>
            <w:vAlign w:val="top"/>
            <w:shd w:fill="DCE6F1"/>
          </w:tcPr>
          <w:p>
            <w:pPr>
              <w:keepNext w:val="0"/>
              <w:spacing w:after="0"/>
            </w:pPr>
            <w:r>
              <w:rPr>
                <w:rFonts w:ascii="Aptos" w:hAnsi="Aptos"/>
                <w:b/>
                <w:color w:val="0B2748"/>
                <w:sz w:val="15"/>
              </w:rPr>
              <w:t>Index entries</w:t>
            </w:r>
          </w:p>
        </w:tc>
        <w:tc>
          <w:tcPr>
            <w:tcW w:type="dxa" w:w="8568"/>
            <w:tcMar>
              <w:top w:w="45" w:type="dxa"/>
              <w:start w:w="65" w:type="dxa"/>
              <w:bottom w:w="45" w:type="dxa"/>
              <w:end w:w="65" w:type="dxa"/>
            </w:tcMar>
            <w:vAlign w:val="top"/>
            <w:shd w:fill="F3F5F7"/>
          </w:tcPr>
          <w:p>
            <w:pPr>
              <w:keepNext w:val="0"/>
              <w:spacing w:after="0" w:line="235" w:lineRule="auto"/>
            </w:pPr>
            <w:r>
              <w:rPr>
                <w:rFonts w:ascii="Aptos" w:hAnsi="Aptos"/>
                <w:b/>
                <w:color w:val="3C4650"/>
                <w:sz w:val="15"/>
              </w:rPr>
              <w:t>XREF-025; XREF-029–030; XREF-032–040</w:t>
            </w:r>
          </w:p>
        </w:tc>
      </w:tr>
    </w:tbl>
    <w:p>
      <w:pPr>
        <w:spacing w:after="20"/>
      </w:pPr>
    </w:p>
    <w:p>
      <w:pPr>
        <w:pStyle w:val="Heading2"/>
        <w:keepNext/>
        <w:spacing w:before="100" w:after="40"/>
      </w:pPr>
      <w:r>
        <w:rPr>
          <w:rFonts w:ascii="Aptos Display" w:hAnsi="Aptos Display"/>
          <w:b/>
          <w:color w:val="1F4E79"/>
          <w:sz w:val="21"/>
        </w:rPr>
        <w:t>7.5 Agreements, consent, authorization, revocation, and authority evidence</w:t>
      </w:r>
    </w:p>
    <w:tbl>
      <w:tblPr>
        <w:tblW w:type="auto" w:w="0"/>
        <w:jc w:val="center"/>
        <w:tblLayout w:type="fixed"/>
        <w:tblLook w:firstColumn="1" w:firstRow="1" w:lastColumn="0" w:lastRow="0" w:noHBand="0" w:noVBand="1" w:val="04A0"/>
        <w:tblBorders>
          <w:top w:val="single" w:sz="4" w:space="0" w:color="B8C8D6"/>
          <w:left w:val="single" w:sz="4" w:space="0" w:color="B8C8D6"/>
          <w:bottom w:val="single" w:sz="4" w:space="0" w:color="B8C8D6"/>
          <w:right w:val="single" w:sz="4" w:space="0" w:color="B8C8D6"/>
          <w:insideH w:val="single" w:sz="4" w:space="0" w:color="B8C8D6"/>
          <w:insideV w:val="single" w:sz="4" w:space="0" w:color="B8C8D6"/>
        </w:tblBorders>
      </w:tblPr>
      <w:tblGrid>
        <w:gridCol w:w="5083"/>
        <w:gridCol w:w="5083"/>
      </w:tblGrid>
      <w:tr>
        <w:trPr>
          <w:cantSplit/>
        </w:trPr>
        <w:tc>
          <w:tcPr>
            <w:tcW w:type="dxa" w:w="1512"/>
            <w:tcMar>
              <w:top w:w="45" w:type="dxa"/>
              <w:start w:w="65" w:type="dxa"/>
              <w:bottom w:w="45" w:type="dxa"/>
              <w:end w:w="65" w:type="dxa"/>
            </w:tcMar>
            <w:vAlign w:val="top"/>
            <w:shd w:fill="DCE6F1"/>
          </w:tcPr>
          <w:p>
            <w:pPr>
              <w:keepNext/>
              <w:spacing w:after="0"/>
            </w:pPr>
            <w:r>
              <w:rPr>
                <w:rFonts w:ascii="Aptos" w:hAnsi="Aptos"/>
                <w:b/>
                <w:color w:val="0B2748"/>
                <w:sz w:val="15"/>
              </w:rPr>
              <w:t>Use when</w:t>
            </w:r>
          </w:p>
        </w:tc>
        <w:tc>
          <w:tcPr>
            <w:tcW w:type="dxa" w:w="8568"/>
            <w:tcMar>
              <w:top w:w="45" w:type="dxa"/>
              <w:start w:w="65" w:type="dxa"/>
              <w:bottom w:w="45" w:type="dxa"/>
              <w:end w:w="65" w:type="dxa"/>
            </w:tcMar>
            <w:vAlign w:val="top"/>
            <w:shd w:fill="FFFFFF"/>
          </w:tcPr>
          <w:p>
            <w:pPr>
              <w:keepNext/>
              <w:spacing w:after="0" w:line="235" w:lineRule="auto"/>
            </w:pPr>
            <w:r>
              <w:rPr>
                <w:rFonts w:ascii="Aptos" w:hAnsi="Aptos"/>
                <w:b w:val="0"/>
                <w:color w:val="3C4650"/>
                <w:sz w:val="15"/>
              </w:rPr>
              <w:t>Terms are issued, accepted, acknowledged, signed, amended, delegated, withdrawn, revoked, challenged, or relied upon.</w:t>
            </w:r>
          </w:p>
        </w:tc>
      </w:tr>
      <w:tr>
        <w:trPr>
          <w:cantSplit/>
        </w:trPr>
        <w:tc>
          <w:tcPr>
            <w:tcW w:type="dxa" w:w="1512"/>
            <w:tcMar>
              <w:top w:w="45" w:type="dxa"/>
              <w:start w:w="65" w:type="dxa"/>
              <w:bottom w:w="45" w:type="dxa"/>
              <w:end w:w="65" w:type="dxa"/>
            </w:tcMar>
            <w:vAlign w:val="top"/>
            <w:shd w:fill="DCE6F1"/>
          </w:tcPr>
          <w:p>
            <w:pPr>
              <w:keepNext/>
              <w:spacing w:after="0"/>
            </w:pPr>
            <w:r>
              <w:rPr>
                <w:rFonts w:ascii="Aptos" w:hAnsi="Aptos"/>
                <w:b/>
                <w:color w:val="0B2748"/>
                <w:sz w:val="15"/>
              </w:rPr>
              <w:t>Start with</w:t>
            </w:r>
          </w:p>
        </w:tc>
        <w:tc>
          <w:tcPr>
            <w:tcW w:type="dxa" w:w="8568"/>
            <w:tcMar>
              <w:top w:w="45" w:type="dxa"/>
              <w:start w:w="65" w:type="dxa"/>
              <w:bottom w:w="45" w:type="dxa"/>
              <w:end w:w="65" w:type="dxa"/>
            </w:tcMar>
            <w:vAlign w:val="top"/>
            <w:shd w:fill="F3F5F7"/>
          </w:tcPr>
          <w:p>
            <w:pPr>
              <w:keepNext/>
              <w:spacing w:after="0" w:line="235" w:lineRule="auto"/>
            </w:pPr>
            <w:r>
              <w:rPr>
                <w:rFonts w:ascii="Aptos" w:hAnsi="Aptos"/>
                <w:b w:val="0"/>
                <w:color w:val="3C4650"/>
                <w:sz w:val="15"/>
              </w:rPr>
              <w:t>Master Agreement, Consent, and Authorization Model</w:t>
            </w:r>
          </w:p>
        </w:tc>
      </w:tr>
      <w:tr>
        <w:trPr>
          <w:cantSplit/>
        </w:trPr>
        <w:tc>
          <w:tcPr>
            <w:tcW w:type="dxa" w:w="1512"/>
            <w:tcMar>
              <w:top w:w="45" w:type="dxa"/>
              <w:start w:w="65" w:type="dxa"/>
              <w:bottom w:w="45" w:type="dxa"/>
              <w:end w:w="65" w:type="dxa"/>
            </w:tcMar>
            <w:vAlign w:val="top"/>
            <w:shd w:fill="DCE6F1"/>
          </w:tcPr>
          <w:p>
            <w:pPr>
              <w:keepNext/>
              <w:spacing w:after="0"/>
            </w:pPr>
            <w:r>
              <w:rPr>
                <w:rFonts w:ascii="Aptos" w:hAnsi="Aptos"/>
                <w:b/>
                <w:color w:val="0B2748"/>
                <w:sz w:val="15"/>
              </w:rPr>
              <w:t>Read with</w:t>
            </w:r>
          </w:p>
        </w:tc>
        <w:tc>
          <w:tcPr>
            <w:tcW w:type="dxa" w:w="8568"/>
            <w:tcMar>
              <w:top w:w="45" w:type="dxa"/>
              <w:start w:w="65" w:type="dxa"/>
              <w:bottom w:w="45" w:type="dxa"/>
              <w:end w:w="65" w:type="dxa"/>
            </w:tcMar>
            <w:vAlign w:val="top"/>
            <w:shd w:fill="FFFFFF"/>
          </w:tcPr>
          <w:p>
            <w:pPr>
              <w:keepNext/>
              <w:spacing w:after="0" w:line="235" w:lineRule="auto"/>
            </w:pPr>
            <w:r>
              <w:rPr>
                <w:rFonts w:ascii="Aptos" w:hAnsi="Aptos"/>
                <w:b w:val="0"/>
                <w:color w:val="3C4650"/>
                <w:sz w:val="15"/>
              </w:rPr>
              <w:t>Master Identity, Account, and Actor Model; Master Relationship Model; Master Permission and Access-Control Model; Master Audit Event and Evidence Model; Master Record Stewardship and Retention Model</w:t>
            </w:r>
          </w:p>
        </w:tc>
      </w:tr>
      <w:tr>
        <w:trPr>
          <w:cantSplit/>
        </w:trPr>
        <w:tc>
          <w:tcPr>
            <w:tcW w:type="dxa" w:w="1512"/>
            <w:tcMar>
              <w:top w:w="45" w:type="dxa"/>
              <w:start w:w="65" w:type="dxa"/>
              <w:bottom w:w="45" w:type="dxa"/>
              <w:end w:w="65" w:type="dxa"/>
            </w:tcMar>
            <w:vAlign w:val="top"/>
            <w:shd w:fill="DCE6F1"/>
          </w:tcPr>
          <w:p>
            <w:pPr>
              <w:keepNext w:val="0"/>
              <w:spacing w:after="0"/>
            </w:pPr>
            <w:r>
              <w:rPr>
                <w:rFonts w:ascii="Aptos" w:hAnsi="Aptos"/>
                <w:b/>
                <w:color w:val="0B2748"/>
                <w:sz w:val="15"/>
              </w:rPr>
              <w:t>Index entries</w:t>
            </w:r>
          </w:p>
        </w:tc>
        <w:tc>
          <w:tcPr>
            <w:tcW w:type="dxa" w:w="8568"/>
            <w:tcMar>
              <w:top w:w="45" w:type="dxa"/>
              <w:start w:w="65" w:type="dxa"/>
              <w:bottom w:w="45" w:type="dxa"/>
              <w:end w:w="65" w:type="dxa"/>
            </w:tcMar>
            <w:vAlign w:val="top"/>
            <w:shd w:fill="F3F5F7"/>
          </w:tcPr>
          <w:p>
            <w:pPr>
              <w:keepNext w:val="0"/>
              <w:spacing w:after="0" w:line="235" w:lineRule="auto"/>
            </w:pPr>
            <w:r>
              <w:rPr>
                <w:rFonts w:ascii="Aptos" w:hAnsi="Aptos"/>
                <w:b/>
                <w:color w:val="3C4650"/>
                <w:sz w:val="15"/>
              </w:rPr>
              <w:t>XREF-031–040; XREF-051–056</w:t>
            </w:r>
          </w:p>
        </w:tc>
      </w:tr>
    </w:tbl>
    <w:p>
      <w:pPr>
        <w:spacing w:after="20"/>
      </w:pPr>
    </w:p>
    <w:p>
      <w:pPr>
        <w:pStyle w:val="Heading2"/>
        <w:keepNext/>
        <w:spacing w:before="100" w:after="40"/>
      </w:pPr>
      <w:r>
        <w:rPr>
          <w:rFonts w:ascii="Aptos Display" w:hAnsi="Aptos Display"/>
          <w:b/>
          <w:color w:val="1F4E79"/>
          <w:sz w:val="21"/>
        </w:rPr>
        <w:t>7.6 Privacy, classification, security, and tenant isolation</w:t>
      </w:r>
    </w:p>
    <w:tbl>
      <w:tblPr>
        <w:tblW w:type="auto" w:w="0"/>
        <w:jc w:val="center"/>
        <w:tblLayout w:type="fixed"/>
        <w:tblLook w:firstColumn="1" w:firstRow="1" w:lastColumn="0" w:lastRow="0" w:noHBand="0" w:noVBand="1" w:val="04A0"/>
        <w:tblBorders>
          <w:top w:val="single" w:sz="4" w:space="0" w:color="B8C8D6"/>
          <w:left w:val="single" w:sz="4" w:space="0" w:color="B8C8D6"/>
          <w:bottom w:val="single" w:sz="4" w:space="0" w:color="B8C8D6"/>
          <w:right w:val="single" w:sz="4" w:space="0" w:color="B8C8D6"/>
          <w:insideH w:val="single" w:sz="4" w:space="0" w:color="B8C8D6"/>
          <w:insideV w:val="single" w:sz="4" w:space="0" w:color="B8C8D6"/>
        </w:tblBorders>
      </w:tblPr>
      <w:tblGrid>
        <w:gridCol w:w="5083"/>
        <w:gridCol w:w="5083"/>
      </w:tblGrid>
      <w:tr>
        <w:trPr>
          <w:cantSplit/>
        </w:trPr>
        <w:tc>
          <w:tcPr>
            <w:tcW w:type="dxa" w:w="1512"/>
            <w:tcMar>
              <w:top w:w="45" w:type="dxa"/>
              <w:start w:w="65" w:type="dxa"/>
              <w:bottom w:w="45" w:type="dxa"/>
              <w:end w:w="65" w:type="dxa"/>
            </w:tcMar>
            <w:vAlign w:val="top"/>
            <w:shd w:fill="DCE6F1"/>
          </w:tcPr>
          <w:p>
            <w:pPr>
              <w:keepNext/>
              <w:spacing w:after="0"/>
            </w:pPr>
            <w:r>
              <w:rPr>
                <w:rFonts w:ascii="Aptos" w:hAnsi="Aptos"/>
                <w:b/>
                <w:color w:val="0B2748"/>
                <w:sz w:val="15"/>
              </w:rPr>
              <w:t>Use when</w:t>
            </w:r>
          </w:p>
        </w:tc>
        <w:tc>
          <w:tcPr>
            <w:tcW w:type="dxa" w:w="8568"/>
            <w:tcMar>
              <w:top w:w="45" w:type="dxa"/>
              <w:start w:w="65" w:type="dxa"/>
              <w:bottom w:w="45" w:type="dxa"/>
              <w:end w:w="65" w:type="dxa"/>
            </w:tcMar>
            <w:vAlign w:val="top"/>
            <w:shd w:fill="FFFFFF"/>
          </w:tcPr>
          <w:p>
            <w:pPr>
              <w:keepNext/>
              <w:spacing w:after="0" w:line="235" w:lineRule="auto"/>
            </w:pPr>
            <w:r>
              <w:rPr>
                <w:rFonts w:ascii="Aptos" w:hAnsi="Aptos"/>
                <w:b w:val="0"/>
                <w:color w:val="3C4650"/>
                <w:sz w:val="15"/>
              </w:rPr>
              <w:t>Personal information is collected, used, shared, exported, deleted, encrypted, accessed across tenants, or processed by an external party.</w:t>
            </w:r>
          </w:p>
        </w:tc>
      </w:tr>
      <w:tr>
        <w:trPr>
          <w:cantSplit/>
        </w:trPr>
        <w:tc>
          <w:tcPr>
            <w:tcW w:type="dxa" w:w="1512"/>
            <w:tcMar>
              <w:top w:w="45" w:type="dxa"/>
              <w:start w:w="65" w:type="dxa"/>
              <w:bottom w:w="45" w:type="dxa"/>
              <w:end w:w="65" w:type="dxa"/>
            </w:tcMar>
            <w:vAlign w:val="top"/>
            <w:shd w:fill="DCE6F1"/>
          </w:tcPr>
          <w:p>
            <w:pPr>
              <w:keepNext/>
              <w:spacing w:after="0"/>
            </w:pPr>
            <w:r>
              <w:rPr>
                <w:rFonts w:ascii="Aptos" w:hAnsi="Aptos"/>
                <w:b/>
                <w:color w:val="0B2748"/>
                <w:sz w:val="15"/>
              </w:rPr>
              <w:t>Start with</w:t>
            </w:r>
          </w:p>
        </w:tc>
        <w:tc>
          <w:tcPr>
            <w:tcW w:type="dxa" w:w="8568"/>
            <w:tcMar>
              <w:top w:w="45" w:type="dxa"/>
              <w:start w:w="65" w:type="dxa"/>
              <w:bottom w:w="45" w:type="dxa"/>
              <w:end w:w="65" w:type="dxa"/>
            </w:tcMar>
            <w:vAlign w:val="top"/>
            <w:shd w:fill="F3F5F7"/>
          </w:tcPr>
          <w:p>
            <w:pPr>
              <w:keepNext/>
              <w:spacing w:after="0" w:line="235" w:lineRule="auto"/>
            </w:pPr>
            <w:r>
              <w:rPr>
                <w:rFonts w:ascii="Aptos" w:hAnsi="Aptos"/>
                <w:b w:val="0"/>
                <w:color w:val="3C4650"/>
                <w:sz w:val="15"/>
              </w:rPr>
              <w:t>Master Privacy and Data Protection Model; Master Security and Trust Model</w:t>
            </w:r>
          </w:p>
        </w:tc>
      </w:tr>
      <w:tr>
        <w:trPr>
          <w:cantSplit/>
        </w:trPr>
        <w:tc>
          <w:tcPr>
            <w:tcW w:type="dxa" w:w="1512"/>
            <w:tcMar>
              <w:top w:w="45" w:type="dxa"/>
              <w:start w:w="65" w:type="dxa"/>
              <w:bottom w:w="45" w:type="dxa"/>
              <w:end w:w="65" w:type="dxa"/>
            </w:tcMar>
            <w:vAlign w:val="top"/>
            <w:shd w:fill="DCE6F1"/>
          </w:tcPr>
          <w:p>
            <w:pPr>
              <w:keepNext/>
              <w:spacing w:after="0"/>
            </w:pPr>
            <w:r>
              <w:rPr>
                <w:rFonts w:ascii="Aptos" w:hAnsi="Aptos"/>
                <w:b/>
                <w:color w:val="0B2748"/>
                <w:sz w:val="15"/>
              </w:rPr>
              <w:t>Read with</w:t>
            </w:r>
          </w:p>
        </w:tc>
        <w:tc>
          <w:tcPr>
            <w:tcW w:type="dxa" w:w="8568"/>
            <w:tcMar>
              <w:top w:w="45" w:type="dxa"/>
              <w:start w:w="65" w:type="dxa"/>
              <w:bottom w:w="45" w:type="dxa"/>
              <w:end w:w="65" w:type="dxa"/>
            </w:tcMar>
            <w:vAlign w:val="top"/>
            <w:shd w:fill="FFFFFF"/>
          </w:tcPr>
          <w:p>
            <w:pPr>
              <w:keepNext/>
              <w:spacing w:after="0" w:line="235" w:lineRule="auto"/>
            </w:pPr>
            <w:r>
              <w:rPr>
                <w:rFonts w:ascii="Aptos" w:hAnsi="Aptos"/>
                <w:b w:val="0"/>
                <w:color w:val="3C4650"/>
                <w:sz w:val="15"/>
              </w:rPr>
              <w:t>Master Data Protection, Encryption, and Key Management Model; Master Permission and Access-Control Model; Master Record Stewardship and Retention Model; Master Vendor Security and Supply Chain Model; Master Audit Event and Evidence Model</w:t>
            </w:r>
          </w:p>
        </w:tc>
      </w:tr>
      <w:tr>
        <w:trPr>
          <w:cantSplit/>
        </w:trPr>
        <w:tc>
          <w:tcPr>
            <w:tcW w:type="dxa" w:w="1512"/>
            <w:tcMar>
              <w:top w:w="45" w:type="dxa"/>
              <w:start w:w="65" w:type="dxa"/>
              <w:bottom w:w="45" w:type="dxa"/>
              <w:end w:w="65" w:type="dxa"/>
            </w:tcMar>
            <w:vAlign w:val="top"/>
            <w:shd w:fill="DCE6F1"/>
          </w:tcPr>
          <w:p>
            <w:pPr>
              <w:keepNext w:val="0"/>
              <w:spacing w:after="0"/>
            </w:pPr>
            <w:r>
              <w:rPr>
                <w:rFonts w:ascii="Aptos" w:hAnsi="Aptos"/>
                <w:b/>
                <w:color w:val="0B2748"/>
                <w:sz w:val="15"/>
              </w:rPr>
              <w:t>Index entries</w:t>
            </w:r>
          </w:p>
        </w:tc>
        <w:tc>
          <w:tcPr>
            <w:tcW w:type="dxa" w:w="8568"/>
            <w:tcMar>
              <w:top w:w="45" w:type="dxa"/>
              <w:start w:w="65" w:type="dxa"/>
              <w:bottom w:w="45" w:type="dxa"/>
              <w:end w:w="65" w:type="dxa"/>
            </w:tcMar>
            <w:vAlign w:val="top"/>
            <w:shd w:fill="F3F5F7"/>
          </w:tcPr>
          <w:p>
            <w:pPr>
              <w:keepNext w:val="0"/>
              <w:spacing w:after="0" w:line="235" w:lineRule="auto"/>
            </w:pPr>
            <w:r>
              <w:rPr>
                <w:rFonts w:ascii="Aptos" w:hAnsi="Aptos"/>
                <w:b/>
                <w:color w:val="3C4650"/>
                <w:sz w:val="15"/>
              </w:rPr>
              <w:t>XREF-041–050; XREF-066–070; XREF-097</w:t>
            </w:r>
          </w:p>
        </w:tc>
      </w:tr>
    </w:tbl>
    <w:p>
      <w:pPr>
        <w:spacing w:after="20"/>
      </w:pPr>
    </w:p>
    <w:p>
      <w:pPr>
        <w:pStyle w:val="Heading2"/>
        <w:keepNext/>
        <w:spacing w:before="100" w:after="40"/>
      </w:pPr>
      <w:r>
        <w:rPr>
          <w:rFonts w:ascii="Aptos Display" w:hAnsi="Aptos Display"/>
          <w:b/>
          <w:color w:val="1F4E79"/>
          <w:sz w:val="21"/>
        </w:rPr>
        <w:t>7.7 Records, evidence, disputes, corrections, and retention</w:t>
      </w:r>
    </w:p>
    <w:tbl>
      <w:tblPr>
        <w:tblW w:type="auto" w:w="0"/>
        <w:jc w:val="center"/>
        <w:tblLayout w:type="fixed"/>
        <w:tblLook w:firstColumn="1" w:firstRow="1" w:lastColumn="0" w:lastRow="0" w:noHBand="0" w:noVBand="1" w:val="04A0"/>
        <w:tblBorders>
          <w:top w:val="single" w:sz="4" w:space="0" w:color="B8C8D6"/>
          <w:left w:val="single" w:sz="4" w:space="0" w:color="B8C8D6"/>
          <w:bottom w:val="single" w:sz="4" w:space="0" w:color="B8C8D6"/>
          <w:right w:val="single" w:sz="4" w:space="0" w:color="B8C8D6"/>
          <w:insideH w:val="single" w:sz="4" w:space="0" w:color="B8C8D6"/>
          <w:insideV w:val="single" w:sz="4" w:space="0" w:color="B8C8D6"/>
        </w:tblBorders>
      </w:tblPr>
      <w:tblGrid>
        <w:gridCol w:w="5083"/>
        <w:gridCol w:w="5083"/>
      </w:tblGrid>
      <w:tr>
        <w:trPr>
          <w:cantSplit/>
        </w:trPr>
        <w:tc>
          <w:tcPr>
            <w:tcW w:type="dxa" w:w="1512"/>
            <w:tcMar>
              <w:top w:w="45" w:type="dxa"/>
              <w:start w:w="65" w:type="dxa"/>
              <w:bottom w:w="45" w:type="dxa"/>
              <w:end w:w="65" w:type="dxa"/>
            </w:tcMar>
            <w:vAlign w:val="top"/>
            <w:shd w:fill="DCE6F1"/>
          </w:tcPr>
          <w:p>
            <w:pPr>
              <w:keepNext/>
              <w:spacing w:after="0"/>
            </w:pPr>
            <w:r>
              <w:rPr>
                <w:rFonts w:ascii="Aptos" w:hAnsi="Aptos"/>
                <w:b/>
                <w:color w:val="0B2748"/>
                <w:sz w:val="15"/>
              </w:rPr>
              <w:t>Use when</w:t>
            </w:r>
          </w:p>
        </w:tc>
        <w:tc>
          <w:tcPr>
            <w:tcW w:type="dxa" w:w="8568"/>
            <w:tcMar>
              <w:top w:w="45" w:type="dxa"/>
              <w:start w:w="65" w:type="dxa"/>
              <w:bottom w:w="45" w:type="dxa"/>
              <w:end w:w="65" w:type="dxa"/>
            </w:tcMar>
            <w:vAlign w:val="top"/>
            <w:shd w:fill="FFFFFF"/>
          </w:tcPr>
          <w:p>
            <w:pPr>
              <w:keepNext/>
              <w:spacing w:after="0" w:line="235" w:lineRule="auto"/>
            </w:pPr>
            <w:r>
              <w:rPr>
                <w:rFonts w:ascii="Aptos" w:hAnsi="Aptos"/>
                <w:b w:val="0"/>
                <w:color w:val="3C4650"/>
                <w:sz w:val="15"/>
              </w:rPr>
              <w:t>A source of truth is identified, corrected, superseded, retained, preserved, disputed, audited, exported, restored, or placed under legal hold.</w:t>
            </w:r>
          </w:p>
        </w:tc>
      </w:tr>
      <w:tr>
        <w:trPr>
          <w:cantSplit/>
        </w:trPr>
        <w:tc>
          <w:tcPr>
            <w:tcW w:type="dxa" w:w="1512"/>
            <w:tcMar>
              <w:top w:w="45" w:type="dxa"/>
              <w:start w:w="65" w:type="dxa"/>
              <w:bottom w:w="45" w:type="dxa"/>
              <w:end w:w="65" w:type="dxa"/>
            </w:tcMar>
            <w:vAlign w:val="top"/>
            <w:shd w:fill="DCE6F1"/>
          </w:tcPr>
          <w:p>
            <w:pPr>
              <w:keepNext/>
              <w:spacing w:after="0"/>
            </w:pPr>
            <w:r>
              <w:rPr>
                <w:rFonts w:ascii="Aptos" w:hAnsi="Aptos"/>
                <w:b/>
                <w:color w:val="0B2748"/>
                <w:sz w:val="15"/>
              </w:rPr>
              <w:t>Start with</w:t>
            </w:r>
          </w:p>
        </w:tc>
        <w:tc>
          <w:tcPr>
            <w:tcW w:type="dxa" w:w="8568"/>
            <w:tcMar>
              <w:top w:w="45" w:type="dxa"/>
              <w:start w:w="65" w:type="dxa"/>
              <w:bottom w:w="45" w:type="dxa"/>
              <w:end w:w="65" w:type="dxa"/>
            </w:tcMar>
            <w:vAlign w:val="top"/>
            <w:shd w:fill="F3F5F7"/>
          </w:tcPr>
          <w:p>
            <w:pPr>
              <w:keepNext/>
              <w:spacing w:after="0" w:line="235" w:lineRule="auto"/>
            </w:pPr>
            <w:r>
              <w:rPr>
                <w:rFonts w:ascii="Aptos" w:hAnsi="Aptos"/>
                <w:b w:val="0"/>
                <w:color w:val="3C4650"/>
                <w:sz w:val="15"/>
              </w:rPr>
              <w:t>Master Record Stewardship and Retention Model; Master Audit Event and Evidence Model</w:t>
            </w:r>
          </w:p>
        </w:tc>
      </w:tr>
      <w:tr>
        <w:trPr>
          <w:cantSplit/>
        </w:trPr>
        <w:tc>
          <w:tcPr>
            <w:tcW w:type="dxa" w:w="1512"/>
            <w:tcMar>
              <w:top w:w="45" w:type="dxa"/>
              <w:start w:w="65" w:type="dxa"/>
              <w:bottom w:w="45" w:type="dxa"/>
              <w:end w:w="65" w:type="dxa"/>
            </w:tcMar>
            <w:vAlign w:val="top"/>
            <w:shd w:fill="DCE6F1"/>
          </w:tcPr>
          <w:p>
            <w:pPr>
              <w:keepNext/>
              <w:spacing w:after="0"/>
            </w:pPr>
            <w:r>
              <w:rPr>
                <w:rFonts w:ascii="Aptos" w:hAnsi="Aptos"/>
                <w:b/>
                <w:color w:val="0B2748"/>
                <w:sz w:val="15"/>
              </w:rPr>
              <w:t>Read with</w:t>
            </w:r>
          </w:p>
        </w:tc>
        <w:tc>
          <w:tcPr>
            <w:tcW w:type="dxa" w:w="8568"/>
            <w:tcMar>
              <w:top w:w="45" w:type="dxa"/>
              <w:start w:w="65" w:type="dxa"/>
              <w:bottom w:w="45" w:type="dxa"/>
              <w:end w:w="65" w:type="dxa"/>
            </w:tcMar>
            <w:vAlign w:val="top"/>
            <w:shd w:fill="FFFFFF"/>
          </w:tcPr>
          <w:p>
            <w:pPr>
              <w:keepNext/>
              <w:spacing w:after="0" w:line="235" w:lineRule="auto"/>
            </w:pPr>
            <w:r>
              <w:rPr>
                <w:rFonts w:ascii="Aptos" w:hAnsi="Aptos"/>
                <w:b w:val="0"/>
                <w:color w:val="3C4650"/>
                <w:sz w:val="15"/>
              </w:rPr>
              <w:t>Master Claims, Disputes, and Authority Model; Master Privacy and Data Protection Model; Master Security and Trust Model; controlling domain canon</w:t>
            </w:r>
          </w:p>
        </w:tc>
      </w:tr>
      <w:tr>
        <w:trPr>
          <w:cantSplit/>
        </w:trPr>
        <w:tc>
          <w:tcPr>
            <w:tcW w:type="dxa" w:w="1512"/>
            <w:tcMar>
              <w:top w:w="45" w:type="dxa"/>
              <w:start w:w="65" w:type="dxa"/>
              <w:bottom w:w="45" w:type="dxa"/>
              <w:end w:w="65" w:type="dxa"/>
            </w:tcMar>
            <w:vAlign w:val="top"/>
            <w:shd w:fill="DCE6F1"/>
          </w:tcPr>
          <w:p>
            <w:pPr>
              <w:keepNext w:val="0"/>
              <w:spacing w:after="0"/>
            </w:pPr>
            <w:r>
              <w:rPr>
                <w:rFonts w:ascii="Aptos" w:hAnsi="Aptos"/>
                <w:b/>
                <w:color w:val="0B2748"/>
                <w:sz w:val="15"/>
              </w:rPr>
              <w:t>Index entries</w:t>
            </w:r>
          </w:p>
        </w:tc>
        <w:tc>
          <w:tcPr>
            <w:tcW w:type="dxa" w:w="8568"/>
            <w:tcMar>
              <w:top w:w="45" w:type="dxa"/>
              <w:start w:w="65" w:type="dxa"/>
              <w:bottom w:w="45" w:type="dxa"/>
              <w:end w:w="65" w:type="dxa"/>
            </w:tcMar>
            <w:vAlign w:val="top"/>
            <w:shd w:fill="F3F5F7"/>
          </w:tcPr>
          <w:p>
            <w:pPr>
              <w:keepNext w:val="0"/>
              <w:spacing w:after="0" w:line="235" w:lineRule="auto"/>
            </w:pPr>
            <w:r>
              <w:rPr>
                <w:rFonts w:ascii="Aptos" w:hAnsi="Aptos"/>
                <w:b/>
                <w:color w:val="3C4650"/>
                <w:sz w:val="15"/>
              </w:rPr>
              <w:t>XREF-051–056; XREF-066–067; XREF-078; XREF-081; XREF-084</w:t>
            </w:r>
          </w:p>
        </w:tc>
      </w:tr>
    </w:tbl>
    <w:p>
      <w:pPr>
        <w:spacing w:after="20"/>
      </w:pPr>
    </w:p>
    <w:p>
      <w:pPr>
        <w:pStyle w:val="Heading2"/>
        <w:keepNext/>
        <w:spacing w:before="100" w:after="40"/>
      </w:pPr>
      <w:r>
        <w:rPr>
          <w:rFonts w:ascii="Aptos Display" w:hAnsi="Aptos Display"/>
          <w:b/>
          <w:color w:val="1F4E79"/>
          <w:sz w:val="21"/>
        </w:rPr>
        <w:t>7.8 Communications, notifications, notices, and accessibility</w:t>
      </w:r>
    </w:p>
    <w:tbl>
      <w:tblPr>
        <w:tblW w:type="auto" w:w="0"/>
        <w:jc w:val="center"/>
        <w:tblLayout w:type="fixed"/>
        <w:tblLook w:firstColumn="1" w:firstRow="1" w:lastColumn="0" w:lastRow="0" w:noHBand="0" w:noVBand="1" w:val="04A0"/>
        <w:tblBorders>
          <w:top w:val="single" w:sz="4" w:space="0" w:color="B8C8D6"/>
          <w:left w:val="single" w:sz="4" w:space="0" w:color="B8C8D6"/>
          <w:bottom w:val="single" w:sz="4" w:space="0" w:color="B8C8D6"/>
          <w:right w:val="single" w:sz="4" w:space="0" w:color="B8C8D6"/>
          <w:insideH w:val="single" w:sz="4" w:space="0" w:color="B8C8D6"/>
          <w:insideV w:val="single" w:sz="4" w:space="0" w:color="B8C8D6"/>
        </w:tblBorders>
      </w:tblPr>
      <w:tblGrid>
        <w:gridCol w:w="5083"/>
        <w:gridCol w:w="5083"/>
      </w:tblGrid>
      <w:tr>
        <w:trPr>
          <w:cantSplit/>
        </w:trPr>
        <w:tc>
          <w:tcPr>
            <w:tcW w:type="dxa" w:w="1512"/>
            <w:tcMar>
              <w:top w:w="45" w:type="dxa"/>
              <w:start w:w="65" w:type="dxa"/>
              <w:bottom w:w="45" w:type="dxa"/>
              <w:end w:w="65" w:type="dxa"/>
            </w:tcMar>
            <w:vAlign w:val="top"/>
            <w:shd w:fill="DCE6F1"/>
          </w:tcPr>
          <w:p>
            <w:pPr>
              <w:keepNext/>
              <w:spacing w:after="0"/>
            </w:pPr>
            <w:r>
              <w:rPr>
                <w:rFonts w:ascii="Aptos" w:hAnsi="Aptos"/>
                <w:b/>
                <w:color w:val="0B2748"/>
                <w:sz w:val="15"/>
              </w:rPr>
              <w:t>Use when</w:t>
            </w:r>
          </w:p>
        </w:tc>
        <w:tc>
          <w:tcPr>
            <w:tcW w:type="dxa" w:w="8568"/>
            <w:tcMar>
              <w:top w:w="45" w:type="dxa"/>
              <w:start w:w="65" w:type="dxa"/>
              <w:bottom w:w="45" w:type="dxa"/>
              <w:end w:w="65" w:type="dxa"/>
            </w:tcMar>
            <w:vAlign w:val="top"/>
            <w:shd w:fill="FFFFFF"/>
          </w:tcPr>
          <w:p>
            <w:pPr>
              <w:keepNext/>
              <w:spacing w:after="0" w:line="235" w:lineRule="auto"/>
            </w:pPr>
            <w:r>
              <w:rPr>
                <w:rFonts w:ascii="Aptos" w:hAnsi="Aptos"/>
                <w:b w:val="0"/>
                <w:color w:val="3C4650"/>
                <w:sz w:val="15"/>
              </w:rPr>
              <w:t>A message is sent, a legally or operationally important notice must become effective, channel consent matters, or accessible delivery is required.</w:t>
            </w:r>
          </w:p>
        </w:tc>
      </w:tr>
      <w:tr>
        <w:trPr>
          <w:cantSplit/>
        </w:trPr>
        <w:tc>
          <w:tcPr>
            <w:tcW w:type="dxa" w:w="1512"/>
            <w:tcMar>
              <w:top w:w="45" w:type="dxa"/>
              <w:start w:w="65" w:type="dxa"/>
              <w:bottom w:w="45" w:type="dxa"/>
              <w:end w:w="65" w:type="dxa"/>
            </w:tcMar>
            <w:vAlign w:val="top"/>
            <w:shd w:fill="DCE6F1"/>
          </w:tcPr>
          <w:p>
            <w:pPr>
              <w:keepNext/>
              <w:spacing w:after="0"/>
            </w:pPr>
            <w:r>
              <w:rPr>
                <w:rFonts w:ascii="Aptos" w:hAnsi="Aptos"/>
                <w:b/>
                <w:color w:val="0B2748"/>
                <w:sz w:val="15"/>
              </w:rPr>
              <w:t>Start with</w:t>
            </w:r>
          </w:p>
        </w:tc>
        <w:tc>
          <w:tcPr>
            <w:tcW w:type="dxa" w:w="8568"/>
            <w:tcMar>
              <w:top w:w="45" w:type="dxa"/>
              <w:start w:w="65" w:type="dxa"/>
              <w:bottom w:w="45" w:type="dxa"/>
              <w:end w:w="65" w:type="dxa"/>
            </w:tcMar>
            <w:vAlign w:val="top"/>
            <w:shd w:fill="F3F5F7"/>
          </w:tcPr>
          <w:p>
            <w:pPr>
              <w:keepNext/>
              <w:spacing w:after="0" w:line="235" w:lineRule="auto"/>
            </w:pPr>
            <w:r>
              <w:rPr>
                <w:rFonts w:ascii="Aptos" w:hAnsi="Aptos"/>
                <w:b w:val="0"/>
                <w:color w:val="3C4650"/>
                <w:sz w:val="15"/>
              </w:rPr>
              <w:t>Master Communication, Notification, and Notice Model</w:t>
            </w:r>
          </w:p>
        </w:tc>
      </w:tr>
      <w:tr>
        <w:trPr>
          <w:cantSplit/>
        </w:trPr>
        <w:tc>
          <w:tcPr>
            <w:tcW w:type="dxa" w:w="1512"/>
            <w:tcMar>
              <w:top w:w="45" w:type="dxa"/>
              <w:start w:w="65" w:type="dxa"/>
              <w:bottom w:w="45" w:type="dxa"/>
              <w:end w:w="65" w:type="dxa"/>
            </w:tcMar>
            <w:vAlign w:val="top"/>
            <w:shd w:fill="DCE6F1"/>
          </w:tcPr>
          <w:p>
            <w:pPr>
              <w:keepNext/>
              <w:spacing w:after="0"/>
            </w:pPr>
            <w:r>
              <w:rPr>
                <w:rFonts w:ascii="Aptos" w:hAnsi="Aptos"/>
                <w:b/>
                <w:color w:val="0B2748"/>
                <w:sz w:val="15"/>
              </w:rPr>
              <w:t>Read with</w:t>
            </w:r>
          </w:p>
        </w:tc>
        <w:tc>
          <w:tcPr>
            <w:tcW w:type="dxa" w:w="8568"/>
            <w:tcMar>
              <w:top w:w="45" w:type="dxa"/>
              <w:start w:w="65" w:type="dxa"/>
              <w:bottom w:w="45" w:type="dxa"/>
              <w:end w:w="65" w:type="dxa"/>
            </w:tcMar>
            <w:vAlign w:val="top"/>
            <w:shd w:fill="FFFFFF"/>
          </w:tcPr>
          <w:p>
            <w:pPr>
              <w:keepNext/>
              <w:spacing w:after="0" w:line="235" w:lineRule="auto"/>
            </w:pPr>
            <w:r>
              <w:rPr>
                <w:rFonts w:ascii="Aptos" w:hAnsi="Aptos"/>
                <w:b w:val="0"/>
                <w:color w:val="3C4650"/>
                <w:sz w:val="15"/>
              </w:rPr>
              <w:t>Master Agreement, Consent, and Authorization Model; Master Privacy and Data Protection Model; Master Record Stewardship and Retention Model; Master Audit Event and Evidence Model</w:t>
            </w:r>
          </w:p>
        </w:tc>
      </w:tr>
      <w:tr>
        <w:trPr>
          <w:cantSplit/>
        </w:trPr>
        <w:tc>
          <w:tcPr>
            <w:tcW w:type="dxa" w:w="1512"/>
            <w:tcMar>
              <w:top w:w="45" w:type="dxa"/>
              <w:start w:w="65" w:type="dxa"/>
              <w:bottom w:w="45" w:type="dxa"/>
              <w:end w:w="65" w:type="dxa"/>
            </w:tcMar>
            <w:vAlign w:val="top"/>
            <w:shd w:fill="DCE6F1"/>
          </w:tcPr>
          <w:p>
            <w:pPr>
              <w:keepNext w:val="0"/>
              <w:spacing w:after="0"/>
            </w:pPr>
            <w:r>
              <w:rPr>
                <w:rFonts w:ascii="Aptos" w:hAnsi="Aptos"/>
                <w:b/>
                <w:color w:val="0B2748"/>
                <w:sz w:val="15"/>
              </w:rPr>
              <w:t>Index entries</w:t>
            </w:r>
          </w:p>
        </w:tc>
        <w:tc>
          <w:tcPr>
            <w:tcW w:type="dxa" w:w="8568"/>
            <w:tcMar>
              <w:top w:w="45" w:type="dxa"/>
              <w:start w:w="65" w:type="dxa"/>
              <w:bottom w:w="45" w:type="dxa"/>
              <w:end w:w="65" w:type="dxa"/>
            </w:tcMar>
            <w:vAlign w:val="top"/>
            <w:shd w:fill="F3F5F7"/>
          </w:tcPr>
          <w:p>
            <w:pPr>
              <w:keepNext w:val="0"/>
              <w:spacing w:after="0" w:line="235" w:lineRule="auto"/>
            </w:pPr>
            <w:r>
              <w:rPr>
                <w:rFonts w:ascii="Aptos" w:hAnsi="Aptos"/>
                <w:b/>
                <w:color w:val="3C4650"/>
                <w:sz w:val="15"/>
              </w:rPr>
              <w:t>XREF-057–059; XREF-068–069</w:t>
            </w:r>
          </w:p>
        </w:tc>
      </w:tr>
    </w:tbl>
    <w:p>
      <w:pPr>
        <w:spacing w:after="20"/>
      </w:pPr>
    </w:p>
    <w:p>
      <w:pPr>
        <w:pStyle w:val="Heading2"/>
        <w:keepNext/>
        <w:spacing w:before="100" w:after="40"/>
      </w:pPr>
      <w:r>
        <w:rPr>
          <w:rFonts w:ascii="Aptos Display" w:hAnsi="Aptos Display"/>
          <w:b/>
          <w:color w:val="1F4E79"/>
          <w:sz w:val="21"/>
        </w:rPr>
        <w:t>7.9 Media, files, derived assets, public sharing, and exports</w:t>
      </w:r>
    </w:p>
    <w:tbl>
      <w:tblPr>
        <w:tblW w:type="auto" w:w="0"/>
        <w:jc w:val="center"/>
        <w:tblLayout w:type="fixed"/>
        <w:tblLook w:firstColumn="1" w:firstRow="1" w:lastColumn="0" w:lastRow="0" w:noHBand="0" w:noVBand="1" w:val="04A0"/>
        <w:tblBorders>
          <w:top w:val="single" w:sz="4" w:space="0" w:color="B8C8D6"/>
          <w:left w:val="single" w:sz="4" w:space="0" w:color="B8C8D6"/>
          <w:bottom w:val="single" w:sz="4" w:space="0" w:color="B8C8D6"/>
          <w:right w:val="single" w:sz="4" w:space="0" w:color="B8C8D6"/>
          <w:insideH w:val="single" w:sz="4" w:space="0" w:color="B8C8D6"/>
          <w:insideV w:val="single" w:sz="4" w:space="0" w:color="B8C8D6"/>
        </w:tblBorders>
      </w:tblPr>
      <w:tblGrid>
        <w:gridCol w:w="5083"/>
        <w:gridCol w:w="5083"/>
      </w:tblGrid>
      <w:tr>
        <w:trPr>
          <w:cantSplit/>
        </w:trPr>
        <w:tc>
          <w:tcPr>
            <w:tcW w:type="dxa" w:w="1512"/>
            <w:tcMar>
              <w:top w:w="45" w:type="dxa"/>
              <w:start w:w="65" w:type="dxa"/>
              <w:bottom w:w="45" w:type="dxa"/>
              <w:end w:w="65" w:type="dxa"/>
            </w:tcMar>
            <w:vAlign w:val="top"/>
            <w:shd w:fill="DCE6F1"/>
          </w:tcPr>
          <w:p>
            <w:pPr>
              <w:keepNext/>
              <w:spacing w:after="0"/>
            </w:pPr>
            <w:r>
              <w:rPr>
                <w:rFonts w:ascii="Aptos" w:hAnsi="Aptos"/>
                <w:b/>
                <w:color w:val="0B2748"/>
                <w:sz w:val="15"/>
              </w:rPr>
              <w:t>Use when</w:t>
            </w:r>
          </w:p>
        </w:tc>
        <w:tc>
          <w:tcPr>
            <w:tcW w:type="dxa" w:w="8568"/>
            <w:tcMar>
              <w:top w:w="45" w:type="dxa"/>
              <w:start w:w="65" w:type="dxa"/>
              <w:bottom w:w="45" w:type="dxa"/>
              <w:end w:w="65" w:type="dxa"/>
            </w:tcMar>
            <w:vAlign w:val="top"/>
            <w:shd w:fill="FFFFFF"/>
          </w:tcPr>
          <w:p>
            <w:pPr>
              <w:keepNext/>
              <w:spacing w:after="0" w:line="235" w:lineRule="auto"/>
            </w:pPr>
            <w:r>
              <w:rPr>
                <w:rFonts w:ascii="Aptos" w:hAnsi="Aptos"/>
                <w:b w:val="0"/>
                <w:color w:val="3C4650"/>
                <w:sz w:val="15"/>
              </w:rPr>
              <w:t>A photo, video, scan, attachment, rendition, OCR result, redaction, evidence package, public asset, or portable export is created or shared.</w:t>
            </w:r>
          </w:p>
        </w:tc>
      </w:tr>
      <w:tr>
        <w:trPr>
          <w:cantSplit/>
        </w:trPr>
        <w:tc>
          <w:tcPr>
            <w:tcW w:type="dxa" w:w="1512"/>
            <w:tcMar>
              <w:top w:w="45" w:type="dxa"/>
              <w:start w:w="65" w:type="dxa"/>
              <w:bottom w:w="45" w:type="dxa"/>
              <w:end w:w="65" w:type="dxa"/>
            </w:tcMar>
            <w:vAlign w:val="top"/>
            <w:shd w:fill="DCE6F1"/>
          </w:tcPr>
          <w:p>
            <w:pPr>
              <w:keepNext/>
              <w:spacing w:after="0"/>
            </w:pPr>
            <w:r>
              <w:rPr>
                <w:rFonts w:ascii="Aptos" w:hAnsi="Aptos"/>
                <w:b/>
                <w:color w:val="0B2748"/>
                <w:sz w:val="15"/>
              </w:rPr>
              <w:t>Start with</w:t>
            </w:r>
          </w:p>
        </w:tc>
        <w:tc>
          <w:tcPr>
            <w:tcW w:type="dxa" w:w="8568"/>
            <w:tcMar>
              <w:top w:w="45" w:type="dxa"/>
              <w:start w:w="65" w:type="dxa"/>
              <w:bottom w:w="45" w:type="dxa"/>
              <w:end w:w="65" w:type="dxa"/>
            </w:tcMar>
            <w:vAlign w:val="top"/>
            <w:shd w:fill="F3F5F7"/>
          </w:tcPr>
          <w:p>
            <w:pPr>
              <w:keepNext/>
              <w:spacing w:after="0" w:line="235" w:lineRule="auto"/>
            </w:pPr>
            <w:r>
              <w:rPr>
                <w:rFonts w:ascii="Aptos" w:hAnsi="Aptos"/>
                <w:b w:val="0"/>
                <w:color w:val="3C4650"/>
                <w:sz w:val="15"/>
              </w:rPr>
              <w:t>Master Media, Files, and Digital Asset Governance Model</w:t>
            </w:r>
          </w:p>
        </w:tc>
      </w:tr>
      <w:tr>
        <w:trPr>
          <w:cantSplit/>
        </w:trPr>
        <w:tc>
          <w:tcPr>
            <w:tcW w:type="dxa" w:w="1512"/>
            <w:tcMar>
              <w:top w:w="45" w:type="dxa"/>
              <w:start w:w="65" w:type="dxa"/>
              <w:bottom w:w="45" w:type="dxa"/>
              <w:end w:w="65" w:type="dxa"/>
            </w:tcMar>
            <w:vAlign w:val="top"/>
            <w:shd w:fill="DCE6F1"/>
          </w:tcPr>
          <w:p>
            <w:pPr>
              <w:keepNext/>
              <w:spacing w:after="0"/>
            </w:pPr>
            <w:r>
              <w:rPr>
                <w:rFonts w:ascii="Aptos" w:hAnsi="Aptos"/>
                <w:b/>
                <w:color w:val="0B2748"/>
                <w:sz w:val="15"/>
              </w:rPr>
              <w:t>Read with</w:t>
            </w:r>
          </w:p>
        </w:tc>
        <w:tc>
          <w:tcPr>
            <w:tcW w:type="dxa" w:w="8568"/>
            <w:tcMar>
              <w:top w:w="45" w:type="dxa"/>
              <w:start w:w="65" w:type="dxa"/>
              <w:bottom w:w="45" w:type="dxa"/>
              <w:end w:w="65" w:type="dxa"/>
            </w:tcMar>
            <w:vAlign w:val="top"/>
            <w:shd w:fill="FFFFFF"/>
          </w:tcPr>
          <w:p>
            <w:pPr>
              <w:keepNext/>
              <w:spacing w:after="0" w:line="235" w:lineRule="auto"/>
            </w:pPr>
            <w:r>
              <w:rPr>
                <w:rFonts w:ascii="Aptos" w:hAnsi="Aptos"/>
                <w:b w:val="0"/>
                <w:color w:val="3C4650"/>
                <w:sz w:val="15"/>
              </w:rPr>
              <w:t>Master Privacy and Data Protection Model; Master Record Stewardship and Retention Model; Master Permission and Access-Control Model; Master Security and Trust Model; Master Agreement, Consent, and Authorization Model</w:t>
            </w:r>
          </w:p>
        </w:tc>
      </w:tr>
      <w:tr>
        <w:trPr>
          <w:cantSplit/>
        </w:trPr>
        <w:tc>
          <w:tcPr>
            <w:tcW w:type="dxa" w:w="1512"/>
            <w:tcMar>
              <w:top w:w="45" w:type="dxa"/>
              <w:start w:w="65" w:type="dxa"/>
              <w:bottom w:w="45" w:type="dxa"/>
              <w:end w:w="65" w:type="dxa"/>
            </w:tcMar>
            <w:vAlign w:val="top"/>
            <w:shd w:fill="DCE6F1"/>
          </w:tcPr>
          <w:p>
            <w:pPr>
              <w:keepNext w:val="0"/>
              <w:spacing w:after="0"/>
            </w:pPr>
            <w:r>
              <w:rPr>
                <w:rFonts w:ascii="Aptos" w:hAnsi="Aptos"/>
                <w:b/>
                <w:color w:val="0B2748"/>
                <w:sz w:val="15"/>
              </w:rPr>
              <w:t>Index entries</w:t>
            </w:r>
          </w:p>
        </w:tc>
        <w:tc>
          <w:tcPr>
            <w:tcW w:type="dxa" w:w="8568"/>
            <w:tcMar>
              <w:top w:w="45" w:type="dxa"/>
              <w:start w:w="65" w:type="dxa"/>
              <w:bottom w:w="45" w:type="dxa"/>
              <w:end w:w="65" w:type="dxa"/>
            </w:tcMar>
            <w:vAlign w:val="top"/>
            <w:shd w:fill="F3F5F7"/>
          </w:tcPr>
          <w:p>
            <w:pPr>
              <w:keepNext w:val="0"/>
              <w:spacing w:after="0" w:line="235" w:lineRule="auto"/>
            </w:pPr>
            <w:r>
              <w:rPr>
                <w:rFonts w:ascii="Aptos" w:hAnsi="Aptos"/>
                <w:b/>
                <w:color w:val="3C4650"/>
                <w:sz w:val="15"/>
              </w:rPr>
              <w:t>XREF-060–063; XREF-066; XREF-068–070</w:t>
            </w:r>
          </w:p>
        </w:tc>
      </w:tr>
    </w:tbl>
    <w:p>
      <w:pPr>
        <w:spacing w:after="20"/>
      </w:pPr>
    </w:p>
    <w:p>
      <w:pPr>
        <w:pStyle w:val="Heading2"/>
        <w:keepNext/>
        <w:spacing w:before="100" w:after="40"/>
      </w:pPr>
      <w:r>
        <w:rPr>
          <w:rFonts w:ascii="Aptos Display" w:hAnsi="Aptos Display"/>
          <w:b/>
          <w:color w:val="1F4E79"/>
          <w:sz w:val="21"/>
        </w:rPr>
        <w:t>7.10 Search, discovery, ranking, retrieval, and public exposure</w:t>
      </w:r>
    </w:p>
    <w:tbl>
      <w:tblPr>
        <w:tblW w:type="auto" w:w="0"/>
        <w:jc w:val="center"/>
        <w:tblLayout w:type="fixed"/>
        <w:tblLook w:firstColumn="1" w:firstRow="1" w:lastColumn="0" w:lastRow="0" w:noHBand="0" w:noVBand="1" w:val="04A0"/>
        <w:tblBorders>
          <w:top w:val="single" w:sz="4" w:space="0" w:color="B8C8D6"/>
          <w:left w:val="single" w:sz="4" w:space="0" w:color="B8C8D6"/>
          <w:bottom w:val="single" w:sz="4" w:space="0" w:color="B8C8D6"/>
          <w:right w:val="single" w:sz="4" w:space="0" w:color="B8C8D6"/>
          <w:insideH w:val="single" w:sz="4" w:space="0" w:color="B8C8D6"/>
          <w:insideV w:val="single" w:sz="4" w:space="0" w:color="B8C8D6"/>
        </w:tblBorders>
      </w:tblPr>
      <w:tblGrid>
        <w:gridCol w:w="5083"/>
        <w:gridCol w:w="5083"/>
      </w:tblGrid>
      <w:tr>
        <w:trPr>
          <w:cantSplit/>
        </w:trPr>
        <w:tc>
          <w:tcPr>
            <w:tcW w:type="dxa" w:w="1512"/>
            <w:tcMar>
              <w:top w:w="45" w:type="dxa"/>
              <w:start w:w="65" w:type="dxa"/>
              <w:bottom w:w="45" w:type="dxa"/>
              <w:end w:w="65" w:type="dxa"/>
            </w:tcMar>
            <w:vAlign w:val="top"/>
            <w:shd w:fill="DCE6F1"/>
          </w:tcPr>
          <w:p>
            <w:pPr>
              <w:keepNext/>
              <w:spacing w:after="0"/>
            </w:pPr>
            <w:r>
              <w:rPr>
                <w:rFonts w:ascii="Aptos" w:hAnsi="Aptos"/>
                <w:b/>
                <w:color w:val="0B2748"/>
                <w:sz w:val="15"/>
              </w:rPr>
              <w:t>Use when</w:t>
            </w:r>
          </w:p>
        </w:tc>
        <w:tc>
          <w:tcPr>
            <w:tcW w:type="dxa" w:w="8568"/>
            <w:tcMar>
              <w:top w:w="45" w:type="dxa"/>
              <w:start w:w="65" w:type="dxa"/>
              <w:bottom w:w="45" w:type="dxa"/>
              <w:end w:w="65" w:type="dxa"/>
            </w:tcMar>
            <w:vAlign w:val="top"/>
            <w:shd w:fill="FFFFFF"/>
          </w:tcPr>
          <w:p>
            <w:pPr>
              <w:keepNext/>
              <w:spacing w:after="0" w:line="235" w:lineRule="auto"/>
            </w:pPr>
            <w:r>
              <w:rPr>
                <w:rFonts w:ascii="Aptos" w:hAnsi="Aptos"/>
                <w:b w:val="0"/>
                <w:color w:val="3C4650"/>
                <w:sz w:val="15"/>
              </w:rPr>
              <w:t>Information is indexed, searched, ranked, recommended, autocompleted, exposed publicly, or retrieved for AI assistance.</w:t>
            </w:r>
          </w:p>
        </w:tc>
      </w:tr>
      <w:tr>
        <w:trPr>
          <w:cantSplit/>
        </w:trPr>
        <w:tc>
          <w:tcPr>
            <w:tcW w:type="dxa" w:w="1512"/>
            <w:tcMar>
              <w:top w:w="45" w:type="dxa"/>
              <w:start w:w="65" w:type="dxa"/>
              <w:bottom w:w="45" w:type="dxa"/>
              <w:end w:w="65" w:type="dxa"/>
            </w:tcMar>
            <w:vAlign w:val="top"/>
            <w:shd w:fill="DCE6F1"/>
          </w:tcPr>
          <w:p>
            <w:pPr>
              <w:keepNext/>
              <w:spacing w:after="0"/>
            </w:pPr>
            <w:r>
              <w:rPr>
                <w:rFonts w:ascii="Aptos" w:hAnsi="Aptos"/>
                <w:b/>
                <w:color w:val="0B2748"/>
                <w:sz w:val="15"/>
              </w:rPr>
              <w:t>Start with</w:t>
            </w:r>
          </w:p>
        </w:tc>
        <w:tc>
          <w:tcPr>
            <w:tcW w:type="dxa" w:w="8568"/>
            <w:tcMar>
              <w:top w:w="45" w:type="dxa"/>
              <w:start w:w="65" w:type="dxa"/>
              <w:bottom w:w="45" w:type="dxa"/>
              <w:end w:w="65" w:type="dxa"/>
            </w:tcMar>
            <w:vAlign w:val="top"/>
            <w:shd w:fill="F3F5F7"/>
          </w:tcPr>
          <w:p>
            <w:pPr>
              <w:keepNext/>
              <w:spacing w:after="0" w:line="235" w:lineRule="auto"/>
            </w:pPr>
            <w:r>
              <w:rPr>
                <w:rFonts w:ascii="Aptos" w:hAnsi="Aptos"/>
                <w:b w:val="0"/>
                <w:color w:val="3C4650"/>
                <w:sz w:val="15"/>
              </w:rPr>
              <w:t>Master Search, Discovery, Ranking, and Retrieval Model</w:t>
            </w:r>
          </w:p>
        </w:tc>
      </w:tr>
      <w:tr>
        <w:trPr>
          <w:cantSplit/>
        </w:trPr>
        <w:tc>
          <w:tcPr>
            <w:tcW w:type="dxa" w:w="1512"/>
            <w:tcMar>
              <w:top w:w="45" w:type="dxa"/>
              <w:start w:w="65" w:type="dxa"/>
              <w:bottom w:w="45" w:type="dxa"/>
              <w:end w:w="65" w:type="dxa"/>
            </w:tcMar>
            <w:vAlign w:val="top"/>
            <w:shd w:fill="DCE6F1"/>
          </w:tcPr>
          <w:p>
            <w:pPr>
              <w:keepNext/>
              <w:spacing w:after="0"/>
            </w:pPr>
            <w:r>
              <w:rPr>
                <w:rFonts w:ascii="Aptos" w:hAnsi="Aptos"/>
                <w:b/>
                <w:color w:val="0B2748"/>
                <w:sz w:val="15"/>
              </w:rPr>
              <w:t>Read with</w:t>
            </w:r>
          </w:p>
        </w:tc>
        <w:tc>
          <w:tcPr>
            <w:tcW w:type="dxa" w:w="8568"/>
            <w:tcMar>
              <w:top w:w="45" w:type="dxa"/>
              <w:start w:w="65" w:type="dxa"/>
              <w:bottom w:w="45" w:type="dxa"/>
              <w:end w:w="65" w:type="dxa"/>
            </w:tcMar>
            <w:vAlign w:val="top"/>
            <w:shd w:fill="FFFFFF"/>
          </w:tcPr>
          <w:p>
            <w:pPr>
              <w:keepNext/>
              <w:spacing w:after="0" w:line="235" w:lineRule="auto"/>
            </w:pPr>
            <w:r>
              <w:rPr>
                <w:rFonts w:ascii="Aptos" w:hAnsi="Aptos"/>
                <w:b w:val="0"/>
                <w:color w:val="3C4650"/>
                <w:sz w:val="15"/>
              </w:rPr>
              <w:t>Master Permission and Access-Control Model; Master Privacy and Data Protection Model; Master Relationship Model; Minor, Guardian, Safeguarding, and Delegated-Assistance Canon; Master AI Governance and Decision Boundary Model</w:t>
            </w:r>
          </w:p>
        </w:tc>
      </w:tr>
      <w:tr>
        <w:trPr>
          <w:cantSplit/>
        </w:trPr>
        <w:tc>
          <w:tcPr>
            <w:tcW w:type="dxa" w:w="1512"/>
            <w:tcMar>
              <w:top w:w="45" w:type="dxa"/>
              <w:start w:w="65" w:type="dxa"/>
              <w:bottom w:w="45" w:type="dxa"/>
              <w:end w:w="65" w:type="dxa"/>
            </w:tcMar>
            <w:vAlign w:val="top"/>
            <w:shd w:fill="DCE6F1"/>
          </w:tcPr>
          <w:p>
            <w:pPr>
              <w:keepNext w:val="0"/>
              <w:spacing w:after="0"/>
            </w:pPr>
            <w:r>
              <w:rPr>
                <w:rFonts w:ascii="Aptos" w:hAnsi="Aptos"/>
                <w:b/>
                <w:color w:val="0B2748"/>
                <w:sz w:val="15"/>
              </w:rPr>
              <w:t>Index entries</w:t>
            </w:r>
          </w:p>
        </w:tc>
        <w:tc>
          <w:tcPr>
            <w:tcW w:type="dxa" w:w="8568"/>
            <w:tcMar>
              <w:top w:w="45" w:type="dxa"/>
              <w:start w:w="65" w:type="dxa"/>
              <w:bottom w:w="45" w:type="dxa"/>
              <w:end w:w="65" w:type="dxa"/>
            </w:tcMar>
            <w:vAlign w:val="top"/>
            <w:shd w:fill="F3F5F7"/>
          </w:tcPr>
          <w:p>
            <w:pPr>
              <w:keepNext w:val="0"/>
              <w:spacing w:after="0" w:line="235" w:lineRule="auto"/>
            </w:pPr>
            <w:r>
              <w:rPr>
                <w:rFonts w:ascii="Aptos" w:hAnsi="Aptos"/>
                <w:b/>
                <w:color w:val="3C4650"/>
                <w:sz w:val="15"/>
              </w:rPr>
              <w:t>XREF-064–065; XREF-070; XREF-075</w:t>
            </w:r>
          </w:p>
        </w:tc>
      </w:tr>
    </w:tbl>
    <w:p>
      <w:pPr>
        <w:spacing w:after="20"/>
      </w:pPr>
    </w:p>
    <w:p>
      <w:pPr>
        <w:pStyle w:val="Heading2"/>
        <w:keepNext/>
        <w:spacing w:before="100" w:after="40"/>
      </w:pPr>
      <w:r>
        <w:rPr>
          <w:rFonts w:ascii="Aptos Display" w:hAnsi="Aptos Display"/>
          <w:b/>
          <w:color w:val="1F4E79"/>
          <w:sz w:val="21"/>
        </w:rPr>
        <w:t>7.11 AI systems, outputs, retrieval, agents, and human review</w:t>
      </w:r>
    </w:p>
    <w:tbl>
      <w:tblPr>
        <w:tblW w:type="auto" w:w="0"/>
        <w:jc w:val="center"/>
        <w:tblLayout w:type="fixed"/>
        <w:tblLook w:firstColumn="1" w:firstRow="1" w:lastColumn="0" w:lastRow="0" w:noHBand="0" w:noVBand="1" w:val="04A0"/>
        <w:tblBorders>
          <w:top w:val="single" w:sz="4" w:space="0" w:color="B8C8D6"/>
          <w:left w:val="single" w:sz="4" w:space="0" w:color="B8C8D6"/>
          <w:bottom w:val="single" w:sz="4" w:space="0" w:color="B8C8D6"/>
          <w:right w:val="single" w:sz="4" w:space="0" w:color="B8C8D6"/>
          <w:insideH w:val="single" w:sz="4" w:space="0" w:color="B8C8D6"/>
          <w:insideV w:val="single" w:sz="4" w:space="0" w:color="B8C8D6"/>
        </w:tblBorders>
      </w:tblPr>
      <w:tblGrid>
        <w:gridCol w:w="5083"/>
        <w:gridCol w:w="5083"/>
      </w:tblGrid>
      <w:tr>
        <w:trPr>
          <w:cantSplit/>
        </w:trPr>
        <w:tc>
          <w:tcPr>
            <w:tcW w:type="dxa" w:w="1512"/>
            <w:tcMar>
              <w:top w:w="45" w:type="dxa"/>
              <w:start w:w="65" w:type="dxa"/>
              <w:bottom w:w="45" w:type="dxa"/>
              <w:end w:w="65" w:type="dxa"/>
            </w:tcMar>
            <w:vAlign w:val="top"/>
            <w:shd w:fill="DCE6F1"/>
          </w:tcPr>
          <w:p>
            <w:pPr>
              <w:keepNext/>
              <w:spacing w:after="0"/>
            </w:pPr>
            <w:r>
              <w:rPr>
                <w:rFonts w:ascii="Aptos" w:hAnsi="Aptos"/>
                <w:b/>
                <w:color w:val="0B2748"/>
                <w:sz w:val="15"/>
              </w:rPr>
              <w:t>Use when</w:t>
            </w:r>
          </w:p>
        </w:tc>
        <w:tc>
          <w:tcPr>
            <w:tcW w:type="dxa" w:w="8568"/>
            <w:tcMar>
              <w:top w:w="45" w:type="dxa"/>
              <w:start w:w="65" w:type="dxa"/>
              <w:bottom w:w="45" w:type="dxa"/>
              <w:end w:w="65" w:type="dxa"/>
            </w:tcMar>
            <w:vAlign w:val="top"/>
            <w:shd w:fill="FFFFFF"/>
          </w:tcPr>
          <w:p>
            <w:pPr>
              <w:keepNext/>
              <w:spacing w:after="0" w:line="235" w:lineRule="auto"/>
            </w:pPr>
            <w:r>
              <w:rPr>
                <w:rFonts w:ascii="Aptos" w:hAnsi="Aptos"/>
                <w:b w:val="0"/>
                <w:color w:val="3C4650"/>
                <w:sz w:val="15"/>
              </w:rPr>
              <w:t>AI extracts, summarizes, predicts, ranks, recommends, drafts, acts through tools, or influences a consequential decision.</w:t>
            </w:r>
          </w:p>
        </w:tc>
      </w:tr>
      <w:tr>
        <w:trPr>
          <w:cantSplit/>
        </w:trPr>
        <w:tc>
          <w:tcPr>
            <w:tcW w:type="dxa" w:w="1512"/>
            <w:tcMar>
              <w:top w:w="45" w:type="dxa"/>
              <w:start w:w="65" w:type="dxa"/>
              <w:bottom w:w="45" w:type="dxa"/>
              <w:end w:w="65" w:type="dxa"/>
            </w:tcMar>
            <w:vAlign w:val="top"/>
            <w:shd w:fill="DCE6F1"/>
          </w:tcPr>
          <w:p>
            <w:pPr>
              <w:keepNext/>
              <w:spacing w:after="0"/>
            </w:pPr>
            <w:r>
              <w:rPr>
                <w:rFonts w:ascii="Aptos" w:hAnsi="Aptos"/>
                <w:b/>
                <w:color w:val="0B2748"/>
                <w:sz w:val="15"/>
              </w:rPr>
              <w:t>Start with</w:t>
            </w:r>
          </w:p>
        </w:tc>
        <w:tc>
          <w:tcPr>
            <w:tcW w:type="dxa" w:w="8568"/>
            <w:tcMar>
              <w:top w:w="45" w:type="dxa"/>
              <w:start w:w="65" w:type="dxa"/>
              <w:bottom w:w="45" w:type="dxa"/>
              <w:end w:w="65" w:type="dxa"/>
            </w:tcMar>
            <w:vAlign w:val="top"/>
            <w:shd w:fill="F3F5F7"/>
          </w:tcPr>
          <w:p>
            <w:pPr>
              <w:keepNext/>
              <w:spacing w:after="0" w:line="235" w:lineRule="auto"/>
            </w:pPr>
            <w:r>
              <w:rPr>
                <w:rFonts w:ascii="Aptos" w:hAnsi="Aptos"/>
                <w:b w:val="0"/>
                <w:color w:val="3C4650"/>
                <w:sz w:val="15"/>
              </w:rPr>
              <w:t>Master AI Governance and Decision Boundary Model</w:t>
            </w:r>
          </w:p>
        </w:tc>
      </w:tr>
      <w:tr>
        <w:trPr>
          <w:cantSplit/>
        </w:trPr>
        <w:tc>
          <w:tcPr>
            <w:tcW w:type="dxa" w:w="1512"/>
            <w:tcMar>
              <w:top w:w="45" w:type="dxa"/>
              <w:start w:w="65" w:type="dxa"/>
              <w:bottom w:w="45" w:type="dxa"/>
              <w:end w:w="65" w:type="dxa"/>
            </w:tcMar>
            <w:vAlign w:val="top"/>
            <w:shd w:fill="DCE6F1"/>
          </w:tcPr>
          <w:p>
            <w:pPr>
              <w:keepNext/>
              <w:spacing w:after="0"/>
            </w:pPr>
            <w:r>
              <w:rPr>
                <w:rFonts w:ascii="Aptos" w:hAnsi="Aptos"/>
                <w:b/>
                <w:color w:val="0B2748"/>
                <w:sz w:val="15"/>
              </w:rPr>
              <w:t>Read with</w:t>
            </w:r>
          </w:p>
        </w:tc>
        <w:tc>
          <w:tcPr>
            <w:tcW w:type="dxa" w:w="8568"/>
            <w:tcMar>
              <w:top w:w="45" w:type="dxa"/>
              <w:start w:w="65" w:type="dxa"/>
              <w:bottom w:w="45" w:type="dxa"/>
              <w:end w:w="65" w:type="dxa"/>
            </w:tcMar>
            <w:vAlign w:val="top"/>
            <w:shd w:fill="FFFFFF"/>
          </w:tcPr>
          <w:p>
            <w:pPr>
              <w:keepNext/>
              <w:spacing w:after="0" w:line="235" w:lineRule="auto"/>
            </w:pPr>
            <w:r>
              <w:rPr>
                <w:rFonts w:ascii="Aptos" w:hAnsi="Aptos"/>
                <w:b w:val="0"/>
                <w:color w:val="3C4650"/>
                <w:sz w:val="15"/>
              </w:rPr>
              <w:t>Master Privacy and Data Protection Model; Master Permission and Access-Control Model; Master Record Stewardship and Retention Model; Master Search, Discovery, Ranking, and Retrieval Model; Master Audit Event and Evidence Model; governing domain canon</w:t>
            </w:r>
          </w:p>
        </w:tc>
      </w:tr>
      <w:tr>
        <w:trPr>
          <w:cantSplit/>
        </w:trPr>
        <w:tc>
          <w:tcPr>
            <w:tcW w:type="dxa" w:w="1512"/>
            <w:tcMar>
              <w:top w:w="45" w:type="dxa"/>
              <w:start w:w="65" w:type="dxa"/>
              <w:bottom w:w="45" w:type="dxa"/>
              <w:end w:w="65" w:type="dxa"/>
            </w:tcMar>
            <w:vAlign w:val="top"/>
            <w:shd w:fill="DCE6F1"/>
          </w:tcPr>
          <w:p>
            <w:pPr>
              <w:keepNext w:val="0"/>
              <w:spacing w:after="0"/>
            </w:pPr>
            <w:r>
              <w:rPr>
                <w:rFonts w:ascii="Aptos" w:hAnsi="Aptos"/>
                <w:b/>
                <w:color w:val="0B2748"/>
                <w:sz w:val="15"/>
              </w:rPr>
              <w:t>Index entries</w:t>
            </w:r>
          </w:p>
        </w:tc>
        <w:tc>
          <w:tcPr>
            <w:tcW w:type="dxa" w:w="8568"/>
            <w:tcMar>
              <w:top w:w="45" w:type="dxa"/>
              <w:start w:w="65" w:type="dxa"/>
              <w:bottom w:w="45" w:type="dxa"/>
              <w:end w:w="65" w:type="dxa"/>
            </w:tcMar>
            <w:vAlign w:val="top"/>
            <w:shd w:fill="F3F5F7"/>
          </w:tcPr>
          <w:p>
            <w:pPr>
              <w:keepNext w:val="0"/>
              <w:spacing w:after="0" w:line="235" w:lineRule="auto"/>
            </w:pPr>
            <w:r>
              <w:rPr>
                <w:rFonts w:ascii="Aptos" w:hAnsi="Aptos"/>
                <w:b/>
                <w:color w:val="3C4650"/>
                <w:sz w:val="15"/>
              </w:rPr>
              <w:t>XREF-071–076; XREF-080</w:t>
            </w:r>
          </w:p>
        </w:tc>
      </w:tr>
    </w:tbl>
    <w:p>
      <w:pPr>
        <w:spacing w:after="20"/>
      </w:pPr>
    </w:p>
    <w:p>
      <w:pPr>
        <w:pStyle w:val="Heading2"/>
        <w:keepNext/>
        <w:spacing w:before="100" w:after="40"/>
      </w:pPr>
      <w:r>
        <w:rPr>
          <w:rFonts w:ascii="Aptos Display" w:hAnsi="Aptos Display"/>
          <w:b/>
          <w:color w:val="1F4E79"/>
          <w:sz w:val="21"/>
        </w:rPr>
        <w:t>7.12 Reporting, analytics, KPIs, forecasts, and public research</w:t>
      </w:r>
    </w:p>
    <w:tbl>
      <w:tblPr>
        <w:tblW w:type="auto" w:w="0"/>
        <w:jc w:val="center"/>
        <w:tblLayout w:type="fixed"/>
        <w:tblLook w:firstColumn="1" w:firstRow="1" w:lastColumn="0" w:lastRow="0" w:noHBand="0" w:noVBand="1" w:val="04A0"/>
        <w:tblBorders>
          <w:top w:val="single" w:sz="4" w:space="0" w:color="B8C8D6"/>
          <w:left w:val="single" w:sz="4" w:space="0" w:color="B8C8D6"/>
          <w:bottom w:val="single" w:sz="4" w:space="0" w:color="B8C8D6"/>
          <w:right w:val="single" w:sz="4" w:space="0" w:color="B8C8D6"/>
          <w:insideH w:val="single" w:sz="4" w:space="0" w:color="B8C8D6"/>
          <w:insideV w:val="single" w:sz="4" w:space="0" w:color="B8C8D6"/>
        </w:tblBorders>
      </w:tblPr>
      <w:tblGrid>
        <w:gridCol w:w="5083"/>
        <w:gridCol w:w="5083"/>
      </w:tblGrid>
      <w:tr>
        <w:trPr>
          <w:cantSplit/>
        </w:trPr>
        <w:tc>
          <w:tcPr>
            <w:tcW w:type="dxa" w:w="1512"/>
            <w:tcMar>
              <w:top w:w="45" w:type="dxa"/>
              <w:start w:w="65" w:type="dxa"/>
              <w:bottom w:w="45" w:type="dxa"/>
              <w:end w:w="65" w:type="dxa"/>
            </w:tcMar>
            <w:vAlign w:val="top"/>
            <w:shd w:fill="DCE6F1"/>
          </w:tcPr>
          <w:p>
            <w:pPr>
              <w:keepNext/>
              <w:spacing w:after="0"/>
            </w:pPr>
            <w:r>
              <w:rPr>
                <w:rFonts w:ascii="Aptos" w:hAnsi="Aptos"/>
                <w:b/>
                <w:color w:val="0B2748"/>
                <w:sz w:val="15"/>
              </w:rPr>
              <w:t>Use when</w:t>
            </w:r>
          </w:p>
        </w:tc>
        <w:tc>
          <w:tcPr>
            <w:tcW w:type="dxa" w:w="8568"/>
            <w:tcMar>
              <w:top w:w="45" w:type="dxa"/>
              <w:start w:w="65" w:type="dxa"/>
              <w:bottom w:w="45" w:type="dxa"/>
              <w:end w:w="65" w:type="dxa"/>
            </w:tcMar>
            <w:vAlign w:val="top"/>
            <w:shd w:fill="FFFFFF"/>
          </w:tcPr>
          <w:p>
            <w:pPr>
              <w:keepNext/>
              <w:spacing w:after="0" w:line="235" w:lineRule="auto"/>
            </w:pPr>
            <w:r>
              <w:rPr>
                <w:rFonts w:ascii="Aptos" w:hAnsi="Aptos"/>
                <w:b w:val="0"/>
                <w:color w:val="3C4650"/>
                <w:sz w:val="15"/>
              </w:rPr>
              <w:t>A report, dashboard, metric, score, benchmark, forecast, analytical export, correction, or public research output is produced.</w:t>
            </w:r>
          </w:p>
        </w:tc>
      </w:tr>
      <w:tr>
        <w:trPr>
          <w:cantSplit/>
        </w:trPr>
        <w:tc>
          <w:tcPr>
            <w:tcW w:type="dxa" w:w="1512"/>
            <w:tcMar>
              <w:top w:w="45" w:type="dxa"/>
              <w:start w:w="65" w:type="dxa"/>
              <w:bottom w:w="45" w:type="dxa"/>
              <w:end w:w="65" w:type="dxa"/>
            </w:tcMar>
            <w:vAlign w:val="top"/>
            <w:shd w:fill="DCE6F1"/>
          </w:tcPr>
          <w:p>
            <w:pPr>
              <w:keepNext/>
              <w:spacing w:after="0"/>
            </w:pPr>
            <w:r>
              <w:rPr>
                <w:rFonts w:ascii="Aptos" w:hAnsi="Aptos"/>
                <w:b/>
                <w:color w:val="0B2748"/>
                <w:sz w:val="15"/>
              </w:rPr>
              <w:t>Start with</w:t>
            </w:r>
          </w:p>
        </w:tc>
        <w:tc>
          <w:tcPr>
            <w:tcW w:type="dxa" w:w="8568"/>
            <w:tcMar>
              <w:top w:w="45" w:type="dxa"/>
              <w:start w:w="65" w:type="dxa"/>
              <w:bottom w:w="45" w:type="dxa"/>
              <w:end w:w="65" w:type="dxa"/>
            </w:tcMar>
            <w:vAlign w:val="top"/>
            <w:shd w:fill="F3F5F7"/>
          </w:tcPr>
          <w:p>
            <w:pPr>
              <w:keepNext/>
              <w:spacing w:after="0" w:line="235" w:lineRule="auto"/>
            </w:pPr>
            <w:r>
              <w:rPr>
                <w:rFonts w:ascii="Aptos" w:hAnsi="Aptos"/>
                <w:b w:val="0"/>
                <w:color w:val="3C4650"/>
                <w:sz w:val="15"/>
              </w:rPr>
              <w:t>Master Reporting, Analytics, and Business Intelligence Model</w:t>
            </w:r>
          </w:p>
        </w:tc>
      </w:tr>
      <w:tr>
        <w:trPr>
          <w:cantSplit/>
        </w:trPr>
        <w:tc>
          <w:tcPr>
            <w:tcW w:type="dxa" w:w="1512"/>
            <w:tcMar>
              <w:top w:w="45" w:type="dxa"/>
              <w:start w:w="65" w:type="dxa"/>
              <w:bottom w:w="45" w:type="dxa"/>
              <w:end w:w="65" w:type="dxa"/>
            </w:tcMar>
            <w:vAlign w:val="top"/>
            <w:shd w:fill="DCE6F1"/>
          </w:tcPr>
          <w:p>
            <w:pPr>
              <w:keepNext/>
              <w:spacing w:after="0"/>
            </w:pPr>
            <w:r>
              <w:rPr>
                <w:rFonts w:ascii="Aptos" w:hAnsi="Aptos"/>
                <w:b/>
                <w:color w:val="0B2748"/>
                <w:sz w:val="15"/>
              </w:rPr>
              <w:t>Read with</w:t>
            </w:r>
          </w:p>
        </w:tc>
        <w:tc>
          <w:tcPr>
            <w:tcW w:type="dxa" w:w="8568"/>
            <w:tcMar>
              <w:top w:w="45" w:type="dxa"/>
              <w:start w:w="65" w:type="dxa"/>
              <w:bottom w:w="45" w:type="dxa"/>
              <w:end w:w="65" w:type="dxa"/>
            </w:tcMar>
            <w:vAlign w:val="top"/>
            <w:shd w:fill="FFFFFF"/>
          </w:tcPr>
          <w:p>
            <w:pPr>
              <w:keepNext/>
              <w:spacing w:after="0" w:line="235" w:lineRule="auto"/>
            </w:pPr>
            <w:r>
              <w:rPr>
                <w:rFonts w:ascii="Aptos" w:hAnsi="Aptos"/>
                <w:b w:val="0"/>
                <w:color w:val="3C4650"/>
                <w:sz w:val="15"/>
              </w:rPr>
              <w:t>Master Record Stewardship and Retention Model; Master Privacy and Data Protection Model; Master AI Governance and Decision Boundary Model; Master Audit Event and Evidence Model; source-domain canon</w:t>
            </w:r>
          </w:p>
        </w:tc>
      </w:tr>
      <w:tr>
        <w:trPr>
          <w:cantSplit/>
        </w:trPr>
        <w:tc>
          <w:tcPr>
            <w:tcW w:type="dxa" w:w="1512"/>
            <w:tcMar>
              <w:top w:w="45" w:type="dxa"/>
              <w:start w:w="65" w:type="dxa"/>
              <w:bottom w:w="45" w:type="dxa"/>
              <w:end w:w="65" w:type="dxa"/>
            </w:tcMar>
            <w:vAlign w:val="top"/>
            <w:shd w:fill="DCE6F1"/>
          </w:tcPr>
          <w:p>
            <w:pPr>
              <w:keepNext w:val="0"/>
              <w:spacing w:after="0"/>
            </w:pPr>
            <w:r>
              <w:rPr>
                <w:rFonts w:ascii="Aptos" w:hAnsi="Aptos"/>
                <w:b/>
                <w:color w:val="0B2748"/>
                <w:sz w:val="15"/>
              </w:rPr>
              <w:t>Index entries</w:t>
            </w:r>
          </w:p>
        </w:tc>
        <w:tc>
          <w:tcPr>
            <w:tcW w:type="dxa" w:w="8568"/>
            <w:tcMar>
              <w:top w:w="45" w:type="dxa"/>
              <w:start w:w="65" w:type="dxa"/>
              <w:bottom w:w="45" w:type="dxa"/>
              <w:end w:w="65" w:type="dxa"/>
            </w:tcMar>
            <w:vAlign w:val="top"/>
            <w:shd w:fill="F3F5F7"/>
          </w:tcPr>
          <w:p>
            <w:pPr>
              <w:keepNext w:val="0"/>
              <w:spacing w:after="0" w:line="235" w:lineRule="auto"/>
            </w:pPr>
            <w:r>
              <w:rPr>
                <w:rFonts w:ascii="Aptos" w:hAnsi="Aptos"/>
                <w:b/>
                <w:color w:val="3C4650"/>
                <w:sz w:val="15"/>
              </w:rPr>
              <w:t>XREF-077–084; XREF-070</w:t>
            </w:r>
          </w:p>
        </w:tc>
      </w:tr>
    </w:tbl>
    <w:p>
      <w:pPr>
        <w:spacing w:after="20"/>
      </w:pPr>
    </w:p>
    <w:p>
      <w:pPr>
        <w:pStyle w:val="Heading2"/>
        <w:keepNext/>
        <w:spacing w:before="100" w:after="40"/>
      </w:pPr>
      <w:r>
        <w:rPr>
          <w:rFonts w:ascii="Aptos Display" w:hAnsi="Aptos Display"/>
          <w:b/>
          <w:color w:val="1F4E79"/>
          <w:sz w:val="21"/>
        </w:rPr>
        <w:t>7.13 Financial truth, invoices, payments, disputes, and provider rails</w:t>
      </w:r>
    </w:p>
    <w:tbl>
      <w:tblPr>
        <w:tblW w:type="auto" w:w="0"/>
        <w:jc w:val="center"/>
        <w:tblLayout w:type="fixed"/>
        <w:tblLook w:firstColumn="1" w:firstRow="1" w:lastColumn="0" w:lastRow="0" w:noHBand="0" w:noVBand="1" w:val="04A0"/>
        <w:tblBorders>
          <w:top w:val="single" w:sz="4" w:space="0" w:color="B8C8D6"/>
          <w:left w:val="single" w:sz="4" w:space="0" w:color="B8C8D6"/>
          <w:bottom w:val="single" w:sz="4" w:space="0" w:color="B8C8D6"/>
          <w:right w:val="single" w:sz="4" w:space="0" w:color="B8C8D6"/>
          <w:insideH w:val="single" w:sz="4" w:space="0" w:color="B8C8D6"/>
          <w:insideV w:val="single" w:sz="4" w:space="0" w:color="B8C8D6"/>
        </w:tblBorders>
      </w:tblPr>
      <w:tblGrid>
        <w:gridCol w:w="5083"/>
        <w:gridCol w:w="5083"/>
      </w:tblGrid>
      <w:tr>
        <w:trPr>
          <w:cantSplit/>
        </w:trPr>
        <w:tc>
          <w:tcPr>
            <w:tcW w:type="dxa" w:w="1512"/>
            <w:tcMar>
              <w:top w:w="45" w:type="dxa"/>
              <w:start w:w="65" w:type="dxa"/>
              <w:bottom w:w="45" w:type="dxa"/>
              <w:end w:w="65" w:type="dxa"/>
            </w:tcMar>
            <w:vAlign w:val="top"/>
            <w:shd w:fill="DCE6F1"/>
          </w:tcPr>
          <w:p>
            <w:pPr>
              <w:keepNext/>
              <w:spacing w:after="0"/>
            </w:pPr>
            <w:r>
              <w:rPr>
                <w:rFonts w:ascii="Aptos" w:hAnsi="Aptos"/>
                <w:b/>
                <w:color w:val="0B2748"/>
                <w:sz w:val="15"/>
              </w:rPr>
              <w:t>Use when</w:t>
            </w:r>
          </w:p>
        </w:tc>
        <w:tc>
          <w:tcPr>
            <w:tcW w:type="dxa" w:w="8568"/>
            <w:tcMar>
              <w:top w:w="45" w:type="dxa"/>
              <w:start w:w="65" w:type="dxa"/>
              <w:bottom w:w="45" w:type="dxa"/>
              <w:end w:w="65" w:type="dxa"/>
            </w:tcMar>
            <w:vAlign w:val="top"/>
            <w:shd w:fill="FFFFFF"/>
          </w:tcPr>
          <w:p>
            <w:pPr>
              <w:keepNext/>
              <w:spacing w:after="0" w:line="235" w:lineRule="auto"/>
            </w:pPr>
            <w:r>
              <w:rPr>
                <w:rFonts w:ascii="Aptos" w:hAnsi="Aptos"/>
                <w:b w:val="0"/>
                <w:color w:val="3C4650"/>
                <w:sz w:val="15"/>
              </w:rPr>
              <w:t>A charge, obligation, invoice, payer, payment attempt, settlement, refund, payout, lien, unpaid balance, accounting projection, or payment provider is involved.</w:t>
            </w:r>
          </w:p>
        </w:tc>
      </w:tr>
      <w:tr>
        <w:trPr>
          <w:cantSplit/>
        </w:trPr>
        <w:tc>
          <w:tcPr>
            <w:tcW w:type="dxa" w:w="1512"/>
            <w:tcMar>
              <w:top w:w="45" w:type="dxa"/>
              <w:start w:w="65" w:type="dxa"/>
              <w:bottom w:w="45" w:type="dxa"/>
              <w:end w:w="65" w:type="dxa"/>
            </w:tcMar>
            <w:vAlign w:val="top"/>
            <w:shd w:fill="DCE6F1"/>
          </w:tcPr>
          <w:p>
            <w:pPr>
              <w:keepNext/>
              <w:spacing w:after="0"/>
            </w:pPr>
            <w:r>
              <w:rPr>
                <w:rFonts w:ascii="Aptos" w:hAnsi="Aptos"/>
                <w:b/>
                <w:color w:val="0B2748"/>
                <w:sz w:val="15"/>
              </w:rPr>
              <w:t>Start with</w:t>
            </w:r>
          </w:p>
        </w:tc>
        <w:tc>
          <w:tcPr>
            <w:tcW w:type="dxa" w:w="8568"/>
            <w:tcMar>
              <w:top w:w="45" w:type="dxa"/>
              <w:start w:w="65" w:type="dxa"/>
              <w:bottom w:w="45" w:type="dxa"/>
              <w:end w:w="65" w:type="dxa"/>
            </w:tcMar>
            <w:vAlign w:val="top"/>
            <w:shd w:fill="F3F5F7"/>
          </w:tcPr>
          <w:p>
            <w:pPr>
              <w:keepNext/>
              <w:spacing w:after="0" w:line="235" w:lineRule="auto"/>
            </w:pPr>
            <w:r>
              <w:rPr>
                <w:rFonts w:ascii="Aptos" w:hAnsi="Aptos"/>
                <w:b w:val="0"/>
                <w:color w:val="3C4650"/>
                <w:sz w:val="15"/>
              </w:rPr>
              <w:t>Master Financial Truth and Responsibility Model</w:t>
            </w:r>
          </w:p>
        </w:tc>
      </w:tr>
      <w:tr>
        <w:trPr>
          <w:cantSplit/>
        </w:trPr>
        <w:tc>
          <w:tcPr>
            <w:tcW w:type="dxa" w:w="1512"/>
            <w:tcMar>
              <w:top w:w="45" w:type="dxa"/>
              <w:start w:w="65" w:type="dxa"/>
              <w:bottom w:w="45" w:type="dxa"/>
              <w:end w:w="65" w:type="dxa"/>
            </w:tcMar>
            <w:vAlign w:val="top"/>
            <w:shd w:fill="DCE6F1"/>
          </w:tcPr>
          <w:p>
            <w:pPr>
              <w:keepNext/>
              <w:spacing w:after="0"/>
            </w:pPr>
            <w:r>
              <w:rPr>
                <w:rFonts w:ascii="Aptos" w:hAnsi="Aptos"/>
                <w:b/>
                <w:color w:val="0B2748"/>
                <w:sz w:val="15"/>
              </w:rPr>
              <w:t>Read with</w:t>
            </w:r>
          </w:p>
        </w:tc>
        <w:tc>
          <w:tcPr>
            <w:tcW w:type="dxa" w:w="8568"/>
            <w:tcMar>
              <w:top w:w="45" w:type="dxa"/>
              <w:start w:w="65" w:type="dxa"/>
              <w:bottom w:w="45" w:type="dxa"/>
              <w:end w:w="65" w:type="dxa"/>
            </w:tcMar>
            <w:vAlign w:val="top"/>
            <w:shd w:fill="FFFFFF"/>
          </w:tcPr>
          <w:p>
            <w:pPr>
              <w:keepNext/>
              <w:spacing w:after="0" w:line="235" w:lineRule="auto"/>
            </w:pPr>
            <w:r>
              <w:rPr>
                <w:rFonts w:ascii="Aptos" w:hAnsi="Aptos"/>
                <w:b w:val="0"/>
                <w:color w:val="3C4650"/>
                <w:sz w:val="15"/>
              </w:rPr>
              <w:t>Master Agreement, Consent, and Authorization Model; Master Relationship Model; Master Claims, Disputes, and Authority Model; Master Audit Event and Evidence Model; Master External Architecture and Adapter Model</w:t>
            </w:r>
          </w:p>
        </w:tc>
      </w:tr>
      <w:tr>
        <w:trPr>
          <w:cantSplit/>
        </w:trPr>
        <w:tc>
          <w:tcPr>
            <w:tcW w:type="dxa" w:w="1512"/>
            <w:tcMar>
              <w:top w:w="45" w:type="dxa"/>
              <w:start w:w="65" w:type="dxa"/>
              <w:bottom w:w="45" w:type="dxa"/>
              <w:end w:w="65" w:type="dxa"/>
            </w:tcMar>
            <w:vAlign w:val="top"/>
            <w:shd w:fill="DCE6F1"/>
          </w:tcPr>
          <w:p>
            <w:pPr>
              <w:keepNext w:val="0"/>
              <w:spacing w:after="0"/>
            </w:pPr>
            <w:r>
              <w:rPr>
                <w:rFonts w:ascii="Aptos" w:hAnsi="Aptos"/>
                <w:b/>
                <w:color w:val="0B2748"/>
                <w:sz w:val="15"/>
              </w:rPr>
              <w:t>Index entries</w:t>
            </w:r>
          </w:p>
        </w:tc>
        <w:tc>
          <w:tcPr>
            <w:tcW w:type="dxa" w:w="8568"/>
            <w:tcMar>
              <w:top w:w="45" w:type="dxa"/>
              <w:start w:w="65" w:type="dxa"/>
              <w:bottom w:w="45" w:type="dxa"/>
              <w:end w:w="65" w:type="dxa"/>
            </w:tcMar>
            <w:vAlign w:val="top"/>
            <w:shd w:fill="F3F5F7"/>
          </w:tcPr>
          <w:p>
            <w:pPr>
              <w:keepNext w:val="0"/>
              <w:spacing w:after="0" w:line="235" w:lineRule="auto"/>
            </w:pPr>
            <w:r>
              <w:rPr>
                <w:rFonts w:ascii="Aptos" w:hAnsi="Aptos"/>
                <w:b/>
                <w:color w:val="3C4650"/>
                <w:sz w:val="15"/>
              </w:rPr>
              <w:t>XREF-085–090; XREF-102</w:t>
            </w:r>
          </w:p>
        </w:tc>
      </w:tr>
    </w:tbl>
    <w:p>
      <w:pPr>
        <w:spacing w:after="20"/>
      </w:pPr>
    </w:p>
    <w:p>
      <w:pPr>
        <w:pStyle w:val="Heading2"/>
        <w:keepNext/>
        <w:spacing w:before="100" w:after="40"/>
      </w:pPr>
      <w:r>
        <w:rPr>
          <w:rFonts w:ascii="Aptos Display" w:hAnsi="Aptos Display"/>
          <w:b/>
          <w:color w:val="1F4E79"/>
          <w:sz w:val="21"/>
        </w:rPr>
        <w:t>7.14 External architecture, integrations, developers, plugins, and vendors</w:t>
      </w:r>
    </w:p>
    <w:tbl>
      <w:tblPr>
        <w:tblW w:type="auto" w:w="0"/>
        <w:jc w:val="center"/>
        <w:tblLayout w:type="fixed"/>
        <w:tblLook w:firstColumn="1" w:firstRow="1" w:lastColumn="0" w:lastRow="0" w:noHBand="0" w:noVBand="1" w:val="04A0"/>
        <w:tblBorders>
          <w:top w:val="single" w:sz="4" w:space="0" w:color="B8C8D6"/>
          <w:left w:val="single" w:sz="4" w:space="0" w:color="B8C8D6"/>
          <w:bottom w:val="single" w:sz="4" w:space="0" w:color="B8C8D6"/>
          <w:right w:val="single" w:sz="4" w:space="0" w:color="B8C8D6"/>
          <w:insideH w:val="single" w:sz="4" w:space="0" w:color="B8C8D6"/>
          <w:insideV w:val="single" w:sz="4" w:space="0" w:color="B8C8D6"/>
        </w:tblBorders>
      </w:tblPr>
      <w:tblGrid>
        <w:gridCol w:w="5083"/>
        <w:gridCol w:w="5083"/>
      </w:tblGrid>
      <w:tr>
        <w:trPr>
          <w:cantSplit/>
        </w:trPr>
        <w:tc>
          <w:tcPr>
            <w:tcW w:type="dxa" w:w="1512"/>
            <w:tcMar>
              <w:top w:w="45" w:type="dxa"/>
              <w:start w:w="65" w:type="dxa"/>
              <w:bottom w:w="45" w:type="dxa"/>
              <w:end w:w="65" w:type="dxa"/>
            </w:tcMar>
            <w:vAlign w:val="top"/>
            <w:shd w:fill="DCE6F1"/>
          </w:tcPr>
          <w:p>
            <w:pPr>
              <w:keepNext/>
              <w:spacing w:after="0"/>
            </w:pPr>
            <w:r>
              <w:rPr>
                <w:rFonts w:ascii="Aptos" w:hAnsi="Aptos"/>
                <w:b/>
                <w:color w:val="0B2748"/>
                <w:sz w:val="15"/>
              </w:rPr>
              <w:t>Use when</w:t>
            </w:r>
          </w:p>
        </w:tc>
        <w:tc>
          <w:tcPr>
            <w:tcW w:type="dxa" w:w="8568"/>
            <w:tcMar>
              <w:top w:w="45" w:type="dxa"/>
              <w:start w:w="65" w:type="dxa"/>
              <w:bottom w:w="45" w:type="dxa"/>
              <w:end w:w="65" w:type="dxa"/>
            </w:tcMar>
            <w:vAlign w:val="top"/>
            <w:shd w:fill="FFFFFF"/>
          </w:tcPr>
          <w:p>
            <w:pPr>
              <w:keepNext/>
              <w:spacing w:after="0" w:line="235" w:lineRule="auto"/>
            </w:pPr>
            <w:r>
              <w:rPr>
                <w:rFonts w:ascii="Aptos" w:hAnsi="Aptos"/>
                <w:b w:val="0"/>
                <w:color w:val="3C4650"/>
                <w:sz w:val="15"/>
              </w:rPr>
              <w:t>A provider, adapter, API, webhook, developer, plugin, marketplace listing, device, or external processing arrangement is proposed or changed.</w:t>
            </w:r>
          </w:p>
        </w:tc>
      </w:tr>
      <w:tr>
        <w:trPr>
          <w:cantSplit/>
        </w:trPr>
        <w:tc>
          <w:tcPr>
            <w:tcW w:type="dxa" w:w="1512"/>
            <w:tcMar>
              <w:top w:w="45" w:type="dxa"/>
              <w:start w:w="65" w:type="dxa"/>
              <w:bottom w:w="45" w:type="dxa"/>
              <w:end w:w="65" w:type="dxa"/>
            </w:tcMar>
            <w:vAlign w:val="top"/>
            <w:shd w:fill="DCE6F1"/>
          </w:tcPr>
          <w:p>
            <w:pPr>
              <w:keepNext/>
              <w:spacing w:after="0"/>
            </w:pPr>
            <w:r>
              <w:rPr>
                <w:rFonts w:ascii="Aptos" w:hAnsi="Aptos"/>
                <w:b/>
                <w:color w:val="0B2748"/>
                <w:sz w:val="15"/>
              </w:rPr>
              <w:t>Start with</w:t>
            </w:r>
          </w:p>
        </w:tc>
        <w:tc>
          <w:tcPr>
            <w:tcW w:type="dxa" w:w="8568"/>
            <w:tcMar>
              <w:top w:w="45" w:type="dxa"/>
              <w:start w:w="65" w:type="dxa"/>
              <w:bottom w:w="45" w:type="dxa"/>
              <w:end w:w="65" w:type="dxa"/>
            </w:tcMar>
            <w:vAlign w:val="top"/>
            <w:shd w:fill="F3F5F7"/>
          </w:tcPr>
          <w:p>
            <w:pPr>
              <w:keepNext/>
              <w:spacing w:after="0" w:line="235" w:lineRule="auto"/>
            </w:pPr>
            <w:r>
              <w:rPr>
                <w:rFonts w:ascii="Aptos" w:hAnsi="Aptos"/>
                <w:b w:val="0"/>
                <w:color w:val="3C4650"/>
                <w:sz w:val="15"/>
              </w:rPr>
              <w:t>Master External Architecture and Adapter Model; Master Developer, Platform, and Integration Governance Model; Master Platform Extensibility and Plugin Governance Model</w:t>
            </w:r>
          </w:p>
        </w:tc>
      </w:tr>
      <w:tr>
        <w:trPr>
          <w:cantSplit/>
        </w:trPr>
        <w:tc>
          <w:tcPr>
            <w:tcW w:type="dxa" w:w="1512"/>
            <w:tcMar>
              <w:top w:w="45" w:type="dxa"/>
              <w:start w:w="65" w:type="dxa"/>
              <w:bottom w:w="45" w:type="dxa"/>
              <w:end w:w="65" w:type="dxa"/>
            </w:tcMar>
            <w:vAlign w:val="top"/>
            <w:shd w:fill="DCE6F1"/>
          </w:tcPr>
          <w:p>
            <w:pPr>
              <w:keepNext/>
              <w:spacing w:after="0"/>
            </w:pPr>
            <w:r>
              <w:rPr>
                <w:rFonts w:ascii="Aptos" w:hAnsi="Aptos"/>
                <w:b/>
                <w:color w:val="0B2748"/>
                <w:sz w:val="15"/>
              </w:rPr>
              <w:t>Read with</w:t>
            </w:r>
          </w:p>
        </w:tc>
        <w:tc>
          <w:tcPr>
            <w:tcW w:type="dxa" w:w="8568"/>
            <w:tcMar>
              <w:top w:w="45" w:type="dxa"/>
              <w:start w:w="65" w:type="dxa"/>
              <w:bottom w:w="45" w:type="dxa"/>
              <w:end w:w="65" w:type="dxa"/>
            </w:tcMar>
            <w:vAlign w:val="top"/>
            <w:shd w:fill="FFFFFF"/>
          </w:tcPr>
          <w:p>
            <w:pPr>
              <w:keepNext/>
              <w:spacing w:after="0" w:line="235" w:lineRule="auto"/>
            </w:pPr>
            <w:r>
              <w:rPr>
                <w:rFonts w:ascii="Aptos" w:hAnsi="Aptos"/>
                <w:b w:val="0"/>
                <w:color w:val="3C4650"/>
                <w:sz w:val="15"/>
              </w:rPr>
              <w:t>Master Vendor Security and Supply Chain Model; Master Privacy and Data Protection Model; Master Security and Trust Model; Master Permission and Access-Control Model; Master Audit Event and Evidence Model</w:t>
            </w:r>
          </w:p>
        </w:tc>
      </w:tr>
      <w:tr>
        <w:trPr>
          <w:cantSplit/>
        </w:trPr>
        <w:tc>
          <w:tcPr>
            <w:tcW w:type="dxa" w:w="1512"/>
            <w:tcMar>
              <w:top w:w="45" w:type="dxa"/>
              <w:start w:w="65" w:type="dxa"/>
              <w:bottom w:w="45" w:type="dxa"/>
              <w:end w:w="65" w:type="dxa"/>
            </w:tcMar>
            <w:vAlign w:val="top"/>
            <w:shd w:fill="DCE6F1"/>
          </w:tcPr>
          <w:p>
            <w:pPr>
              <w:keepNext w:val="0"/>
              <w:spacing w:after="0"/>
            </w:pPr>
            <w:r>
              <w:rPr>
                <w:rFonts w:ascii="Aptos" w:hAnsi="Aptos"/>
                <w:b/>
                <w:color w:val="0B2748"/>
                <w:sz w:val="15"/>
              </w:rPr>
              <w:t>Index entries</w:t>
            </w:r>
          </w:p>
        </w:tc>
        <w:tc>
          <w:tcPr>
            <w:tcW w:type="dxa" w:w="8568"/>
            <w:tcMar>
              <w:top w:w="45" w:type="dxa"/>
              <w:start w:w="65" w:type="dxa"/>
              <w:bottom w:w="45" w:type="dxa"/>
              <w:end w:w="65" w:type="dxa"/>
            </w:tcMar>
            <w:vAlign w:val="top"/>
            <w:shd w:fill="F3F5F7"/>
          </w:tcPr>
          <w:p>
            <w:pPr>
              <w:keepNext w:val="0"/>
              <w:spacing w:after="0" w:line="235" w:lineRule="auto"/>
            </w:pPr>
            <w:r>
              <w:rPr>
                <w:rFonts w:ascii="Aptos" w:hAnsi="Aptos"/>
                <w:b/>
                <w:color w:val="3C4650"/>
                <w:sz w:val="15"/>
              </w:rPr>
              <w:t>XREF-091–102</w:t>
            </w:r>
          </w:p>
        </w:tc>
      </w:tr>
    </w:tbl>
    <w:p>
      <w:pPr>
        <w:spacing w:after="20"/>
      </w:pPr>
    </w:p>
    <w:p>
      <w:pPr>
        <w:pStyle w:val="Heading2"/>
        <w:keepNext/>
        <w:spacing w:before="100" w:after="40"/>
      </w:pPr>
      <w:r>
        <w:rPr>
          <w:rFonts w:ascii="Aptos Display" w:hAnsi="Aptos Display"/>
          <w:b/>
          <w:color w:val="1F4E79"/>
          <w:sz w:val="21"/>
        </w:rPr>
        <w:t>7.15 Configuration, releases, migrations, operations, and production authority</w:t>
      </w:r>
    </w:p>
    <w:tbl>
      <w:tblPr>
        <w:tblW w:type="auto" w:w="0"/>
        <w:jc w:val="center"/>
        <w:tblLayout w:type="fixed"/>
        <w:tblLook w:firstColumn="1" w:firstRow="1" w:lastColumn="0" w:lastRow="0" w:noHBand="0" w:noVBand="1" w:val="04A0"/>
        <w:tblBorders>
          <w:top w:val="single" w:sz="4" w:space="0" w:color="B8C8D6"/>
          <w:left w:val="single" w:sz="4" w:space="0" w:color="B8C8D6"/>
          <w:bottom w:val="single" w:sz="4" w:space="0" w:color="B8C8D6"/>
          <w:right w:val="single" w:sz="4" w:space="0" w:color="B8C8D6"/>
          <w:insideH w:val="single" w:sz="4" w:space="0" w:color="B8C8D6"/>
          <w:insideV w:val="single" w:sz="4" w:space="0" w:color="B8C8D6"/>
        </w:tblBorders>
      </w:tblPr>
      <w:tblGrid>
        <w:gridCol w:w="5083"/>
        <w:gridCol w:w="5083"/>
      </w:tblGrid>
      <w:tr>
        <w:trPr>
          <w:cantSplit/>
        </w:trPr>
        <w:tc>
          <w:tcPr>
            <w:tcW w:type="dxa" w:w="1512"/>
            <w:tcMar>
              <w:top w:w="45" w:type="dxa"/>
              <w:start w:w="65" w:type="dxa"/>
              <w:bottom w:w="45" w:type="dxa"/>
              <w:end w:w="65" w:type="dxa"/>
            </w:tcMar>
            <w:vAlign w:val="top"/>
            <w:shd w:fill="DCE6F1"/>
          </w:tcPr>
          <w:p>
            <w:pPr>
              <w:keepNext/>
              <w:spacing w:after="0"/>
            </w:pPr>
            <w:r>
              <w:rPr>
                <w:rFonts w:ascii="Aptos" w:hAnsi="Aptos"/>
                <w:b/>
                <w:color w:val="0B2748"/>
                <w:sz w:val="15"/>
              </w:rPr>
              <w:t>Use when</w:t>
            </w:r>
          </w:p>
        </w:tc>
        <w:tc>
          <w:tcPr>
            <w:tcW w:type="dxa" w:w="8568"/>
            <w:tcMar>
              <w:top w:w="45" w:type="dxa"/>
              <w:start w:w="65" w:type="dxa"/>
              <w:bottom w:w="45" w:type="dxa"/>
              <w:end w:w="65" w:type="dxa"/>
            </w:tcMar>
            <w:vAlign w:val="top"/>
            <w:shd w:fill="FFFFFF"/>
          </w:tcPr>
          <w:p>
            <w:pPr>
              <w:keepNext/>
              <w:spacing w:after="0" w:line="235" w:lineRule="auto"/>
            </w:pPr>
            <w:r>
              <w:rPr>
                <w:rFonts w:ascii="Aptos" w:hAnsi="Aptos"/>
                <w:b w:val="0"/>
                <w:color w:val="3C4650"/>
                <w:sz w:val="15"/>
              </w:rPr>
              <w:t>A feature flag, setting, migration, deployment, rollback, test environment, release certification, implementation authorization, production mutation, or public launch is at issue.</w:t>
            </w:r>
          </w:p>
        </w:tc>
      </w:tr>
      <w:tr>
        <w:trPr>
          <w:cantSplit/>
        </w:trPr>
        <w:tc>
          <w:tcPr>
            <w:tcW w:type="dxa" w:w="1512"/>
            <w:tcMar>
              <w:top w:w="45" w:type="dxa"/>
              <w:start w:w="65" w:type="dxa"/>
              <w:bottom w:w="45" w:type="dxa"/>
              <w:end w:w="65" w:type="dxa"/>
            </w:tcMar>
            <w:vAlign w:val="top"/>
            <w:shd w:fill="DCE6F1"/>
          </w:tcPr>
          <w:p>
            <w:pPr>
              <w:keepNext/>
              <w:spacing w:after="0"/>
            </w:pPr>
            <w:r>
              <w:rPr>
                <w:rFonts w:ascii="Aptos" w:hAnsi="Aptos"/>
                <w:b/>
                <w:color w:val="0B2748"/>
                <w:sz w:val="15"/>
              </w:rPr>
              <w:t>Start with</w:t>
            </w:r>
          </w:p>
        </w:tc>
        <w:tc>
          <w:tcPr>
            <w:tcW w:type="dxa" w:w="8568"/>
            <w:tcMar>
              <w:top w:w="45" w:type="dxa"/>
              <w:start w:w="65" w:type="dxa"/>
              <w:bottom w:w="45" w:type="dxa"/>
              <w:end w:w="65" w:type="dxa"/>
            </w:tcMar>
            <w:vAlign w:val="top"/>
            <w:shd w:fill="F3F5F7"/>
          </w:tcPr>
          <w:p>
            <w:pPr>
              <w:keepNext/>
              <w:spacing w:after="0" w:line="235" w:lineRule="auto"/>
            </w:pPr>
            <w:r>
              <w:rPr>
                <w:rFonts w:ascii="Aptos" w:hAnsi="Aptos"/>
                <w:b w:val="0"/>
                <w:color w:val="3C4650"/>
                <w:sz w:val="15"/>
              </w:rPr>
              <w:t>Master Platform Operations, Reliability, and Release Model; Master Configuration and Feature Flag Governance Model; Founder Decision Register and Adoption Evidence</w:t>
            </w:r>
          </w:p>
        </w:tc>
      </w:tr>
      <w:tr>
        <w:trPr>
          <w:cantSplit/>
        </w:trPr>
        <w:tc>
          <w:tcPr>
            <w:tcW w:type="dxa" w:w="1512"/>
            <w:tcMar>
              <w:top w:w="45" w:type="dxa"/>
              <w:start w:w="65" w:type="dxa"/>
              <w:bottom w:w="45" w:type="dxa"/>
              <w:end w:w="65" w:type="dxa"/>
            </w:tcMar>
            <w:vAlign w:val="top"/>
            <w:shd w:fill="DCE6F1"/>
          </w:tcPr>
          <w:p>
            <w:pPr>
              <w:keepNext/>
              <w:spacing w:after="0"/>
            </w:pPr>
            <w:r>
              <w:rPr>
                <w:rFonts w:ascii="Aptos" w:hAnsi="Aptos"/>
                <w:b/>
                <w:color w:val="0B2748"/>
                <w:sz w:val="15"/>
              </w:rPr>
              <w:t>Read with</w:t>
            </w:r>
          </w:p>
        </w:tc>
        <w:tc>
          <w:tcPr>
            <w:tcW w:type="dxa" w:w="8568"/>
            <w:tcMar>
              <w:top w:w="45" w:type="dxa"/>
              <w:start w:w="65" w:type="dxa"/>
              <w:bottom w:w="45" w:type="dxa"/>
              <w:end w:w="65" w:type="dxa"/>
            </w:tcMar>
            <w:vAlign w:val="top"/>
            <w:shd w:fill="FFFFFF"/>
          </w:tcPr>
          <w:p>
            <w:pPr>
              <w:keepNext/>
              <w:spacing w:after="0" w:line="235" w:lineRule="auto"/>
            </w:pPr>
            <w:r>
              <w:rPr>
                <w:rFonts w:ascii="Aptos" w:hAnsi="Aptos"/>
                <w:b w:val="0"/>
                <w:color w:val="3C4650"/>
                <w:sz w:val="15"/>
              </w:rPr>
              <w:t>Master EquineSync Implementation Atlas and Authorized RF Packages; Master Security and Trust Model; Master Privacy and Data Protection Model; Master Audit Event and Evidence Model; affected domain canon</w:t>
            </w:r>
          </w:p>
        </w:tc>
      </w:tr>
      <w:tr>
        <w:trPr>
          <w:cantSplit/>
        </w:trPr>
        <w:tc>
          <w:tcPr>
            <w:tcW w:type="dxa" w:w="1512"/>
            <w:tcMar>
              <w:top w:w="45" w:type="dxa"/>
              <w:start w:w="65" w:type="dxa"/>
              <w:bottom w:w="45" w:type="dxa"/>
              <w:end w:w="65" w:type="dxa"/>
            </w:tcMar>
            <w:vAlign w:val="top"/>
            <w:shd w:fill="DCE6F1"/>
          </w:tcPr>
          <w:p>
            <w:pPr>
              <w:keepNext w:val="0"/>
              <w:spacing w:after="0"/>
            </w:pPr>
            <w:r>
              <w:rPr>
                <w:rFonts w:ascii="Aptos" w:hAnsi="Aptos"/>
                <w:b/>
                <w:color w:val="0B2748"/>
                <w:sz w:val="15"/>
              </w:rPr>
              <w:t>Index entries</w:t>
            </w:r>
          </w:p>
        </w:tc>
        <w:tc>
          <w:tcPr>
            <w:tcW w:type="dxa" w:w="8568"/>
            <w:tcMar>
              <w:top w:w="45" w:type="dxa"/>
              <w:start w:w="65" w:type="dxa"/>
              <w:bottom w:w="45" w:type="dxa"/>
              <w:end w:w="65" w:type="dxa"/>
            </w:tcMar>
            <w:vAlign w:val="top"/>
            <w:shd w:fill="F3F5F7"/>
          </w:tcPr>
          <w:p>
            <w:pPr>
              <w:keepNext w:val="0"/>
              <w:spacing w:after="0" w:line="235" w:lineRule="auto"/>
            </w:pPr>
            <w:r>
              <w:rPr>
                <w:rFonts w:ascii="Aptos" w:hAnsi="Aptos"/>
                <w:b/>
                <w:color w:val="3C4650"/>
                <w:sz w:val="15"/>
              </w:rPr>
              <w:t>XREF-103–107; XREF-111–118</w:t>
            </w:r>
          </w:p>
        </w:tc>
      </w:tr>
    </w:tbl>
    <w:p>
      <w:pPr>
        <w:spacing w:after="20"/>
      </w:pPr>
    </w:p>
    <w:p>
      <w:pPr>
        <w:pStyle w:val="Heading2"/>
        <w:keepNext/>
        <w:spacing w:before="100" w:after="40"/>
      </w:pPr>
      <w:r>
        <w:rPr>
          <w:rFonts w:ascii="Aptos Display" w:hAnsi="Aptos Display"/>
          <w:b/>
          <w:color w:val="1F4E79"/>
          <w:sz w:val="21"/>
        </w:rPr>
        <w:t>7.16 Resilience, disaster recovery, offline synchronization, and shutdown</w:t>
      </w:r>
    </w:p>
    <w:tbl>
      <w:tblPr>
        <w:tblW w:type="auto" w:w="0"/>
        <w:jc w:val="center"/>
        <w:tblLayout w:type="fixed"/>
        <w:tblLook w:firstColumn="1" w:firstRow="1" w:lastColumn="0" w:lastRow="0" w:noHBand="0" w:noVBand="1" w:val="04A0"/>
        <w:tblBorders>
          <w:top w:val="single" w:sz="4" w:space="0" w:color="B8C8D6"/>
          <w:left w:val="single" w:sz="4" w:space="0" w:color="B8C8D6"/>
          <w:bottom w:val="single" w:sz="4" w:space="0" w:color="B8C8D6"/>
          <w:right w:val="single" w:sz="4" w:space="0" w:color="B8C8D6"/>
          <w:insideH w:val="single" w:sz="4" w:space="0" w:color="B8C8D6"/>
          <w:insideV w:val="single" w:sz="4" w:space="0" w:color="B8C8D6"/>
        </w:tblBorders>
      </w:tblPr>
      <w:tblGrid>
        <w:gridCol w:w="5083"/>
        <w:gridCol w:w="5083"/>
      </w:tblGrid>
      <w:tr>
        <w:trPr>
          <w:cantSplit/>
        </w:trPr>
        <w:tc>
          <w:tcPr>
            <w:tcW w:type="dxa" w:w="1512"/>
            <w:tcMar>
              <w:top w:w="45" w:type="dxa"/>
              <w:start w:w="65" w:type="dxa"/>
              <w:bottom w:w="45" w:type="dxa"/>
              <w:end w:w="65" w:type="dxa"/>
            </w:tcMar>
            <w:vAlign w:val="top"/>
            <w:shd w:fill="DCE6F1"/>
          </w:tcPr>
          <w:p>
            <w:pPr>
              <w:keepNext/>
              <w:spacing w:after="0"/>
            </w:pPr>
            <w:r>
              <w:rPr>
                <w:rFonts w:ascii="Aptos" w:hAnsi="Aptos"/>
                <w:b/>
                <w:color w:val="0B2748"/>
                <w:sz w:val="15"/>
              </w:rPr>
              <w:t>Use when</w:t>
            </w:r>
          </w:p>
        </w:tc>
        <w:tc>
          <w:tcPr>
            <w:tcW w:type="dxa" w:w="8568"/>
            <w:tcMar>
              <w:top w:w="45" w:type="dxa"/>
              <w:start w:w="65" w:type="dxa"/>
              <w:bottom w:w="45" w:type="dxa"/>
              <w:end w:w="65" w:type="dxa"/>
            </w:tcMar>
            <w:vAlign w:val="top"/>
            <w:shd w:fill="FFFFFF"/>
          </w:tcPr>
          <w:p>
            <w:pPr>
              <w:keepNext/>
              <w:spacing w:after="0" w:line="235" w:lineRule="auto"/>
            </w:pPr>
            <w:r>
              <w:rPr>
                <w:rFonts w:ascii="Aptos" w:hAnsi="Aptos"/>
                <w:b w:val="0"/>
                <w:color w:val="3C4650"/>
                <w:sz w:val="15"/>
              </w:rPr>
              <w:t>The platform degrades, fails over, restores, operates offline, reconciles conflicts, exits a provider, or is decommissioned.</w:t>
            </w:r>
          </w:p>
        </w:tc>
      </w:tr>
      <w:tr>
        <w:trPr>
          <w:cantSplit/>
        </w:trPr>
        <w:tc>
          <w:tcPr>
            <w:tcW w:type="dxa" w:w="1512"/>
            <w:tcMar>
              <w:top w:w="45" w:type="dxa"/>
              <w:start w:w="65" w:type="dxa"/>
              <w:bottom w:w="45" w:type="dxa"/>
              <w:end w:w="65" w:type="dxa"/>
            </w:tcMar>
            <w:vAlign w:val="top"/>
            <w:shd w:fill="DCE6F1"/>
          </w:tcPr>
          <w:p>
            <w:pPr>
              <w:keepNext/>
              <w:spacing w:after="0"/>
            </w:pPr>
            <w:r>
              <w:rPr>
                <w:rFonts w:ascii="Aptos" w:hAnsi="Aptos"/>
                <w:b/>
                <w:color w:val="0B2748"/>
                <w:sz w:val="15"/>
              </w:rPr>
              <w:t>Start with</w:t>
            </w:r>
          </w:p>
        </w:tc>
        <w:tc>
          <w:tcPr>
            <w:tcW w:type="dxa" w:w="8568"/>
            <w:tcMar>
              <w:top w:w="45" w:type="dxa"/>
              <w:start w:w="65" w:type="dxa"/>
              <w:bottom w:w="45" w:type="dxa"/>
              <w:end w:w="65" w:type="dxa"/>
            </w:tcMar>
            <w:vAlign w:val="top"/>
            <w:shd w:fill="F3F5F7"/>
          </w:tcPr>
          <w:p>
            <w:pPr>
              <w:keepNext/>
              <w:spacing w:after="0" w:line="235" w:lineRule="auto"/>
            </w:pPr>
            <w:r>
              <w:rPr>
                <w:rFonts w:ascii="Aptos" w:hAnsi="Aptos"/>
                <w:b w:val="0"/>
                <w:color w:val="3C4650"/>
                <w:sz w:val="15"/>
              </w:rPr>
              <w:t>Master Platform Resilience, Backup, and Recovery Model; Native Offline Synchronization Canon and Locked Readiness Instruments</w:t>
            </w:r>
          </w:p>
        </w:tc>
      </w:tr>
      <w:tr>
        <w:trPr>
          <w:cantSplit/>
        </w:trPr>
        <w:tc>
          <w:tcPr>
            <w:tcW w:type="dxa" w:w="1512"/>
            <w:tcMar>
              <w:top w:w="45" w:type="dxa"/>
              <w:start w:w="65" w:type="dxa"/>
              <w:bottom w:w="45" w:type="dxa"/>
              <w:end w:w="65" w:type="dxa"/>
            </w:tcMar>
            <w:vAlign w:val="top"/>
            <w:shd w:fill="DCE6F1"/>
          </w:tcPr>
          <w:p>
            <w:pPr>
              <w:keepNext/>
              <w:spacing w:after="0"/>
            </w:pPr>
            <w:r>
              <w:rPr>
                <w:rFonts w:ascii="Aptos" w:hAnsi="Aptos"/>
                <w:b/>
                <w:color w:val="0B2748"/>
                <w:sz w:val="15"/>
              </w:rPr>
              <w:t>Read with</w:t>
            </w:r>
          </w:p>
        </w:tc>
        <w:tc>
          <w:tcPr>
            <w:tcW w:type="dxa" w:w="8568"/>
            <w:tcMar>
              <w:top w:w="45" w:type="dxa"/>
              <w:start w:w="65" w:type="dxa"/>
              <w:bottom w:w="45" w:type="dxa"/>
              <w:end w:w="65" w:type="dxa"/>
            </w:tcMar>
            <w:vAlign w:val="top"/>
            <w:shd w:fill="FFFFFF"/>
          </w:tcPr>
          <w:p>
            <w:pPr>
              <w:keepNext/>
              <w:spacing w:after="0" w:line="235" w:lineRule="auto"/>
            </w:pPr>
            <w:r>
              <w:rPr>
                <w:rFonts w:ascii="Aptos" w:hAnsi="Aptos"/>
                <w:b w:val="0"/>
                <w:color w:val="3C4650"/>
                <w:sz w:val="15"/>
              </w:rPr>
              <w:t>Master Platform Operations, Reliability, and Release Model; Master Record Stewardship and Retention Model; Master Permission and Access-Control Model; Master Security and Trust Model; Master Audit Event and Evidence Model</w:t>
            </w:r>
          </w:p>
        </w:tc>
      </w:tr>
      <w:tr>
        <w:trPr>
          <w:cantSplit/>
        </w:trPr>
        <w:tc>
          <w:tcPr>
            <w:tcW w:type="dxa" w:w="1512"/>
            <w:tcMar>
              <w:top w:w="45" w:type="dxa"/>
              <w:start w:w="65" w:type="dxa"/>
              <w:bottom w:w="45" w:type="dxa"/>
              <w:end w:w="65" w:type="dxa"/>
            </w:tcMar>
            <w:vAlign w:val="top"/>
            <w:shd w:fill="DCE6F1"/>
          </w:tcPr>
          <w:p>
            <w:pPr>
              <w:keepNext w:val="0"/>
              <w:spacing w:after="0"/>
            </w:pPr>
            <w:r>
              <w:rPr>
                <w:rFonts w:ascii="Aptos" w:hAnsi="Aptos"/>
                <w:b/>
                <w:color w:val="0B2748"/>
                <w:sz w:val="15"/>
              </w:rPr>
              <w:t>Index entries</w:t>
            </w:r>
          </w:p>
        </w:tc>
        <w:tc>
          <w:tcPr>
            <w:tcW w:type="dxa" w:w="8568"/>
            <w:tcMar>
              <w:top w:w="45" w:type="dxa"/>
              <w:start w:w="65" w:type="dxa"/>
              <w:bottom w:w="45" w:type="dxa"/>
              <w:end w:w="65" w:type="dxa"/>
            </w:tcMar>
            <w:vAlign w:val="top"/>
            <w:shd w:fill="F3F5F7"/>
          </w:tcPr>
          <w:p>
            <w:pPr>
              <w:keepNext w:val="0"/>
              <w:spacing w:after="0" w:line="235" w:lineRule="auto"/>
            </w:pPr>
            <w:r>
              <w:rPr>
                <w:rFonts w:ascii="Aptos" w:hAnsi="Aptos"/>
                <w:b/>
                <w:color w:val="3C4650"/>
                <w:sz w:val="15"/>
              </w:rPr>
              <w:t>XREF-098; XREF-108–110; XREF-119</w:t>
            </w:r>
          </w:p>
        </w:tc>
      </w:tr>
    </w:tbl>
    <w:p>
      <w:pPr>
        <w:spacing w:after="20"/>
      </w:pPr>
    </w:p>
    <w:p>
      <w:pPr>
        <w:pStyle w:val="Heading1"/>
      </w:pPr>
      <w:r>
        <w:t>8. Companion Artifact Crosswalk</w:t>
      </w:r>
    </w:p>
    <w:tbl>
      <w:tblPr>
        <w:tblW w:type="auto" w:w="0"/>
        <w:jc w:val="center"/>
        <w:tblLayout w:type="fixed"/>
        <w:tblLook w:firstColumn="1" w:firstRow="1" w:lastColumn="0" w:lastRow="0" w:noHBand="0" w:noVBand="1" w:val="04A0"/>
        <w:tblBorders>
          <w:top w:val="single" w:sz="4" w:space="0" w:color="A7B5C3"/>
          <w:left w:val="single" w:sz="4" w:space="0" w:color="A7B5C3"/>
          <w:bottom w:val="single" w:sz="4" w:space="0" w:color="A7B5C3"/>
          <w:right w:val="single" w:sz="4" w:space="0" w:color="A7B5C3"/>
          <w:insideH w:val="single" w:sz="4" w:space="0" w:color="A7B5C3"/>
          <w:insideV w:val="single" w:sz="4" w:space="0" w:color="A7B5C3"/>
        </w:tblBorders>
      </w:tblPr>
      <w:tblGrid>
        <w:gridCol w:w="5083"/>
        <w:gridCol w:w="5083"/>
      </w:tblGrid>
      <w:tr>
        <w:trPr>
          <w:tblHeader w:val="true"/>
        </w:trPr>
        <w:tc>
          <w:tcPr>
            <w:tcW w:type="dxa" w:w="3816"/>
            <w:shd w:fill="0B2748"/>
          </w:tcPr>
          <w:p>
            <w:pPr>
              <w:jc w:val="center"/>
            </w:pPr>
            <w:r>
              <w:rPr>
                <w:rFonts w:ascii="Aptos" w:hAnsi="Aptos"/>
                <w:b/>
                <w:color w:val="FFFFFF"/>
                <w:sz w:val="15"/>
              </w:rPr>
              <w:t>Companion Artifact</w:t>
            </w:r>
          </w:p>
        </w:tc>
        <w:tc>
          <w:tcPr>
            <w:tcW w:type="dxa" w:w="6263"/>
            <w:shd w:fill="0B2748"/>
          </w:tcPr>
          <w:p>
            <w:pPr>
              <w:jc w:val="center"/>
            </w:pPr>
            <w:r>
              <w:rPr>
                <w:rFonts w:ascii="Aptos" w:hAnsi="Aptos"/>
                <w:b/>
                <w:color w:val="FFFFFF"/>
                <w:sz w:val="15"/>
              </w:rPr>
              <w:t>Use</w:t>
            </w:r>
          </w:p>
        </w:tc>
      </w:tr>
      <w:tr>
        <w:trPr>
          <w:cantSplit/>
        </w:trPr>
        <w:tc>
          <w:tcPr>
            <w:tcW w:type="dxa" w:w="3816"/>
            <w:tcMar>
              <w:top w:w="60" w:type="dxa"/>
              <w:start w:w="70" w:type="dxa"/>
              <w:bottom w:w="60" w:type="dxa"/>
              <w:end w:w="70" w:type="dxa"/>
            </w:tcMar>
            <w:shd w:fill="FFFFFF"/>
            <w:vAlign w:val="top"/>
          </w:tcPr>
          <w:p>
            <w:pPr>
              <w:spacing w:after="0"/>
            </w:pPr>
            <w:r>
              <w:rPr>
                <w:rFonts w:ascii="Aptos" w:hAnsi="Aptos"/>
                <w:b/>
                <w:color w:val="0B2748"/>
                <w:sz w:val="15"/>
              </w:rPr>
              <w:t>Controlled Canon Index and Constitutional Completeness Register</w:t>
            </w:r>
          </w:p>
        </w:tc>
        <w:tc>
          <w:tcPr>
            <w:tcW w:type="dxa" w:w="6263"/>
            <w:tcMar>
              <w:top w:w="60" w:type="dxa"/>
              <w:start w:w="70" w:type="dxa"/>
              <w:bottom w:w="60" w:type="dxa"/>
              <w:end w:w="70" w:type="dxa"/>
            </w:tcMar>
            <w:shd w:fill="FFFFFF"/>
            <w:vAlign w:val="top"/>
          </w:tcPr>
          <w:p>
            <w:pPr>
              <w:spacing w:after="0"/>
            </w:pPr>
            <w:r>
              <w:rPr>
                <w:rFonts w:ascii="Aptos" w:hAnsi="Aptos"/>
                <w:b w:val="0"/>
                <w:color w:val="3C4650"/>
                <w:sz w:val="15"/>
              </w:rPr>
              <w:t>Resolve the active document, version, lifecycle state, checksum, repository location, supersession, and controlling evidence.</w:t>
            </w:r>
          </w:p>
        </w:tc>
      </w:tr>
      <w:tr>
        <w:trPr>
          <w:cantSplit/>
        </w:trPr>
        <w:tc>
          <w:tcPr>
            <w:tcW w:type="dxa" w:w="3816"/>
            <w:tcMar>
              <w:top w:w="60" w:type="dxa"/>
              <w:start w:w="70" w:type="dxa"/>
              <w:bottom w:w="60" w:type="dxa"/>
              <w:end w:w="70" w:type="dxa"/>
            </w:tcMar>
            <w:shd w:fill="EEF4F8"/>
            <w:vAlign w:val="top"/>
          </w:tcPr>
          <w:p>
            <w:pPr>
              <w:spacing w:after="0"/>
            </w:pPr>
            <w:r>
              <w:rPr>
                <w:rFonts w:ascii="Aptos" w:hAnsi="Aptos"/>
                <w:b/>
                <w:color w:val="0B2748"/>
                <w:sz w:val="15"/>
              </w:rPr>
              <w:t>Constitutional Vocabulary and Definitions Index</w:t>
            </w:r>
          </w:p>
        </w:tc>
        <w:tc>
          <w:tcPr>
            <w:tcW w:type="dxa" w:w="6263"/>
            <w:tcMar>
              <w:top w:w="60" w:type="dxa"/>
              <w:start w:w="70" w:type="dxa"/>
              <w:bottom w:w="60" w:type="dxa"/>
              <w:end w:w="70" w:type="dxa"/>
            </w:tcMar>
            <w:shd w:fill="EEF4F8"/>
            <w:vAlign w:val="top"/>
          </w:tcPr>
          <w:p>
            <w:pPr>
              <w:spacing w:after="0"/>
            </w:pPr>
            <w:r>
              <w:rPr>
                <w:rFonts w:ascii="Aptos" w:hAnsi="Aptos"/>
                <w:b w:val="0"/>
                <w:color w:val="3C4650"/>
                <w:sz w:val="15"/>
              </w:rPr>
              <w:t>Resolve controlling definitions, aliases, related terms, and primary definitional ownership.</w:t>
            </w:r>
          </w:p>
        </w:tc>
      </w:tr>
      <w:tr>
        <w:trPr>
          <w:cantSplit/>
        </w:trPr>
        <w:tc>
          <w:tcPr>
            <w:tcW w:type="dxa" w:w="3816"/>
            <w:tcMar>
              <w:top w:w="60" w:type="dxa"/>
              <w:start w:w="70" w:type="dxa"/>
              <w:bottom w:w="60" w:type="dxa"/>
              <w:end w:w="70" w:type="dxa"/>
            </w:tcMar>
            <w:shd w:fill="FFFFFF"/>
            <w:vAlign w:val="top"/>
          </w:tcPr>
          <w:p>
            <w:pPr>
              <w:spacing w:after="0"/>
            </w:pPr>
            <w:r>
              <w:rPr>
                <w:rFonts w:ascii="Aptos" w:hAnsi="Aptos"/>
                <w:b/>
                <w:color w:val="0B2748"/>
                <w:sz w:val="15"/>
              </w:rPr>
              <w:t>Constitutional Authority Matrix</w:t>
            </w:r>
          </w:p>
        </w:tc>
        <w:tc>
          <w:tcPr>
            <w:tcW w:type="dxa" w:w="6263"/>
            <w:tcMar>
              <w:top w:w="60" w:type="dxa"/>
              <w:start w:w="70" w:type="dxa"/>
              <w:bottom w:w="60" w:type="dxa"/>
              <w:end w:w="70" w:type="dxa"/>
            </w:tcMar>
            <w:shd w:fill="FFFFFF"/>
            <w:vAlign w:val="top"/>
          </w:tcPr>
          <w:p>
            <w:pPr>
              <w:spacing w:after="0"/>
            </w:pPr>
            <w:r>
              <w:rPr>
                <w:rFonts w:ascii="Aptos" w:hAnsi="Aptos"/>
                <w:b w:val="0"/>
                <w:color w:val="3C4650"/>
                <w:sz w:val="15"/>
              </w:rPr>
              <w:t>Confirm the primary owner, authority scope, supporting authorities, and boundary or precedence rule.</w:t>
            </w:r>
          </w:p>
        </w:tc>
      </w:tr>
      <w:tr>
        <w:trPr>
          <w:cantSplit/>
        </w:trPr>
        <w:tc>
          <w:tcPr>
            <w:tcW w:type="dxa" w:w="3816"/>
            <w:tcMar>
              <w:top w:w="60" w:type="dxa"/>
              <w:start w:w="70" w:type="dxa"/>
              <w:bottom w:w="60" w:type="dxa"/>
              <w:end w:w="70" w:type="dxa"/>
            </w:tcMar>
            <w:shd w:fill="EEF4F8"/>
            <w:vAlign w:val="top"/>
          </w:tcPr>
          <w:p>
            <w:pPr>
              <w:spacing w:after="0"/>
            </w:pPr>
            <w:r>
              <w:rPr>
                <w:rFonts w:ascii="Aptos" w:hAnsi="Aptos"/>
                <w:b/>
                <w:color w:val="0B2748"/>
                <w:sz w:val="15"/>
              </w:rPr>
              <w:t>Constitutional Domain Ownership and Boundary Register</w:t>
            </w:r>
          </w:p>
        </w:tc>
        <w:tc>
          <w:tcPr>
            <w:tcW w:type="dxa" w:w="6263"/>
            <w:tcMar>
              <w:top w:w="60" w:type="dxa"/>
              <w:start w:w="70" w:type="dxa"/>
              <w:bottom w:w="60" w:type="dxa"/>
              <w:end w:w="70" w:type="dxa"/>
            </w:tcMar>
            <w:shd w:fill="EEF4F8"/>
            <w:vAlign w:val="top"/>
          </w:tcPr>
          <w:p>
            <w:pPr>
              <w:spacing w:after="0"/>
            </w:pPr>
            <w:r>
              <w:rPr>
                <w:rFonts w:ascii="Aptos" w:hAnsi="Aptos"/>
                <w:b w:val="0"/>
                <w:color w:val="3C4650"/>
                <w:sz w:val="15"/>
              </w:rPr>
              <w:t>Resolve domain collisions, shared boundaries, and ownership disputes.</w:t>
            </w:r>
          </w:p>
        </w:tc>
      </w:tr>
      <w:tr>
        <w:trPr>
          <w:cantSplit/>
        </w:trPr>
        <w:tc>
          <w:tcPr>
            <w:tcW w:type="dxa" w:w="3816"/>
            <w:tcMar>
              <w:top w:w="60" w:type="dxa"/>
              <w:start w:w="70" w:type="dxa"/>
              <w:bottom w:w="60" w:type="dxa"/>
              <w:end w:w="70" w:type="dxa"/>
            </w:tcMar>
            <w:shd w:fill="FFFFFF"/>
            <w:vAlign w:val="top"/>
          </w:tcPr>
          <w:p>
            <w:pPr>
              <w:spacing w:after="0"/>
            </w:pPr>
            <w:r>
              <w:rPr>
                <w:rFonts w:ascii="Aptos" w:hAnsi="Aptos"/>
                <w:b/>
                <w:color w:val="0B2748"/>
                <w:sz w:val="15"/>
              </w:rPr>
              <w:t>Cross-Canon Reference Normalization Register</w:t>
            </w:r>
          </w:p>
        </w:tc>
        <w:tc>
          <w:tcPr>
            <w:tcW w:type="dxa" w:w="6263"/>
            <w:tcMar>
              <w:top w:w="60" w:type="dxa"/>
              <w:start w:w="70" w:type="dxa"/>
              <w:bottom w:w="60" w:type="dxa"/>
              <w:end w:w="70" w:type="dxa"/>
            </w:tcMar>
            <w:shd w:fill="FFFFFF"/>
            <w:vAlign w:val="top"/>
          </w:tcPr>
          <w:p>
            <w:pPr>
              <w:spacing w:after="0"/>
            </w:pPr>
            <w:r>
              <w:rPr>
                <w:rFonts w:ascii="Aptos" w:hAnsi="Aptos"/>
                <w:b w:val="0"/>
                <w:color w:val="3C4650"/>
                <w:sz w:val="15"/>
              </w:rPr>
              <w:t>Resolve legacy titles, stale references, aliases, renamed canons, and successor naming.</w:t>
            </w:r>
          </w:p>
        </w:tc>
      </w:tr>
      <w:tr>
        <w:trPr>
          <w:cantSplit/>
        </w:trPr>
        <w:tc>
          <w:tcPr>
            <w:tcW w:type="dxa" w:w="3816"/>
            <w:tcMar>
              <w:top w:w="60" w:type="dxa"/>
              <w:start w:w="70" w:type="dxa"/>
              <w:bottom w:w="60" w:type="dxa"/>
              <w:end w:w="70" w:type="dxa"/>
            </w:tcMar>
            <w:shd w:fill="EEF4F8"/>
            <w:vAlign w:val="top"/>
          </w:tcPr>
          <w:p>
            <w:pPr>
              <w:spacing w:after="0"/>
            </w:pPr>
            <w:r>
              <w:rPr>
                <w:rFonts w:ascii="Aptos" w:hAnsi="Aptos"/>
                <w:b/>
                <w:color w:val="0B2748"/>
                <w:sz w:val="15"/>
              </w:rPr>
              <w:t>Canon Dependency Map</w:t>
            </w:r>
          </w:p>
        </w:tc>
        <w:tc>
          <w:tcPr>
            <w:tcW w:type="dxa" w:w="6263"/>
            <w:tcMar>
              <w:top w:w="60" w:type="dxa"/>
              <w:start w:w="70" w:type="dxa"/>
              <w:bottom w:w="60" w:type="dxa"/>
              <w:end w:w="70" w:type="dxa"/>
            </w:tcMar>
            <w:shd w:fill="EEF4F8"/>
            <w:vAlign w:val="top"/>
          </w:tcPr>
          <w:p>
            <w:pPr>
              <w:spacing w:after="0"/>
            </w:pPr>
            <w:r>
              <w:rPr>
                <w:rFonts w:ascii="Aptos" w:hAnsi="Aptos"/>
                <w:b w:val="0"/>
                <w:color w:val="3C4650"/>
                <w:sz w:val="15"/>
              </w:rPr>
              <w:t>Determine what relies on a canon and what may be affected by amendment.</w:t>
            </w:r>
          </w:p>
        </w:tc>
      </w:tr>
      <w:tr>
        <w:trPr>
          <w:cantSplit/>
        </w:trPr>
        <w:tc>
          <w:tcPr>
            <w:tcW w:type="dxa" w:w="3816"/>
            <w:tcMar>
              <w:top w:w="60" w:type="dxa"/>
              <w:start w:w="70" w:type="dxa"/>
              <w:bottom w:w="60" w:type="dxa"/>
              <w:end w:w="70" w:type="dxa"/>
            </w:tcMar>
            <w:shd w:fill="FFFFFF"/>
            <w:vAlign w:val="top"/>
          </w:tcPr>
          <w:p>
            <w:pPr>
              <w:spacing w:after="0"/>
            </w:pPr>
            <w:r>
              <w:rPr>
                <w:rFonts w:ascii="Aptos" w:hAnsi="Aptos"/>
                <w:b/>
                <w:color w:val="0B2748"/>
                <w:sz w:val="15"/>
              </w:rPr>
              <w:t>Founder Decision Register and Adoption Evidence</w:t>
            </w:r>
          </w:p>
        </w:tc>
        <w:tc>
          <w:tcPr>
            <w:tcW w:type="dxa" w:w="6263"/>
            <w:tcMar>
              <w:top w:w="60" w:type="dxa"/>
              <w:start w:w="70" w:type="dxa"/>
              <w:bottom w:w="60" w:type="dxa"/>
              <w:end w:w="70" w:type="dxa"/>
            </w:tcMar>
            <w:shd w:fill="FFFFFF"/>
            <w:vAlign w:val="top"/>
          </w:tcPr>
          <w:p>
            <w:pPr>
              <w:spacing w:after="0"/>
            </w:pPr>
            <w:r>
              <w:rPr>
                <w:rFonts w:ascii="Aptos" w:hAnsi="Aptos"/>
                <w:b w:val="0"/>
                <w:color w:val="3C4650"/>
                <w:sz w:val="15"/>
              </w:rPr>
              <w:t>Confirm founder decisions, acceptance, adoption, lock, authority granted, authority withheld, and legislative history.</w:t>
            </w:r>
          </w:p>
        </w:tc>
      </w:tr>
      <w:tr>
        <w:trPr>
          <w:cantSplit/>
        </w:trPr>
        <w:tc>
          <w:tcPr>
            <w:tcW w:type="dxa" w:w="3816"/>
            <w:tcMar>
              <w:top w:w="60" w:type="dxa"/>
              <w:start w:w="70" w:type="dxa"/>
              <w:bottom w:w="60" w:type="dxa"/>
              <w:end w:w="70" w:type="dxa"/>
            </w:tcMar>
            <w:shd w:fill="EEF4F8"/>
            <w:vAlign w:val="top"/>
          </w:tcPr>
          <w:p>
            <w:pPr>
              <w:spacing w:after="0"/>
            </w:pPr>
            <w:r>
              <w:rPr>
                <w:rFonts w:ascii="Aptos" w:hAnsi="Aptos"/>
                <w:b/>
                <w:color w:val="0B2748"/>
                <w:sz w:val="15"/>
              </w:rPr>
              <w:t>Governance Requirement Index</w:t>
            </w:r>
          </w:p>
        </w:tc>
        <w:tc>
          <w:tcPr>
            <w:tcW w:type="dxa" w:w="6263"/>
            <w:tcMar>
              <w:top w:w="60" w:type="dxa"/>
              <w:start w:w="70" w:type="dxa"/>
              <w:bottom w:w="60" w:type="dxa"/>
              <w:end w:w="70" w:type="dxa"/>
            </w:tcMar>
            <w:shd w:fill="EEF4F8"/>
            <w:vAlign w:val="top"/>
          </w:tcPr>
          <w:p>
            <w:pPr>
              <w:spacing w:after="0"/>
            </w:pPr>
            <w:r>
              <w:rPr>
                <w:rFonts w:ascii="Aptos" w:hAnsi="Aptos"/>
                <w:b w:val="0"/>
                <w:color w:val="3C4650"/>
                <w:sz w:val="15"/>
              </w:rPr>
              <w:t>Locate individual MUST, SHALL, MAY, SHOULD, prohibition, evidence, and control requirements.</w:t>
            </w:r>
          </w:p>
        </w:tc>
      </w:tr>
      <w:tr>
        <w:trPr>
          <w:cantSplit/>
        </w:trPr>
        <w:tc>
          <w:tcPr>
            <w:tcW w:type="dxa" w:w="3816"/>
            <w:tcMar>
              <w:top w:w="60" w:type="dxa"/>
              <w:start w:w="70" w:type="dxa"/>
              <w:bottom w:w="60" w:type="dxa"/>
              <w:end w:w="70" w:type="dxa"/>
            </w:tcMar>
            <w:shd w:fill="FFFFFF"/>
            <w:vAlign w:val="top"/>
          </w:tcPr>
          <w:p>
            <w:pPr>
              <w:spacing w:after="0"/>
            </w:pPr>
            <w:r>
              <w:rPr>
                <w:rFonts w:ascii="Aptos" w:hAnsi="Aptos"/>
                <w:b/>
                <w:color w:val="0B2748"/>
                <w:sz w:val="15"/>
              </w:rPr>
              <w:t>Requirement Traceability Matrix</w:t>
            </w:r>
          </w:p>
        </w:tc>
        <w:tc>
          <w:tcPr>
            <w:tcW w:type="dxa" w:w="6263"/>
            <w:tcMar>
              <w:top w:w="60" w:type="dxa"/>
              <w:start w:w="70" w:type="dxa"/>
              <w:bottom w:w="60" w:type="dxa"/>
              <w:end w:w="70" w:type="dxa"/>
            </w:tcMar>
            <w:shd w:fill="FFFFFF"/>
            <w:vAlign w:val="top"/>
          </w:tcPr>
          <w:p>
            <w:pPr>
              <w:spacing w:after="0"/>
            </w:pPr>
            <w:r>
              <w:rPr>
                <w:rFonts w:ascii="Aptos" w:hAnsi="Aptos"/>
                <w:b w:val="0"/>
                <w:color w:val="3C4650"/>
                <w:sz w:val="15"/>
              </w:rPr>
              <w:t>Connect constitutional requirements to design, implementation, tests, validation, and evidence.</w:t>
            </w:r>
          </w:p>
        </w:tc>
      </w:tr>
    </w:tbl>
    <w:p>
      <w:pPr>
        <w:pStyle w:val="Heading1"/>
      </w:pPr>
      <w:r>
        <w:t>9. Version and Lifecycle Resolution</w:t>
      </w:r>
    </w:p>
    <w:p>
      <w:pPr>
        <w:keepNext w:val="0"/>
        <w:spacing w:after="60" w:line="245" w:lineRule="auto"/>
      </w:pPr>
      <w:r>
        <w:rPr>
          <w:rFonts w:ascii="Aptos" w:hAnsi="Aptos"/>
          <w:i w:val="0"/>
          <w:color w:val="3C4650"/>
          <w:sz w:val="18"/>
        </w:rPr>
        <w:t>This Index uses constitutional family titles rather than treating a particular filename or version suffix as permanently controlling. The Controlled Canon Index and Founder Decision Register must resolve the active substantive successor, lifecycle status, effective scope, checksum, and authority posture. A later draft does not displace an adopted or locked canon merely because its version number is higher.</w:t>
      </w:r>
    </w:p>
    <w:p>
      <w:pPr>
        <w:pStyle w:val="Heading1"/>
      </w:pPr>
      <w:r>
        <w:t>10. Maintenance Triggers</w:t>
      </w:r>
    </w:p>
    <w:p>
      <w:pPr>
        <w:keepNext w:val="0"/>
        <w:spacing w:after="60" w:line="245" w:lineRule="auto"/>
      </w:pPr>
      <w:r>
        <w:rPr>
          <w:rFonts w:ascii="Aptos" w:hAnsi="Aptos"/>
          <w:i w:val="0"/>
          <w:color w:val="3C4650"/>
          <w:sz w:val="18"/>
        </w:rPr>
        <w:t>Update this Index when a new constitutional family is created, a successor is founder accepted, a canon is renamed, a domain boundary changes, a cross-canon conflict is reconciled, an Authority Matrix row is added or reassigned, an implementation RF identifies an unindexed subject, or a frequently used search term fails to route readers to the correct authority. Preserve prior versions and record additions, removals, retitled subjects, changed reading sets, and unresolved references.</w:t>
      </w:r>
    </w:p>
    <w:p>
      <w:pPr>
        <w:pStyle w:val="Heading1"/>
      </w:pPr>
      <w:r>
        <w:t>11. Authority Boundary</w:t>
      </w:r>
    </w:p>
    <w:tbl>
      <w:tblPr>
        <w:tblW w:type="auto" w:w="0"/>
        <w:jc w:val="center"/>
        <w:tblLook w:firstColumn="1" w:firstRow="1" w:lastColumn="0" w:lastRow="0" w:noHBand="0" w:noVBand="1" w:val="04A0"/>
        <w:tblBorders>
          <w:top w:val="single" w:sz="5" w:space="0" w:color="B8C8D6"/>
          <w:left w:val="single" w:sz="5" w:space="0" w:color="B8C8D6"/>
          <w:bottom w:val="single" w:sz="5" w:space="0" w:color="B8C8D6"/>
          <w:right w:val="single" w:sz="5" w:space="0" w:color="B8C8D6"/>
          <w:insideH w:val="single" w:sz="5" w:space="0" w:color="B8C8D6"/>
          <w:insideV w:val="single" w:sz="5" w:space="0" w:color="B8C8D6"/>
        </w:tblBorders>
      </w:tblPr>
      <w:tblGrid>
        <w:gridCol w:w="10166"/>
      </w:tblGrid>
      <w:tr>
        <w:tc>
          <w:tcPr>
            <w:tcW w:type="dxa" w:w="10166"/>
            <w:shd w:fill="EEF4F8"/>
            <w:tcMar>
              <w:top w:w="100" w:type="dxa"/>
              <w:start w:w="120" w:type="dxa"/>
              <w:bottom w:w="100" w:type="dxa"/>
              <w:end w:w="120" w:type="dxa"/>
            </w:tcMar>
          </w:tcPr>
          <w:p>
            <w:pPr>
              <w:spacing w:after="0"/>
            </w:pPr>
            <w:r>
              <w:rPr>
                <w:rFonts w:ascii="Aptos" w:hAnsi="Aptos"/>
                <w:b/>
                <w:color w:val="0B2748"/>
                <w:sz w:val="18"/>
              </w:rPr>
              <w:t xml:space="preserve">No execution authority: </w:t>
            </w:r>
            <w:r>
              <w:rPr>
                <w:rFonts w:ascii="Aptos" w:hAnsi="Aptos"/>
                <w:color w:val="3C4650"/>
                <w:sz w:val="18"/>
              </w:rPr>
              <w:t>Creation or founder acceptance of this Index does not authorize schema creation, code changes, migrations, permission changes, external processing, provider activation, AI activation, payment activation, production access, production mutation, customer onboarding, public sharing, public trust claims, marketplace publication, or public launch. It is a constitutional navigation artifact only.</w:t>
            </w:r>
          </w:p>
        </w:tc>
      </w:tr>
    </w:tbl>
    <w:p>
      <w:pPr>
        <w:spacing w:after="0"/>
      </w:pPr>
    </w:p>
    <w:sectPr w:rsidR="00FC693F" w:rsidRPr="0006063C" w:rsidSect="00034616">
      <w:headerReference w:type="default" r:id="rId9"/>
      <w:footerReference w:type="default" r:id="rId10"/>
      <w:pgSz w:w="12240" w:h="15840"/>
      <w:pgMar w:top="936"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ptos" w:hAnsi="Aptos"/>
        <w:color w:val="3C4650"/>
        <w:sz w:val="14"/>
      </w:rPr>
      <w:t xml:space="preserve">Constitutional Cross Reference Index V1.1 | Founder Accepted | No Implementation Authority | Page </w:t>
    </w:r>
    <w:r>
      <w:rPr>
        <w:rFonts w:ascii="Aptos" w:hAnsi="Aptos"/>
        <w:color w:val="3C4650"/>
        <w:sz w:val="15"/>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2" w:color="9DB2C5"/>
      </w:pBdr>
    </w:pPr>
    <w:r>
      <w:rPr>
        <w:rFonts w:ascii="Aptos" w:hAnsi="Aptos"/>
        <w:b/>
        <w:color w:val="1F4E79"/>
        <w:sz w:val="15"/>
      </w:rPr>
      <w:t>EQUINESYNC | CONSTITUTIONAL GOVERNANCE CANON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0B2748"/>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Display" w:hAnsi="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0B274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EquineSync Constitutional Cross Reference Index V1.1</dc:title>
  <dc:subject>Constitutional topic-to-canon and canon-to-topic navigator</dc:subject>
  <dc:creator>EquineSync</dc:creator>
  <cp:keywords>EquineSync, constitutional governance, cross-reference index, canon navigator</cp:keywords>
  <dc:description>Controlled Draft for Founder Review; no implementation authority.</dc:description>
  <cp:lastModifiedBy/>
  <cp:revision>1</cp:revision>
  <dcterms:created xsi:type="dcterms:W3CDTF">2013-12-23T23:15:00Z</dcterms:created>
  <dcterms:modified xsi:type="dcterms:W3CDTF">2013-12-23T23:15:00Z</dcterms:modified>
  <cp:category/>
</cp:coreProperties>
</file>