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EQUINESYNC GOVERNANCE COMPANION ARTIFACTS REVIEW MEMORANDUM</w:t>
      </w:r>
    </w:p>
    <w:p>
      <w:pPr>
        <w:pStyle w:val="EquineSyncSubtitle"/>
      </w:pPr>
      <w:r>
        <w:t>VERSION 1.2  •  FOUNDER-ACCEPTED GOVERNANCE REVIEW ARTIFACT  •  NOT ADOPTED  •  NOT LOCKED</w:t>
      </w:r>
    </w:p>
    <w:p>
      <w:pPr>
        <w:spacing w:after="100"/>
        <w:pBdr>
          <w:bottom w:val="single" w:sz="18" w:space="1" w:color="A47C36"/>
        </w:pBdr>
      </w:pPr>
    </w:p>
    <w:p>
      <w:pPr>
        <w:pStyle w:val="Heading1"/>
        <w:keepNext/>
      </w:pPr>
      <w:r>
        <w:t>Review Disposition</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3096"/>
            <w:vAlign w:val="center"/>
            <w:tcMar>
              <w:top w:w="35" w:type="dxa"/>
              <w:start w:w="42" w:type="dxa"/>
              <w:bottom w:w="35" w:type="dxa"/>
              <w:end w:w="42" w:type="dxa"/>
            </w:tcMar>
            <w:shd w:fill="17365D"/>
          </w:tcPr>
          <w:p>
            <w:pPr>
              <w:spacing w:after="0" w:line="240" w:lineRule="auto"/>
            </w:pPr>
            <w:r/>
            <w:r>
              <w:rPr>
                <w:rFonts w:ascii="Aptos" w:hAnsi="Aptos"/>
                <w:b/>
                <w:color w:val="FFFFFF"/>
                <w:sz w:val="16"/>
              </w:rPr>
              <w:t>Field</w:t>
            </w:r>
          </w:p>
        </w:tc>
        <w:tc>
          <w:tcPr>
            <w:tcW w:type="dxa" w:w="11304"/>
            <w:vAlign w:val="center"/>
            <w:tcMar>
              <w:top w:w="35" w:type="dxa"/>
              <w:start w:w="42" w:type="dxa"/>
              <w:bottom w:w="35" w:type="dxa"/>
              <w:end w:w="42" w:type="dxa"/>
            </w:tcMar>
            <w:shd w:fill="17365D"/>
          </w:tcPr>
          <w:p>
            <w:pPr>
              <w:spacing w:after="0" w:line="240" w:lineRule="auto"/>
            </w:pPr>
            <w:r/>
            <w:r>
              <w:rPr>
                <w:rFonts w:ascii="Aptos" w:hAnsi="Aptos"/>
                <w:b/>
                <w:color w:val="FFFFFF"/>
                <w:sz w:val="16"/>
              </w:rPr>
              <w:t>Value</w:t>
            </w:r>
          </w:p>
        </w:tc>
      </w:tr>
      <w:tr>
        <w:tc>
          <w:tcPr>
            <w:tcW w:type="dxa" w:w="3096"/>
            <w:vAlign w:val="center"/>
            <w:tcMar>
              <w:top w:w="35" w:type="dxa"/>
              <w:start w:w="42" w:type="dxa"/>
              <w:bottom w:w="35" w:type="dxa"/>
              <w:end w:w="42" w:type="dxa"/>
            </w:tcMar>
            <w:shd w:fill="EAF0F6"/>
          </w:tcPr>
          <w:p>
            <w:pPr>
              <w:spacing w:after="0" w:line="240" w:lineRule="auto"/>
            </w:pPr>
            <w:r/>
            <w:r>
              <w:rPr>
                <w:rFonts w:ascii="Aptos" w:hAnsi="Aptos"/>
                <w:b/>
                <w:color w:val="1F1F1F"/>
                <w:sz w:val="16"/>
              </w:rPr>
              <w:t>Package Reviewed</w:t>
            </w:r>
          </w:p>
        </w:tc>
        <w:tc>
          <w:tcPr>
            <w:tcW w:type="dxa" w:w="11304"/>
            <w:vAlign w:val="center"/>
            <w:tcMar>
              <w:top w:w="35" w:type="dxa"/>
              <w:start w:w="42" w:type="dxa"/>
              <w:bottom w:w="35" w:type="dxa"/>
              <w:end w:w="42" w:type="dxa"/>
            </w:tcMar>
          </w:tcPr>
          <w:p>
            <w:pPr>
              <w:spacing w:after="0" w:line="240" w:lineRule="auto"/>
            </w:pPr>
            <w:r/>
            <w:r>
              <w:rPr>
                <w:rFonts w:ascii="Aptos" w:hAnsi="Aptos"/>
                <w:b w:val="0"/>
                <w:color w:val="1F1F1F"/>
                <w:sz w:val="16"/>
              </w:rPr>
              <w:t>EquineSync Required Governance Companion Artifacts Package V1.0</w:t>
            </w:r>
          </w:p>
        </w:tc>
      </w:tr>
      <w:tr>
        <w:tc>
          <w:tcPr>
            <w:tcW w:type="dxa" w:w="3096"/>
            <w:vAlign w:val="center"/>
            <w:tcMar>
              <w:top w:w="35" w:type="dxa"/>
              <w:start w:w="42" w:type="dxa"/>
              <w:bottom w:w="35" w:type="dxa"/>
              <w:end w:w="42" w:type="dxa"/>
            </w:tcMar>
            <w:shd w:fill="F6F8FB"/>
          </w:tcPr>
          <w:p>
            <w:pPr>
              <w:spacing w:after="0" w:line="240" w:lineRule="auto"/>
            </w:pPr>
            <w:r/>
            <w:r>
              <w:rPr>
                <w:rFonts w:ascii="Aptos" w:hAnsi="Aptos"/>
                <w:b/>
                <w:color w:val="1F1F1F"/>
                <w:sz w:val="16"/>
              </w:rPr>
              <w:t>Revised Package</w:t>
            </w:r>
          </w:p>
        </w:tc>
        <w:tc>
          <w:tcPr>
            <w:tcW w:type="dxa" w:w="11304"/>
            <w:vAlign w:val="center"/>
            <w:tcMar>
              <w:top w:w="35" w:type="dxa"/>
              <w:start w:w="42" w:type="dxa"/>
              <w:bottom w:w="35" w:type="dxa"/>
              <w:end w:w="42" w:type="dxa"/>
            </w:tcMar>
            <w:shd w:fill="F6F8FB"/>
          </w:tcPr>
          <w:p>
            <w:pPr>
              <w:spacing w:after="0" w:before="0"/>
            </w:pPr>
            <w:r>
              <w:rPr>
                <w:rFonts w:ascii="Aptos" w:hAnsi="Aptos"/>
                <w:sz w:val="16"/>
              </w:rPr>
              <w:t>Version 1.2</w:t>
            </w:r>
          </w:p>
        </w:tc>
      </w:tr>
      <w:tr>
        <w:tc>
          <w:tcPr>
            <w:tcW w:type="dxa" w:w="3096"/>
            <w:vAlign w:val="center"/>
            <w:tcMar>
              <w:top w:w="35" w:type="dxa"/>
              <w:start w:w="42" w:type="dxa"/>
              <w:bottom w:w="35" w:type="dxa"/>
              <w:end w:w="42" w:type="dxa"/>
            </w:tcMar>
            <w:shd w:fill="EAF0F6"/>
          </w:tcPr>
          <w:p>
            <w:pPr>
              <w:spacing w:after="0" w:line="240" w:lineRule="auto"/>
            </w:pPr>
            <w:r/>
            <w:r>
              <w:rPr>
                <w:rFonts w:ascii="Aptos" w:hAnsi="Aptos"/>
                <w:b/>
                <w:color w:val="1F1F1F"/>
                <w:sz w:val="16"/>
              </w:rPr>
              <w:t>Review Date</w:t>
            </w:r>
          </w:p>
        </w:tc>
        <w:tc>
          <w:tcPr>
            <w:tcW w:type="dxa" w:w="11304"/>
            <w:vAlign w:val="center"/>
            <w:tcMar>
              <w:top w:w="35" w:type="dxa"/>
              <w:start w:w="42" w:type="dxa"/>
              <w:bottom w:w="35" w:type="dxa"/>
              <w:end w:w="42" w:type="dxa"/>
            </w:tcMar>
          </w:tcPr>
          <w:p>
            <w:pPr>
              <w:spacing w:after="0" w:line="240" w:lineRule="auto"/>
            </w:pPr>
            <w:r/>
            <w:r>
              <w:rPr>
                <w:rFonts w:ascii="Aptos" w:hAnsi="Aptos"/>
                <w:b w:val="0"/>
                <w:color w:val="1F1F1F"/>
                <w:sz w:val="16"/>
              </w:rPr>
              <w:t>July 14, 2026</w:t>
            </w:r>
          </w:p>
        </w:tc>
      </w:tr>
      <w:tr>
        <w:tc>
          <w:tcPr>
            <w:tcW w:type="dxa" w:w="3096"/>
            <w:vAlign w:val="center"/>
            <w:tcMar>
              <w:top w:w="35" w:type="dxa"/>
              <w:start w:w="42" w:type="dxa"/>
              <w:bottom w:w="35" w:type="dxa"/>
              <w:end w:w="42" w:type="dxa"/>
            </w:tcMar>
            <w:shd w:fill="F6F8FB"/>
          </w:tcPr>
          <w:p>
            <w:pPr>
              <w:spacing w:after="0" w:line="240" w:lineRule="auto"/>
            </w:pPr>
            <w:r/>
            <w:r>
              <w:rPr>
                <w:rFonts w:ascii="Aptos" w:hAnsi="Aptos"/>
                <w:b/>
                <w:color w:val="1F1F1F"/>
                <w:sz w:val="16"/>
              </w:rPr>
              <w:t>Disposition</w:t>
            </w:r>
          </w:p>
        </w:tc>
        <w:tc>
          <w:tcPr>
            <w:tcW w:type="dxa" w:w="11304"/>
            <w:vAlign w:val="center"/>
            <w:tcMar>
              <w:top w:w="35" w:type="dxa"/>
              <w:start w:w="42" w:type="dxa"/>
              <w:bottom w:w="35" w:type="dxa"/>
              <w:end w:w="42" w:type="dxa"/>
            </w:tcMar>
            <w:shd w:fill="F6F8FB"/>
          </w:tcPr>
          <w:p>
            <w:pPr>
              <w:spacing w:after="0" w:before="0"/>
            </w:pPr>
            <w:r>
              <w:rPr>
                <w:rFonts w:ascii="Aptos" w:hAnsi="Aptos"/>
                <w:sz w:val="16"/>
              </w:rPr>
              <w:t>RECONCILED_WITH_FOUNDER_SECURITY_VERSION_EXCEPTION</w:t>
            </w:r>
          </w:p>
        </w:tc>
      </w:tr>
      <w:tr>
        <w:tc>
          <w:tcPr>
            <w:tcW w:type="dxa" w:w="3096"/>
            <w:vAlign w:val="center"/>
            <w:tcMar>
              <w:top w:w="35" w:type="dxa"/>
              <w:start w:w="42" w:type="dxa"/>
              <w:bottom w:w="35" w:type="dxa"/>
              <w:end w:w="42" w:type="dxa"/>
            </w:tcMar>
            <w:shd w:fill="EAF0F6"/>
          </w:tcPr>
          <w:p>
            <w:pPr>
              <w:spacing w:after="0" w:line="240" w:lineRule="auto"/>
            </w:pPr>
            <w:r/>
            <w:r>
              <w:rPr>
                <w:rFonts w:ascii="Aptos" w:hAnsi="Aptos"/>
                <w:b/>
                <w:color w:val="1F1F1F"/>
                <w:sz w:val="16"/>
              </w:rPr>
              <w:t>Adoption</w:t>
            </w:r>
          </w:p>
        </w:tc>
        <w:tc>
          <w:tcPr>
            <w:tcW w:type="dxa" w:w="11304"/>
            <w:vAlign w:val="center"/>
            <w:tcMar>
              <w:top w:w="35" w:type="dxa"/>
              <w:start w:w="42" w:type="dxa"/>
              <w:bottom w:w="35" w:type="dxa"/>
              <w:end w:w="42" w:type="dxa"/>
            </w:tcMar>
          </w:tcPr>
          <w:p>
            <w:pPr>
              <w:spacing w:after="0" w:line="240" w:lineRule="auto"/>
            </w:pPr>
            <w:r/>
            <w:r>
              <w:rPr>
                <w:rFonts w:ascii="Aptos" w:hAnsi="Aptos"/>
                <w:b w:val="0"/>
                <w:color w:val="1F1F1F"/>
                <w:sz w:val="16"/>
              </w:rPr>
              <w:t>NOT ADOPTED</w:t>
            </w:r>
          </w:p>
        </w:tc>
      </w:tr>
      <w:tr>
        <w:tc>
          <w:tcPr>
            <w:tcW w:type="dxa" w:w="3096"/>
            <w:vAlign w:val="center"/>
            <w:tcMar>
              <w:top w:w="35" w:type="dxa"/>
              <w:start w:w="42" w:type="dxa"/>
              <w:bottom w:w="35" w:type="dxa"/>
              <w:end w:w="42" w:type="dxa"/>
            </w:tcMar>
            <w:shd w:fill="F6F8FB"/>
          </w:tcPr>
          <w:p>
            <w:pPr>
              <w:spacing w:after="0" w:line="240" w:lineRule="auto"/>
            </w:pPr>
            <w:r/>
            <w:r>
              <w:rPr>
                <w:rFonts w:ascii="Aptos" w:hAnsi="Aptos"/>
                <w:b/>
                <w:color w:val="1F1F1F"/>
                <w:sz w:val="16"/>
              </w:rPr>
              <w:t>Lock</w:t>
            </w:r>
          </w:p>
        </w:tc>
        <w:tc>
          <w:tcPr>
            <w:tcW w:type="dxa" w:w="11304"/>
            <w:vAlign w:val="center"/>
            <w:tcMar>
              <w:top w:w="35" w:type="dxa"/>
              <w:start w:w="42" w:type="dxa"/>
              <w:bottom w:w="35" w:type="dxa"/>
              <w:end w:w="42" w:type="dxa"/>
            </w:tcMar>
            <w:shd w:fill="F6F8FB"/>
          </w:tcPr>
          <w:p>
            <w:pPr>
              <w:spacing w:after="0" w:line="240" w:lineRule="auto"/>
            </w:pPr>
            <w:r/>
            <w:r>
              <w:rPr>
                <w:rFonts w:ascii="Aptos" w:hAnsi="Aptos"/>
                <w:b w:val="0"/>
                <w:color w:val="1F1F1F"/>
                <w:sz w:val="16"/>
              </w:rPr>
              <w:t>NOT LOCKED</w:t>
            </w:r>
          </w:p>
        </w:tc>
      </w:tr>
      <w:tr>
        <w:tc>
          <w:tcPr>
            <w:tcW w:type="dxa" w:w="3096"/>
            <w:vAlign w:val="center"/>
            <w:tcMar>
              <w:top w:w="35" w:type="dxa"/>
              <w:start w:w="42" w:type="dxa"/>
              <w:bottom w:w="35" w:type="dxa"/>
              <w:end w:w="42" w:type="dxa"/>
            </w:tcMar>
            <w:shd w:fill="EAF0F6"/>
          </w:tcPr>
          <w:p>
            <w:pPr>
              <w:spacing w:after="0" w:line="240" w:lineRule="auto"/>
            </w:pPr>
            <w:r/>
            <w:r>
              <w:rPr>
                <w:rFonts w:ascii="Aptos" w:hAnsi="Aptos"/>
                <w:b/>
                <w:color w:val="1F1F1F"/>
                <w:sz w:val="16"/>
              </w:rPr>
              <w:t>Implementation / Runtime / Production / Public Launch Authority</w:t>
            </w:r>
          </w:p>
        </w:tc>
        <w:tc>
          <w:tcPr>
            <w:tcW w:type="dxa" w:w="11304"/>
            <w:vAlign w:val="center"/>
            <w:tcMar>
              <w:top w:w="35" w:type="dxa"/>
              <w:start w:w="42" w:type="dxa"/>
              <w:bottom w:w="35" w:type="dxa"/>
              <w:end w:w="42" w:type="dxa"/>
            </w:tcMar>
          </w:tcPr>
          <w:p>
            <w:pPr>
              <w:spacing w:after="0" w:line="240" w:lineRule="auto"/>
            </w:pPr>
            <w:r/>
            <w:r>
              <w:rPr>
                <w:rFonts w:ascii="Aptos" w:hAnsi="Aptos"/>
                <w:b w:val="0"/>
                <w:color w:val="1F1F1F"/>
                <w:sz w:val="16"/>
              </w:rPr>
              <w:t>FALSE</w:t>
            </w:r>
          </w:p>
        </w:tc>
      </w:tr>
    </w:tbl>
    <w:p>
      <w:pPr>
        <w:spacing w:after="0"/>
      </w:pPr>
    </w:p>
    <w:p>
      <w:pPr>
        <w:pStyle w:val="Heading1"/>
        <w:keepNext/>
      </w:pPr>
      <w:r>
        <w:t>1. Executive Finding</w:t>
      </w:r>
    </w:p>
    <w:p>
      <w:r>
        <w:t>Version 1.0 established the correct eight-artifact architecture and a polished common format, but several artifacts functioned primarily as concise summaries. Version 1.2 converts them into stronger control instruments by adding explicit lifecycle semantics, repository-verification obligations, ownership and authority boundaries, gate effects, founder-decision provenance, requirement integrity, and bidirectional traceability.</w:t>
      </w:r>
    </w:p>
    <w:p>
      <w:r>
        <w:t>The revisions do not change constitutional authority. They improve the package's ability to reveal missing authority, stale references, unresolved ownership, broken dependencies, and absent evidence before those defects reach implementation or production.</w:t>
      </w:r>
    </w:p>
    <w:p>
      <w:pPr>
        <w:pStyle w:val="Heading1"/>
        <w:keepNext/>
      </w:pPr>
      <w:r>
        <w:t>2. Material Clarifications and Corrections</w:t>
      </w:r>
    </w:p>
    <w:p>
      <w:pPr>
        <w:pStyle w:val="Heading2"/>
        <w:keepNext/>
      </w:pPr>
      <w:r>
        <w:t>2.1 Lifecycle and Authority Separation</w:t>
      </w:r>
    </w:p>
    <w:p>
      <w:r>
        <w:t>All artifacts now state acceptance, adoption, lock, implementation, runtime, production, public-claim, and launch authority independently. The package expressly rejects the inference that founder acceptance, an adopted planning atlas, a locked wave, a passed test, or a technically complete feature authorizes the next stage.</w:t>
      </w:r>
    </w:p>
    <w:p>
      <w:pPr>
        <w:pStyle w:val="Heading2"/>
        <w:keepNext/>
      </w:pPr>
      <w:r>
        <w:t>2.2 Canon Status Clarification</w:t>
      </w:r>
    </w:p>
    <w:p>
      <w:r>
        <w:t>The Canon Index was expanded to distinguish known substantive posture from repository-verified lifecycle. It now reflects, subject to repository verification, that:</w:t>
      </w:r>
    </w:p>
    <w:p>
      <w:pPr>
        <w:pStyle w:val="ListBullet"/>
      </w:pPr>
      <w:r>
        <w:t>Identity V2.0 and Relationship V2.0 are reported adopted and locked;</w:t>
      </w:r>
    </w:p>
    <w:p>
      <w:pPr>
        <w:pStyle w:val="ListBullet"/>
      </w:pPr>
      <w:r>
        <w:t>External Architecture V2.0 is reported adopted and locked;</w:t>
      </w:r>
    </w:p>
    <w:p>
      <w:pPr>
        <w:pStyle w:val="ListBullet"/>
      </w:pPr>
      <w:r>
        <w:t>the Implementation Atlas is adopted for planning and is not locked;</w:t>
      </w:r>
    </w:p>
    <w:p>
      <w:pPr>
        <w:pStyle w:val="ListBullet"/>
      </w:pPr>
      <w:r>
        <w:t>Media V2.1 is the newest founder-accepted substantive successor to V2.0 and V1.3, but adoption/lock and lifecycle-header normalization remain open;</w:t>
      </w:r>
    </w:p>
    <w:p>
      <w:pPr>
        <w:pStyle w:val="ListBullet"/>
      </w:pPr>
      <w:r>
        <w:t>multiple founder-accepted or founder-approved substantive canons still require exact adoption/lock source verification;</w:t>
      </w:r>
    </w:p>
    <w:p>
      <w:pPr>
        <w:pStyle w:val="ListBullet"/>
      </w:pPr>
      <w:r>
        <w:t>implementation, runtime, production, public-claim, and launch authority remain false unless separately granted.</w:t>
      </w:r>
    </w:p>
    <w:p>
      <w:pPr>
        <w:pStyle w:val="Heading2"/>
        <w:keepNext/>
      </w:pPr>
      <w:r>
        <w:t>2.3 Unresolved Primary Ownership</w:t>
      </w:r>
    </w:p>
    <w:p>
      <w:r>
        <w:t>The delegated-assistance ownership boundary is now resolved: Relationship owns the delegation relationship; Agreement and Permission own grant and enforcement; Search owns discoverability and minimum exposure; Barn Operations owns task execution; Minor and Safeguarding governance may narrow or block use; Audit preserves evidence. Exact primary ownership remains to be repository-verified for the consolidated minors, guardianship, safeguarding, and protected-participant family and for the equine-health, medical-record, welfare, emergency-care, and clinical-decision-support family.</w:t>
      </w:r>
    </w:p>
    <w:p>
      <w:r>
        <w:t>The package also calls for confirmation of the primary owner for privacy, release/change/migration, and configuration/feature flags.</w:t>
      </w:r>
    </w:p>
    <w:p>
      <w:pPr>
        <w:pStyle w:val="Heading2"/>
        <w:keepNext/>
      </w:pPr>
      <w:r>
        <w:t>2.4 Reference Normalization</w:t>
      </w:r>
    </w:p>
    <w:p>
      <w:r>
        <w:t>The normalization register now addresses stale versions, ambiguous short names, relative words such as “latest,” lifecycle terms used interchangeably, colloquial actor roles, record-class ambiguity, destructive-action terminology, and false readiness language.</w:t>
      </w:r>
    </w:p>
    <w:p>
      <w:pPr>
        <w:pStyle w:val="Heading2"/>
        <w:keepNext/>
      </w:pPr>
      <w:r>
        <w:t>2.5 Authority Matrix Expansion</w:t>
      </w:r>
    </w:p>
    <w:p>
      <w:r>
        <w:t>The Authority Matrix now covers constitutional drafting through public launch, including adoption, lock, reopening, supersession, conflict resolution, domain ownership, requirements, planning, implementation, schema and migration changes, permission changes, provider and plugin activation, keys/secrets, production promotion, emergency containment, disaster recovery, legal holds, exceptions, public claims, launch, repository changes, and package certification.</w:t>
      </w:r>
    </w:p>
    <w:p>
      <w:pPr>
        <w:pStyle w:val="Heading2"/>
        <w:keepNext/>
      </w:pPr>
      <w:r>
        <w:t>2.6 Dependency Gates</w:t>
      </w:r>
    </w:p>
    <w:p>
      <w:r>
        <w:t>The Dependency Map now states dependency type, criticality, failure mode, and gate effect. It also defines critical paths for authorization, data processing, external processing, production, horse transfer, and offline synchronization, plus cycle-prevention and missing-dependency rules.</w:t>
      </w:r>
    </w:p>
    <w:p>
      <w:pPr>
        <w:pStyle w:val="Heading2"/>
        <w:keepNext/>
      </w:pPr>
      <w:r>
        <w:t>2.7 Founder Decision Integrity</w:t>
      </w:r>
    </w:p>
    <w:p>
      <w:r>
        <w:t>The Founder Decision Register was expanded with seeded global, AI, search, media, plugin, developer/integration, reporting, security, resilience, claims, communication, audit, external-architecture, identity, relationship, atlas, wave, and RF31 decisions. Every seeded entry is expressly subject to exact-source and checksum verification. RF31 FD01-FD30 must be imported or immutably linked rather than paraphrased from memory.</w:t>
      </w:r>
    </w:p>
    <w:p>
      <w:pPr>
        <w:pStyle w:val="Heading2"/>
        <w:keepNext/>
      </w:pPr>
      <w:r>
        <w:t>2.8 Requirements and Traceability</w:t>
      </w:r>
    </w:p>
    <w:p>
      <w:r>
        <w:t>The Governance Requirement Index was expanded from a small starter set to 60 cross-canon requirements. The RTM contains a corresponding row for every requirement and defaults unresolved source, design, evidence, and release fields to blocked rather than silently treating them as complete.</w:t>
      </w:r>
    </w:p>
    <w:p>
      <w:pPr>
        <w:pStyle w:val="Heading1"/>
        <w:keepNext/>
      </w:pPr>
      <w:r>
        <w:t>3. Revised Artifact Scale</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3096"/>
            <w:vAlign w:val="center"/>
            <w:tcMar>
              <w:top w:w="35" w:type="dxa"/>
              <w:start w:w="42" w:type="dxa"/>
              <w:bottom w:w="35" w:type="dxa"/>
              <w:end w:w="42" w:type="dxa"/>
            </w:tcMar>
            <w:shd w:fill="17365D"/>
          </w:tcPr>
          <w:p>
            <w:pPr>
              <w:spacing w:after="0" w:line="240" w:lineRule="auto"/>
            </w:pPr>
            <w:r/>
            <w:r>
              <w:rPr>
                <w:rFonts w:ascii="Aptos" w:hAnsi="Aptos"/>
                <w:b/>
                <w:color w:val="FFFFFF"/>
                <w:sz w:val="16"/>
              </w:rPr>
              <w:t>Artifact</w:t>
            </w:r>
          </w:p>
        </w:tc>
        <w:tc>
          <w:tcPr>
            <w:tcW w:type="dxa" w:w="11304"/>
            <w:vAlign w:val="center"/>
            <w:tcMar>
              <w:top w:w="35" w:type="dxa"/>
              <w:start w:w="42" w:type="dxa"/>
              <w:bottom w:w="35" w:type="dxa"/>
              <w:end w:w="42" w:type="dxa"/>
            </w:tcMar>
            <w:shd w:fill="17365D"/>
          </w:tcPr>
          <w:p>
            <w:pPr>
              <w:spacing w:after="0" w:line="240" w:lineRule="auto"/>
            </w:pPr>
            <w:r>
              <w:t>Version 1.2 Expansion</w:t>
            </w:r>
            <w:r>
              <w:rPr>
                <w:rFonts w:ascii="Aptos" w:hAnsi="Aptos"/>
                <w:b/>
                <w:color w:val="FFFFFF"/>
                <w:sz w:val="16"/>
              </w:rPr>
            </w:r>
          </w:p>
        </w:tc>
      </w:tr>
      <w:tr>
        <w:tc>
          <w:tcPr>
            <w:tcW w:type="dxa" w:w="3096"/>
            <w:vAlign w:val="center"/>
            <w:tcMar>
              <w:top w:w="35" w:type="dxa"/>
              <w:start w:w="42" w:type="dxa"/>
              <w:bottom w:w="35" w:type="dxa"/>
              <w:end w:w="42" w:type="dxa"/>
            </w:tcMar>
            <w:shd w:fill="EAF0F6"/>
          </w:tcPr>
          <w:p>
            <w:pPr>
              <w:spacing w:after="0" w:line="240" w:lineRule="auto"/>
            </w:pPr>
            <w:r/>
            <w:r>
              <w:rPr>
                <w:rFonts w:ascii="Aptos" w:hAnsi="Aptos"/>
                <w:b/>
                <w:color w:val="1F1F1F"/>
                <w:sz w:val="16"/>
              </w:rPr>
              <w:t>Constitutional Canon Index and Navigator</w:t>
            </w:r>
          </w:p>
        </w:tc>
        <w:tc>
          <w:tcPr>
            <w:tcW w:type="dxa" w:w="11304"/>
            <w:vAlign w:val="center"/>
            <w:tcMar>
              <w:top w:w="35" w:type="dxa"/>
              <w:start w:w="42" w:type="dxa"/>
              <w:bottom w:w="35" w:type="dxa"/>
              <w:end w:w="42" w:type="dxa"/>
            </w:tcMar>
          </w:tcPr>
          <w:p>
            <w:pPr>
              <w:spacing w:after="0" w:line="240" w:lineRule="auto"/>
            </w:pPr>
            <w:r/>
            <w:r>
              <w:rPr>
                <w:rFonts w:ascii="Aptos" w:hAnsi="Aptos"/>
                <w:b w:val="0"/>
                <w:color w:val="1F1F1F"/>
                <w:sz w:val="16"/>
              </w:rPr>
              <w:t>30 canon-family rows plus 9 program/package navigation rows</w:t>
            </w:r>
          </w:p>
        </w:tc>
      </w:tr>
      <w:tr>
        <w:tc>
          <w:tcPr>
            <w:tcW w:type="dxa" w:w="3096"/>
            <w:vAlign w:val="center"/>
            <w:tcMar>
              <w:top w:w="35" w:type="dxa"/>
              <w:start w:w="42" w:type="dxa"/>
              <w:bottom w:w="35" w:type="dxa"/>
              <w:end w:w="42" w:type="dxa"/>
            </w:tcMar>
            <w:shd w:fill="F6F8FB"/>
          </w:tcPr>
          <w:p>
            <w:pPr>
              <w:spacing w:after="0" w:line="240" w:lineRule="auto"/>
            </w:pPr>
            <w:r/>
            <w:r>
              <w:rPr>
                <w:rFonts w:ascii="Aptos" w:hAnsi="Aptos"/>
                <w:b/>
                <w:color w:val="1F1F1F"/>
                <w:sz w:val="16"/>
              </w:rPr>
              <w:t>Domain Ownership and Boundary Register</w:t>
            </w:r>
          </w:p>
        </w:tc>
        <w:tc>
          <w:tcPr>
            <w:tcW w:type="dxa" w:w="11304"/>
            <w:vAlign w:val="center"/>
            <w:tcMar>
              <w:top w:w="35" w:type="dxa"/>
              <w:start w:w="42" w:type="dxa"/>
              <w:bottom w:w="35" w:type="dxa"/>
              <w:end w:w="42" w:type="dxa"/>
            </w:tcMar>
            <w:shd w:fill="F6F8FB"/>
          </w:tcPr>
          <w:p>
            <w:pPr>
              <w:spacing w:after="0" w:line="240" w:lineRule="auto"/>
            </w:pPr>
            <w:r/>
            <w:r>
              <w:rPr>
                <w:rFonts w:ascii="Aptos" w:hAnsi="Aptos"/>
                <w:b w:val="0"/>
                <w:color w:val="1F1F1F"/>
                <w:sz w:val="16"/>
              </w:rPr>
              <w:t>32 constitutional domains with explicit boundaries and gaps</w:t>
            </w:r>
          </w:p>
        </w:tc>
      </w:tr>
      <w:tr>
        <w:tc>
          <w:tcPr>
            <w:tcW w:type="dxa" w:w="3096"/>
            <w:vAlign w:val="center"/>
            <w:tcMar>
              <w:top w:w="35" w:type="dxa"/>
              <w:start w:w="42" w:type="dxa"/>
              <w:bottom w:w="35" w:type="dxa"/>
              <w:end w:w="42" w:type="dxa"/>
            </w:tcMar>
            <w:shd w:fill="EAF0F6"/>
          </w:tcPr>
          <w:p>
            <w:pPr>
              <w:spacing w:after="0" w:line="240" w:lineRule="auto"/>
            </w:pPr>
            <w:r/>
            <w:r>
              <w:rPr>
                <w:rFonts w:ascii="Aptos" w:hAnsi="Aptos"/>
                <w:b/>
                <w:color w:val="1F1F1F"/>
                <w:sz w:val="16"/>
              </w:rPr>
              <w:t>Cross-Canon Reference Normalization Register</w:t>
            </w:r>
          </w:p>
        </w:tc>
        <w:tc>
          <w:tcPr>
            <w:tcW w:type="dxa" w:w="11304"/>
            <w:vAlign w:val="center"/>
            <w:tcMar>
              <w:top w:w="35" w:type="dxa"/>
              <w:start w:w="42" w:type="dxa"/>
              <w:bottom w:w="35" w:type="dxa"/>
              <w:end w:w="42" w:type="dxa"/>
            </w:tcMar>
          </w:tcPr>
          <w:p>
            <w:pPr>
              <w:spacing w:after="0" w:line="240" w:lineRule="auto"/>
            </w:pPr>
            <w:r/>
            <w:r>
              <w:rPr>
                <w:rFonts w:ascii="Aptos" w:hAnsi="Aptos"/>
                <w:b w:val="0"/>
                <w:color w:val="1F1F1F"/>
                <w:sz w:val="16"/>
              </w:rPr>
              <w:t>34 normalization rules and defect controls</w:t>
            </w:r>
          </w:p>
        </w:tc>
      </w:tr>
      <w:tr>
        <w:tc>
          <w:tcPr>
            <w:tcW w:type="dxa" w:w="3096"/>
            <w:vAlign w:val="center"/>
            <w:tcMar>
              <w:top w:w="35" w:type="dxa"/>
              <w:start w:w="42" w:type="dxa"/>
              <w:bottom w:w="35" w:type="dxa"/>
              <w:end w:w="42" w:type="dxa"/>
            </w:tcMar>
            <w:shd w:fill="F6F8FB"/>
          </w:tcPr>
          <w:p>
            <w:pPr>
              <w:spacing w:after="0" w:line="240" w:lineRule="auto"/>
            </w:pPr>
            <w:r/>
            <w:r>
              <w:rPr>
                <w:rFonts w:ascii="Aptos" w:hAnsi="Aptos"/>
                <w:b/>
                <w:color w:val="1F1F1F"/>
                <w:sz w:val="16"/>
              </w:rPr>
              <w:t>Constitutional Authority Matrix</w:t>
            </w:r>
          </w:p>
        </w:tc>
        <w:tc>
          <w:tcPr>
            <w:tcW w:type="dxa" w:w="11304"/>
            <w:vAlign w:val="center"/>
            <w:tcMar>
              <w:top w:w="35" w:type="dxa"/>
              <w:start w:w="42" w:type="dxa"/>
              <w:bottom w:w="35" w:type="dxa"/>
              <w:end w:w="42" w:type="dxa"/>
            </w:tcMar>
            <w:shd w:fill="F6F8FB"/>
          </w:tcPr>
          <w:p>
            <w:pPr>
              <w:spacing w:after="0" w:line="240" w:lineRule="auto"/>
            </w:pPr>
            <w:r/>
            <w:r>
              <w:rPr>
                <w:rFonts w:ascii="Aptos" w:hAnsi="Aptos"/>
                <w:b w:val="0"/>
                <w:color w:val="1F1F1F"/>
                <w:sz w:val="16"/>
              </w:rPr>
              <w:t>35 authority actions plus concurrence and delegation controls</w:t>
            </w:r>
          </w:p>
        </w:tc>
      </w:tr>
      <w:tr>
        <w:tc>
          <w:tcPr>
            <w:tcW w:type="dxa" w:w="3096"/>
            <w:vAlign w:val="center"/>
            <w:tcMar>
              <w:top w:w="35" w:type="dxa"/>
              <w:start w:w="42" w:type="dxa"/>
              <w:bottom w:w="35" w:type="dxa"/>
              <w:end w:w="42" w:type="dxa"/>
            </w:tcMar>
            <w:shd w:fill="EAF0F6"/>
          </w:tcPr>
          <w:p>
            <w:pPr>
              <w:spacing w:after="0" w:line="240" w:lineRule="auto"/>
            </w:pPr>
            <w:r/>
            <w:r>
              <w:rPr>
                <w:rFonts w:ascii="Aptos" w:hAnsi="Aptos"/>
                <w:b/>
                <w:color w:val="1F1F1F"/>
                <w:sz w:val="16"/>
              </w:rPr>
              <w:t>Canon Dependency Map</w:t>
            </w:r>
          </w:p>
        </w:tc>
        <w:tc>
          <w:tcPr>
            <w:tcW w:type="dxa" w:w="11304"/>
            <w:vAlign w:val="center"/>
            <w:tcMar>
              <w:top w:w="35" w:type="dxa"/>
              <w:start w:w="42" w:type="dxa"/>
              <w:bottom w:w="35" w:type="dxa"/>
              <w:end w:w="42" w:type="dxa"/>
            </w:tcMar>
          </w:tcPr>
          <w:p>
            <w:pPr>
              <w:spacing w:after="0" w:line="240" w:lineRule="auto"/>
            </w:pPr>
            <w:r/>
            <w:r>
              <w:rPr>
                <w:rFonts w:ascii="Aptos" w:hAnsi="Aptos"/>
                <w:b w:val="0"/>
                <w:color w:val="1F1F1F"/>
                <w:sz w:val="16"/>
              </w:rPr>
              <w:t>40 dependencies and six critical paths</w:t>
            </w:r>
          </w:p>
        </w:tc>
      </w:tr>
      <w:tr>
        <w:tc>
          <w:tcPr>
            <w:tcW w:type="dxa" w:w="3096"/>
            <w:vAlign w:val="center"/>
            <w:tcMar>
              <w:top w:w="35" w:type="dxa"/>
              <w:start w:w="42" w:type="dxa"/>
              <w:bottom w:w="35" w:type="dxa"/>
              <w:end w:w="42" w:type="dxa"/>
            </w:tcMar>
            <w:shd w:fill="F6F8FB"/>
          </w:tcPr>
          <w:p>
            <w:pPr>
              <w:spacing w:after="0" w:line="240" w:lineRule="auto"/>
            </w:pPr>
            <w:r/>
            <w:r>
              <w:rPr>
                <w:rFonts w:ascii="Aptos" w:hAnsi="Aptos"/>
                <w:b/>
                <w:color w:val="1F1F1F"/>
                <w:sz w:val="16"/>
              </w:rPr>
              <w:t>Founder Decision Register</w:t>
            </w:r>
          </w:p>
        </w:tc>
        <w:tc>
          <w:tcPr>
            <w:tcW w:type="dxa" w:w="11304"/>
            <w:vAlign w:val="center"/>
            <w:tcMar>
              <w:top w:w="35" w:type="dxa"/>
              <w:start w:w="42" w:type="dxa"/>
              <w:bottom w:w="35" w:type="dxa"/>
              <w:end w:w="42" w:type="dxa"/>
            </w:tcMar>
            <w:shd w:fill="F6F8FB"/>
          </w:tcPr>
          <w:p>
            <w:pPr>
              <w:spacing w:after="0" w:line="240" w:lineRule="auto"/>
            </w:pPr>
            <w:r/>
            <w:r>
              <w:rPr>
                <w:rFonts w:ascii="Aptos" w:hAnsi="Aptos"/>
                <w:b w:val="0"/>
                <w:color w:val="1F1F1F"/>
                <w:sz w:val="16"/>
              </w:rPr>
              <w:t>38 seeded decisions with provenance requirements</w:t>
            </w:r>
          </w:p>
        </w:tc>
      </w:tr>
      <w:tr>
        <w:tc>
          <w:tcPr>
            <w:tcW w:type="dxa" w:w="3096"/>
            <w:vAlign w:val="center"/>
            <w:tcMar>
              <w:top w:w="35" w:type="dxa"/>
              <w:start w:w="42" w:type="dxa"/>
              <w:bottom w:w="35" w:type="dxa"/>
              <w:end w:w="42" w:type="dxa"/>
            </w:tcMar>
            <w:shd w:fill="EAF0F6"/>
          </w:tcPr>
          <w:p>
            <w:pPr>
              <w:spacing w:after="0" w:line="240" w:lineRule="auto"/>
            </w:pPr>
            <w:r/>
            <w:r>
              <w:rPr>
                <w:rFonts w:ascii="Aptos" w:hAnsi="Aptos"/>
                <w:b/>
                <w:color w:val="1F1F1F"/>
                <w:sz w:val="16"/>
              </w:rPr>
              <w:t>Governance Requirement Index</w:t>
            </w:r>
          </w:p>
        </w:tc>
        <w:tc>
          <w:tcPr>
            <w:tcW w:type="dxa" w:w="11304"/>
            <w:vAlign w:val="center"/>
            <w:tcMar>
              <w:top w:w="35" w:type="dxa"/>
              <w:start w:w="42" w:type="dxa"/>
              <w:bottom w:w="35" w:type="dxa"/>
              <w:end w:w="42" w:type="dxa"/>
            </w:tcMar>
          </w:tcPr>
          <w:p>
            <w:pPr>
              <w:spacing w:after="0" w:line="240" w:lineRule="auto"/>
            </w:pPr>
            <w:r/>
            <w:r>
              <w:rPr>
                <w:rFonts w:ascii="Aptos" w:hAnsi="Aptos"/>
                <w:b w:val="0"/>
                <w:color w:val="1F1F1F"/>
                <w:sz w:val="16"/>
              </w:rPr>
              <w:t>60 stable proposed requirements</w:t>
            </w:r>
          </w:p>
        </w:tc>
      </w:tr>
      <w:tr>
        <w:tc>
          <w:tcPr>
            <w:tcW w:type="dxa" w:w="3096"/>
            <w:vAlign w:val="center"/>
            <w:tcMar>
              <w:top w:w="35" w:type="dxa"/>
              <w:start w:w="42" w:type="dxa"/>
              <w:bottom w:w="35" w:type="dxa"/>
              <w:end w:w="42" w:type="dxa"/>
            </w:tcMar>
            <w:shd w:fill="F6F8FB"/>
          </w:tcPr>
          <w:p>
            <w:pPr>
              <w:spacing w:after="0" w:line="240" w:lineRule="auto"/>
            </w:pPr>
            <w:r/>
            <w:r>
              <w:rPr>
                <w:rFonts w:ascii="Aptos" w:hAnsi="Aptos"/>
                <w:b/>
                <w:color w:val="1F1F1F"/>
                <w:sz w:val="16"/>
              </w:rPr>
              <w:t>Requirement Traceability Matrix</w:t>
            </w:r>
          </w:p>
        </w:tc>
        <w:tc>
          <w:tcPr>
            <w:tcW w:type="dxa" w:w="11304"/>
            <w:vAlign w:val="center"/>
            <w:tcMar>
              <w:top w:w="35" w:type="dxa"/>
              <w:start w:w="42" w:type="dxa"/>
              <w:bottom w:w="35" w:type="dxa"/>
              <w:end w:w="42" w:type="dxa"/>
            </w:tcMar>
            <w:shd w:fill="F6F8FB"/>
          </w:tcPr>
          <w:p>
            <w:pPr>
              <w:spacing w:after="0" w:line="240" w:lineRule="auto"/>
            </w:pPr>
            <w:r/>
            <w:r>
              <w:rPr>
                <w:rFonts w:ascii="Aptos" w:hAnsi="Aptos"/>
                <w:b w:val="0"/>
                <w:color w:val="1F1F1F"/>
                <w:sz w:val="16"/>
              </w:rPr>
              <w:t>60 corresponding traceability rows</w:t>
            </w:r>
          </w:p>
        </w:tc>
      </w:tr>
    </w:tbl>
    <w:p>
      <w:pPr>
        <w:spacing w:after="0"/>
      </w:pPr>
    </w:p>
    <w:p>
      <w:pPr>
        <w:pStyle w:val="Heading1"/>
        <w:keepNext/>
      </w:pPr>
      <w:r>
        <w:t>4. Founder Security Package Version Exception</w:t>
      </w:r>
    </w:p>
    <w:p>
      <w:r>
        <w:t>The Founder has expressly designated the Security Foundational Models V1.0 package as an exception to the default newest-version rule. The package’s Encryption and Key Management V1.0, Security Incident Response and Disclosure V1.0, and Platform Resilience, Backup, and Recovery Operational Model V1.0 are the controlling substantive security-foundational artifacts within their reconciled scope until expressly superseded. Higher-numbered references do not displace them by number alone. Adoption, lock, implementation, runtime, production, provider activation, migration, public claims, and launch remain separate.</w:t>
      </w:r>
    </w:p>
    <w:p>
      <w:pPr>
        <w:pStyle w:val="Heading2"/>
      </w:pPr>
      <w:r>
        <w:t>4.1 Incident, Resilience, and Operations Boundary</w:t>
      </w:r>
    </w:p>
    <w:p>
      <w:r>
        <w:t>Incident Response and Resilience are coupled peer authorities. Incident Response owns security-event classification, containment, investigation, breach and disclosure assessment, and security-specific closure. Resilience owns criticality, backup, restore, RTO/RPO, failover, failback, safe degradation, reconciliation, and recovery evidence. Platform Operations executes approved containment and recovery actions without independently redefining either domain.</w:t>
      </w:r>
    </w:p>
    <w:p>
      <w:pPr>
        <w:pStyle w:val="Heading1"/>
      </w:pPr>
      <w:r>
        <w:t>5. Remaining Pre-Adoption Work</w:t>
      </w:r>
    </w:p>
    <w:p>
      <w:r>
        <w:t>The package should not be adopted or locked until:</w:t>
      </w:r>
    </w:p>
    <w:p>
      <w:pPr>
        <w:pStyle w:val="ListBullet"/>
      </w:pPr>
      <w:r>
        <w:t>exact repository paths, filenames, Document IDs, checksums, versions, and authority records are populated;</w:t>
      </w:r>
    </w:p>
    <w:p>
      <w:pPr>
        <w:pStyle w:val="ListBullet"/>
      </w:pPr>
      <w:r>
        <w:t>all founder-decision source records are linked and verified;</w:t>
      </w:r>
    </w:p>
    <w:p>
      <w:pPr>
        <w:pStyle w:val="ListBullet"/>
      </w:pPr>
      <w:r>
        <w:t>RF31 FD01-FD30 are imported or immutably linked;</w:t>
      </w:r>
    </w:p>
    <w:p>
      <w:pPr>
        <w:pStyle w:val="ListBullet"/>
      </w:pPr>
      <w:r>
        <w:t>unresolved primary domain owners are assigned;</w:t>
      </w:r>
    </w:p>
    <w:p>
      <w:pPr>
        <w:pStyle w:val="ListBullet"/>
      </w:pPr>
      <w:r>
        <w:t>temporary controlled canon titles are replaced with exact repository titles;</w:t>
      </w:r>
    </w:p>
    <w:p>
      <w:pPr>
        <w:pStyle w:val="ListBullet"/>
      </w:pPr>
      <w:r>
        <w:t>every requirement is mapped to an exact canon section or founder decision;</w:t>
      </w:r>
    </w:p>
    <w:p>
      <w:pPr>
        <w:pStyle w:val="ListBullet"/>
      </w:pPr>
      <w:r>
        <w:t>machine-readable checks for duplicate IDs, broken references, dependency cycles, orphan requirements, orphan controls, and expired exceptions are established;</w:t>
      </w:r>
    </w:p>
    <w:p>
      <w:pPr>
        <w:pStyle w:val="ListBullet"/>
      </w:pPr>
      <w:r>
        <w:t>the package is reconciled against the active repository rather than conversation history alone.</w:t>
      </w:r>
    </w:p>
    <w:p>
      <w:pPr>
        <w:pStyle w:val="Heading1"/>
        <w:keepNext/>
      </w:pPr>
      <w:r>
        <w:t>6. Recommended Disposition</w:t>
      </w:r>
    </w:p>
    <w:p>
      <w:r>
        <w:t>Use Version 1.2 as the controlled review baseline. After repository verification and closure of ownership gaps, prepare a candidate adoption package with a manifest, checksums, validation report, unresolved-risk ledger, and founder decision request. Do not label the package adopted, locked, implementation-ready, production-ready, or launch-ready before those separate gates occur.</w:t>
      </w:r>
    </w:p>
    <w:p/>
    <w:p/>
    <w:p/>
    <w:p/>
    <w:p/>
    <w:sectPr w:rsidR="00FC693F" w:rsidRPr="0006063C" w:rsidSect="00034616">
      <w:headerReference w:type="default" r:id="rId9"/>
      <w:footerReference w:type="default" r:id="rId10"/>
      <w:pgSz w:w="15840" w:h="12240" w:orient="landscape"/>
      <w:pgMar w:top="749" w:right="720" w:bottom="749"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D7E"/>
        <w:sz w:val="13"/>
      </w:rPr>
      <w:t xml:space="preserve">Governance Companion Artifacts Review Memorandum  |  Version 1.2  |  Founder Accepted  |  No Implementation Authority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8" w:space="2" w:color="A47C36"/>
      </w:pBdr>
    </w:pPr>
    <w:r>
      <w:rPr>
        <w:rFonts w:ascii="Georgia" w:hAnsi="Georgia"/>
        <w:b/>
        <w:color w:val="5D6D7E"/>
        <w:sz w:val="15"/>
      </w:rPr>
      <w:t>EQUINESYNC  |  CONSTITUTIONAL GOVERNANCE COMPANION ARTIFACT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Georgia" w:hAnsi="Georgia"/>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Georgia" w:hAnsi="Georgia"/>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Georgia" w:hAnsi="Georgia"/>
      <w:b/>
      <w:bCs/>
      <w:color w:val="A47C36"/>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Georgia" w:hAnsi="Georgia"/>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202"/>
      <w:contextualSpacing/>
    </w:pPr>
    <w:rPr>
      <w:rFonts w:ascii="Aptos" w:hAnsi="Aptos"/>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202"/>
      <w:contextualSpacing/>
    </w:pPr>
    <w:rPr>
      <w:rFonts w:ascii="Aptos" w:hAnsi="Aptos"/>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ineSyncSubtitle">
    <w:name w:val="EquineSync Subtitle"/>
    <w:pPr>
      <w:spacing w:after="160"/>
    </w:pPr>
    <w:rPr>
      <w:rFonts w:ascii="Aptos" w:hAnsi="Aptos"/>
      <w:b/>
      <w:color w:val="A47C36"/>
      <w:sz w:val="16"/>
    </w:rPr>
  </w:style>
  <w:style w:type="paragraph" w:customStyle="1" w:styleId="EquineSyncNote">
    <w:name w:val="EquineSync Note"/>
    <w:pPr>
      <w:spacing w:after="80"/>
    </w:pPr>
    <w:rPr>
      <w:rFonts w:ascii="Aptos" w:hAnsi="Aptos"/>
      <w:i/>
      <w:color w:val="5D6D7E"/>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EquineSync Governance Companion Artifacts Review Memorandum V1.2</dc:title>
  <dc:subject>EquineSync Constitutional Governance Companion Artifact</dc:subject>
  <dc:creator>EquineSync</dc:creator>
  <cp:keywords>EquineSync, governance, constitutional canon, controlled draft</cp:keywords>
  <dc:description>generated by python-docx</dc:description>
  <cp:lastModifiedBy/>
  <cp:revision>1</cp:revision>
  <dcterms:created xsi:type="dcterms:W3CDTF">2013-12-23T23:15:00Z</dcterms:created>
  <dcterms:modified xsi:type="dcterms:W3CDTF">2013-12-23T23:15:00Z</dcterms:modified>
  <cp:category/>
</cp:coreProperties>
</file>