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EQUINESYNC</w:t>
        <w:br/>
        <w:t>SECURITY FOUNDATIONAL MODELS V1.0</w:t>
        <w:br/>
        <w:t>FOUNDER VERSION EXCEPTION DIRECTIVE</w:t>
      </w:r>
    </w:p>
    <w:p>
      <w:pPr>
        <w:jc w:val="center"/>
      </w:pPr>
      <w:r>
        <w:rPr>
          <w:b/>
          <w:color w:val="2F5597"/>
        </w:rPr>
        <w:t>VERSION 1.0</w:t>
      </w:r>
    </w:p>
    <w:p>
      <w:pPr>
        <w:jc w:val="center"/>
      </w:pPr>
      <w:r>
        <w:t>Every Horse. Every Task. In Sync.</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pPr>
              <w:spacing w:after="0"/>
            </w:pPr>
            <w:r>
              <w:rPr>
                <w:rFonts w:ascii="Aptos" w:hAnsi="Aptos"/>
                <w:b/>
                <w:sz w:val="18"/>
              </w:rPr>
              <w:t>Document Identifier</w:t>
            </w:r>
          </w:p>
        </w:tc>
        <w:tc>
          <w:tcPr>
            <w:tcW w:type="dxa" w:w="5083"/>
          </w:tcPr>
          <w:p>
            <w:pPr>
              <w:spacing w:after="0"/>
            </w:pPr>
            <w:r>
              <w:rPr>
                <w:rFonts w:ascii="Aptos" w:hAnsi="Aptos"/>
                <w:sz w:val="18"/>
              </w:rPr>
              <w:t>EQUINESYNC_SECURITY_FOUNDATIONAL_MODELS_V1_0_FOUNDER_VERSION_EXCEPTION_DIRECTIVE_V1_0</w:t>
            </w:r>
          </w:p>
        </w:tc>
      </w:tr>
      <w:tr>
        <w:tc>
          <w:tcPr>
            <w:tcW w:type="dxa" w:w="5083"/>
            <w:shd w:fill="D9EAF7"/>
          </w:tcPr>
          <w:p>
            <w:pPr>
              <w:spacing w:after="0"/>
            </w:pPr>
            <w:r>
              <w:rPr>
                <w:rFonts w:ascii="Aptos" w:hAnsi="Aptos"/>
                <w:b/>
                <w:sz w:val="18"/>
              </w:rPr>
              <w:t>Document Type</w:t>
            </w:r>
          </w:p>
        </w:tc>
        <w:tc>
          <w:tcPr>
            <w:tcW w:type="dxa" w:w="5083"/>
          </w:tcPr>
          <w:p>
            <w:pPr>
              <w:spacing w:after="0"/>
            </w:pPr>
            <w:r>
              <w:rPr>
                <w:rFonts w:ascii="Aptos" w:hAnsi="Aptos"/>
                <w:sz w:val="18"/>
              </w:rPr>
              <w:t>Founder Version-Exception and Cross-Canon Reconciliation Directive</w:t>
            </w:r>
          </w:p>
        </w:tc>
      </w:tr>
      <w:tr>
        <w:tc>
          <w:tcPr>
            <w:tcW w:type="dxa" w:w="5083"/>
            <w:shd w:fill="D9EAF7"/>
          </w:tcPr>
          <w:p>
            <w:pPr>
              <w:spacing w:after="0"/>
            </w:pPr>
            <w:r>
              <w:rPr>
                <w:rFonts w:ascii="Aptos" w:hAnsi="Aptos"/>
                <w:b/>
                <w:sz w:val="18"/>
              </w:rPr>
              <w:t>Status</w:t>
            </w:r>
          </w:p>
        </w:tc>
        <w:tc>
          <w:tcPr>
            <w:tcW w:type="dxa" w:w="5083"/>
          </w:tcPr>
          <w:p>
            <w:pPr>
              <w:spacing w:after="0"/>
            </w:pPr>
            <w:r>
              <w:rPr>
                <w:rFonts w:ascii="Aptos" w:hAnsi="Aptos"/>
                <w:sz w:val="18"/>
              </w:rPr>
              <w:t>Founder Accepted</w:t>
            </w:r>
          </w:p>
        </w:tc>
      </w:tr>
      <w:tr>
        <w:tc>
          <w:tcPr>
            <w:tcW w:type="dxa" w:w="5083"/>
            <w:shd w:fill="D9EAF7"/>
          </w:tcPr>
          <w:p>
            <w:pPr>
              <w:spacing w:after="0"/>
            </w:pPr>
            <w:r>
              <w:rPr>
                <w:rFonts w:ascii="Aptos" w:hAnsi="Aptos"/>
                <w:b/>
                <w:sz w:val="18"/>
              </w:rPr>
              <w:t>Date</w:t>
            </w:r>
          </w:p>
        </w:tc>
        <w:tc>
          <w:tcPr>
            <w:tcW w:type="dxa" w:w="5083"/>
          </w:tcPr>
          <w:p>
            <w:pPr>
              <w:spacing w:after="0"/>
            </w:pPr>
            <w:r>
              <w:rPr>
                <w:rFonts w:ascii="Aptos" w:hAnsi="Aptos"/>
                <w:sz w:val="18"/>
              </w:rPr>
              <w:t>July 14, 2026</w:t>
            </w:r>
          </w:p>
        </w:tc>
      </w:tr>
      <w:tr>
        <w:tc>
          <w:tcPr>
            <w:tcW w:type="dxa" w:w="5083"/>
            <w:shd w:fill="D9EAF7"/>
          </w:tcPr>
          <w:p>
            <w:pPr>
              <w:spacing w:after="0"/>
            </w:pPr>
            <w:r>
              <w:rPr>
                <w:rFonts w:ascii="Aptos" w:hAnsi="Aptos"/>
                <w:b/>
                <w:sz w:val="18"/>
              </w:rPr>
              <w:t>Adoption / Lock</w:t>
            </w:r>
          </w:p>
        </w:tc>
        <w:tc>
          <w:tcPr>
            <w:tcW w:type="dxa" w:w="5083"/>
          </w:tcPr>
          <w:p>
            <w:pPr>
              <w:spacing w:after="0"/>
            </w:pPr>
            <w:r>
              <w:rPr>
                <w:rFonts w:ascii="Aptos" w:hAnsi="Aptos"/>
                <w:sz w:val="18"/>
              </w:rPr>
              <w:t>NOT GRANTED</w:t>
            </w:r>
          </w:p>
        </w:tc>
      </w:tr>
      <w:tr>
        <w:tc>
          <w:tcPr>
            <w:tcW w:type="dxa" w:w="5083"/>
            <w:shd w:fill="D9EAF7"/>
          </w:tcPr>
          <w:p>
            <w:pPr>
              <w:spacing w:after="0"/>
            </w:pPr>
            <w:r>
              <w:rPr>
                <w:rFonts w:ascii="Aptos" w:hAnsi="Aptos"/>
                <w:b/>
                <w:sz w:val="18"/>
              </w:rPr>
              <w:t>Implementation / Runtime / Production / Public Launch Authority</w:t>
            </w:r>
          </w:p>
        </w:tc>
        <w:tc>
          <w:tcPr>
            <w:tcW w:type="dxa" w:w="5083"/>
          </w:tcPr>
          <w:p>
            <w:pPr>
              <w:spacing w:after="0"/>
            </w:pPr>
            <w:r>
              <w:rPr>
                <w:rFonts w:ascii="Aptos" w:hAnsi="Aptos"/>
                <w:sz w:val="18"/>
              </w:rPr>
              <w:t>FALSE</w:t>
            </w:r>
          </w:p>
        </w:tc>
      </w:tr>
    </w:tbl>
    <w:p>
      <w:pPr>
        <w:pStyle w:val="Heading1"/>
      </w:pPr>
      <w:r>
        <w:t>1. Founder Directive</w:t>
      </w:r>
    </w:p>
    <w:p>
      <w:r>
        <w:t>The Security Foundational Models V1.0 founder-review package is an express exception to EquineSync's default newest-version acceptance rule. The exact V1.0 artifacts identified below are the controlling substantive security-foundational artifacts within their reconciled scope until the Founder expressly supersedes, amends, withdraws, or replaces this exception.</w:t>
      </w:r>
    </w:p>
    <w:p>
      <w:r>
        <w:t>A higher version number, later candidate, later narrative reference, later inventory entry, or later unverified file does not supersede these V1.0 artifacts by number alone.</w:t>
      </w:r>
    </w:p>
    <w:p>
      <w:pPr>
        <w:pStyle w:val="Heading1"/>
      </w:pPr>
      <w:r>
        <w:t>2. Controlling Package and Integrity</w:t>
      </w:r>
    </w:p>
    <w:p>
      <w:r>
        <w:rPr>
          <w:b/>
        </w:rPr>
        <w:t>Package:</w:t>
      </w:r>
      <w:r>
        <w:t xml:space="preserve"> security_foundational_models_v1_0_founder_review_package.zip</w:t>
      </w:r>
    </w:p>
    <w:p>
      <w:r>
        <w:rPr>
          <w:b/>
        </w:rPr>
        <w:t>Package SHA-256:</w:t>
      </w:r>
      <w:r>
        <w:t xml:space="preserve"> 7207f3a65b63784271e70c2506d4075ec987bc16a40d2a917a79480f41afaa13</w:t>
      </w:r>
    </w:p>
    <w:p>
      <w:pPr>
        <w:pStyle w:val="Heading2"/>
      </w:pPr>
      <w:r>
        <w:t>2.1 Encryption and Key Management</w:t>
      </w:r>
    </w:p>
    <w:p>
      <w:r>
        <w:rPr>
          <w:rFonts w:ascii="Consolas" w:hAnsi="Consolas"/>
          <w:b/>
          <w:sz w:val="17"/>
        </w:rPr>
        <w:t>MASTER_DATA_PROTECTION_ENCRYPTION_AND_KEY_MANAGEMENT_MODEL_V1_0.md</w:t>
      </w:r>
    </w:p>
    <w:p>
      <w:r>
        <w:rPr>
          <w:rFonts w:ascii="Consolas" w:hAnsi="Consolas"/>
          <w:sz w:val="16"/>
        </w:rPr>
        <w:t>SHA-256: 0fa543e25a2cffe75e9d07b68ccf0adefb8ae31e10c05afd5f1b84ee452a23ba</w:t>
      </w:r>
    </w:p>
    <w:p>
      <w:r>
        <w:t>Controls encryption, key lifecycle, secrets, tokenization, cryptographic protection, and authorized cryptographic-deletion execution.</w:t>
      </w:r>
    </w:p>
    <w:p>
      <w:pPr>
        <w:pStyle w:val="Heading2"/>
      </w:pPr>
      <w:r>
        <w:t>2.2 Security Incident Response and Disclosure</w:t>
      </w:r>
    </w:p>
    <w:p>
      <w:r>
        <w:rPr>
          <w:rFonts w:ascii="Consolas" w:hAnsi="Consolas"/>
          <w:b/>
          <w:sz w:val="17"/>
        </w:rPr>
        <w:t>MASTER_SECURITY_INCIDENT_RESPONSE_AND_DISCLOSURE_MODEL_V1_0.md</w:t>
      </w:r>
    </w:p>
    <w:p>
      <w:r>
        <w:rPr>
          <w:rFonts w:ascii="Consolas" w:hAnsi="Consolas"/>
          <w:sz w:val="16"/>
        </w:rPr>
        <w:t>SHA-256: 3dafa7991acc40eb321cdfeae5b9caa59dbf0a41f5184bee36ec9defb0b59734</w:t>
      </w:r>
    </w:p>
    <w:p>
      <w:r>
        <w:t>Controls security-event classification, command, containment, investigation, breach and disclosure assessment, approved incident communications, and security-specific closure.</w:t>
      </w:r>
    </w:p>
    <w:p>
      <w:pPr>
        <w:pStyle w:val="Heading2"/>
      </w:pPr>
      <w:r>
        <w:t>2.3 Platform Resilience, Backup, and Recovery</w:t>
      </w:r>
    </w:p>
    <w:p>
      <w:r>
        <w:rPr>
          <w:rFonts w:ascii="Consolas" w:hAnsi="Consolas"/>
          <w:b/>
          <w:sz w:val="17"/>
        </w:rPr>
        <w:t>MASTER_PLATFORM_RESILIENCE_BACKUP_AND_RECOVERY_OPERATIONAL_MODEL_V1_0.md</w:t>
      </w:r>
    </w:p>
    <w:p>
      <w:r>
        <w:rPr>
          <w:rFonts w:ascii="Consolas" w:hAnsi="Consolas"/>
          <w:sz w:val="16"/>
        </w:rPr>
        <w:t>SHA-256: 9a75d2d0984c929afd6df3d51f3f6135c57443ea34a0205395325f1413095565</w:t>
      </w:r>
    </w:p>
    <w:p>
      <w:r>
        <w:t>Controls criticality, backup, restoration, RTO/RPO, failover, failback, safe degradation, reconciliation, and recovery evidence within its reconciled scope.</w:t>
      </w:r>
    </w:p>
    <w:p>
      <w:r>
        <w:t>The package's manifest, validation report, alignment report, founder-decision register, and checksum record remain controlling provenance and review evidence for the package.</w:t>
      </w:r>
    </w:p>
    <w:p>
      <w:pPr>
        <w:pStyle w:val="Heading1"/>
      </w:pPr>
      <w:r>
        <w:t>3. Reconciled Domain Boundaries</w:t>
      </w:r>
    </w:p>
    <w:p>
      <w:pPr>
        <w:pStyle w:val="Heading2"/>
      </w:pPr>
      <w:r>
        <w:t>3.1 Encryption, Retention, and Deletion</w:t>
      </w:r>
    </w:p>
    <w:p>
      <w:r>
        <w:t>Privacy determines whether deletion or restriction is required or permitted. Record Stewardship determines whether retention, legal hold, evidence, or historical preservation prevents disposition. The Encryption and Key Management Model executes only an authorized cryptographic action. Accidental or unauthorized loss of key material is a security and availability incident, not valid deletion.</w:t>
      </w:r>
    </w:p>
    <w:p>
      <w:pPr>
        <w:pStyle w:val="Heading2"/>
      </w:pPr>
      <w:r>
        <w:t>3.2 Incident Response, Resilience, and Platform Operations</w:t>
      </w:r>
    </w:p>
    <w:p>
      <w:r>
        <w:t>Security Incident Response and Platform Resilience are coupled peer authorities.</w:t>
      </w:r>
    </w:p>
    <w:p>
      <w:pPr>
        <w:pStyle w:val="ListBullet"/>
      </w:pPr>
      <w:r>
        <w:t>Security Incident Response owns security-event classification, containment, investigation, breach and disclosure assessment, approved incident communications, and security-specific closure.</w:t>
      </w:r>
    </w:p>
    <w:p>
      <w:pPr>
        <w:pStyle w:val="ListBullet"/>
      </w:pPr>
      <w:r>
        <w:t>Platform Resilience owns service criticality, backup, restoration, RTO/RPO, failover, failback, safe degradation, reconciliation, and recovery evidence.</w:t>
      </w:r>
    </w:p>
    <w:p>
      <w:pPr>
        <w:pStyle w:val="ListBullet"/>
      </w:pPr>
      <w:r>
        <w:t>Platform Operations executes approved containment, service restoration, deployment rollback, failover, and return-to-service actions. It does not independently redefine incident, disclosure, backup, restoration, or continuity doctrine.</w:t>
      </w:r>
    </w:p>
    <w:p>
      <w:r>
        <w:t>For current constitutional interpretation, the historical phrase identifying Platform Operations as the “owning canon” of the Resilience Operational Model is treated as an execution and operational-accountability relationship, not a transfer of resilience subject-matter ownership.</w:t>
      </w:r>
    </w:p>
    <w:p>
      <w:pPr>
        <w:pStyle w:val="Heading2"/>
      </w:pPr>
      <w:r>
        <w:t>3.3 Privacy and Notice</w:t>
      </w:r>
    </w:p>
    <w:p>
      <w:r>
        <w:t>Privacy owns privacy-impact analysis, rights, processing obligations, and privacy-specific notification requirements. Incident Response owns the approved incident facts, affected population, disclosure decision, and timing authority. Communication, Notification, and Notice owns channel execution, delivery states, accessibility, retries, and delivery evidence.</w:t>
      </w:r>
    </w:p>
    <w:p>
      <w:pPr>
        <w:pStyle w:val="Heading1"/>
      </w:pPr>
      <w:r>
        <w:t>4. Lifecycle Effect</w:t>
      </w:r>
    </w:p>
    <w:p>
      <w:r>
        <w:t>This Directive establishes founder acceptance and controlling substantive effect for the identified V1.0 package. It does not by itself establish controlled adoption, repository lock, implementation authority, runtime activation, provider activation, migration authority, production authority, public trust claims, or launch authority. Those states require separate evidence-backed founder action.</w:t>
      </w:r>
    </w:p>
    <w:p>
      <w:pPr>
        <w:pStyle w:val="Heading1"/>
      </w:pPr>
      <w:r>
        <w:t>5. Cross-Canon Normalization Rule</w:t>
      </w:r>
    </w:p>
    <w:p>
      <w:r>
        <w:t>References to higher-numbered versions of these three security-foundational families must be normalized to the V1.0 package while this exception remains in force. Family-name references remain valid when the active version is resolved through this Directive and the Controlled Canon Index.</w:t>
      </w:r>
    </w:p>
    <w:p>
      <w:pPr>
        <w:pStyle w:val="Heading1"/>
      </w:pPr>
      <w:r>
        <w:t>6. Supersession</w:t>
      </w:r>
    </w:p>
    <w:p>
      <w:r>
        <w:t>This exception may be superseded only by an express founder directive that identifies the successor artifact or package, its scope, its relationship to the V1.0 package, and the lifecycle authority granted or withheld.</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Security Foundational Models V1.0 Founder Version Exception Directive | Founder Accepted | No Implementation Authority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