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B2748"/>
          <w:sz w:val="47"/>
        </w:rPr>
        <w:t>EQUINESYNC CANON</w:t>
        <w:br/>
        <w:t>DEPENDENCY MAP V1.0</w:t>
      </w:r>
    </w:p>
    <w:p>
      <w:pPr>
        <w:jc w:val="center"/>
      </w:pPr>
      <w:r>
        <w:rPr>
          <w:rFonts w:ascii="Aptos" w:hAnsi="Aptos"/>
          <w:b/>
          <w:color w:val="1F4E79"/>
          <w:sz w:val="22"/>
        </w:rPr>
        <w:t>Constitutional Prerequisite, Co-Review, Change-Impact, and Sequencing Map</w:t>
      </w:r>
    </w:p>
    <w:p/>
    <w:tbl>
      <w:tblPr>
        <w:tblW w:type="auto" w:w="0"/>
        <w:jc w:val="center"/>
        <w:tblLayout w:type="fixed"/>
        <w:tblLook w:firstColumn="1" w:firstRow="1" w:lastColumn="0" w:lastRow="0" w:noHBand="0" w:noVBand="1" w:val="04A0"/>
      </w:tblPr>
      <w:tblGrid>
        <w:gridCol w:w="5083"/>
        <w:gridCol w:w="5083"/>
      </w:tblGrid>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Document Identifier</w:t>
            </w:r>
          </w:p>
        </w:tc>
        <w:tc>
          <w:tcPr>
            <w:tcW w:type="dxa" w:w="7459"/>
            <w:vAlign w:val="center"/>
            <w:tcMar>
              <w:top w:w="70" w:type="dxa"/>
              <w:start w:w="80" w:type="dxa"/>
              <w:bottom w:w="70" w:type="dxa"/>
              <w:end w:w="80" w:type="dxa"/>
            </w:tcMar>
            <w:shd w:fill="FFFFFF" w:val="clear"/>
          </w:tcPr>
          <w:p>
            <w:pPr>
              <w:spacing w:after="0" w:before="0"/>
            </w:pPr>
            <w:r/>
            <w:r>
              <w:rPr>
                <w:rFonts w:ascii="Aptos" w:hAnsi="Aptos"/>
                <w:b w:val="0"/>
                <w:color w:val="3C4650"/>
                <w:sz w:val="17"/>
              </w:rPr>
              <w:t>EQUINESYNC_CANON_DEPENDENCY_MAP_V1_0</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Document Type</w:t>
            </w:r>
          </w:p>
        </w:tc>
        <w:tc>
          <w:tcPr>
            <w:tcW w:type="dxa" w:w="7459"/>
            <w:vAlign w:val="center"/>
            <w:tcMar>
              <w:top w:w="70" w:type="dxa"/>
              <w:start w:w="80" w:type="dxa"/>
              <w:bottom w:w="70" w:type="dxa"/>
              <w:end w:w="80" w:type="dxa"/>
            </w:tcMar>
            <w:shd w:fill="F3F5F7" w:val="clear"/>
          </w:tcPr>
          <w:p>
            <w:pPr>
              <w:spacing w:after="0" w:before="0"/>
            </w:pPr>
            <w:r/>
            <w:r>
              <w:rPr>
                <w:rFonts w:ascii="Aptos" w:hAnsi="Aptos"/>
                <w:b w:val="0"/>
                <w:color w:val="3C4650"/>
                <w:sz w:val="17"/>
              </w:rPr>
              <w:t>Constitutional Support Artifact / Canon Dependency, Change-Impact, and Sequencing Map</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Status</w:t>
            </w:r>
          </w:p>
        </w:tc>
        <w:tc>
          <w:tcPr>
            <w:tcW w:type="dxa" w:w="7459"/>
            <w:vAlign w:val="center"/>
            <w:tcMar>
              <w:top w:w="70" w:type="dxa"/>
              <w:start w:w="80" w:type="dxa"/>
              <w:bottom w:w="70" w:type="dxa"/>
              <w:end w:w="80" w:type="dxa"/>
            </w:tcMar>
            <w:shd w:fill="FFFFFF" w:val="clear"/>
          </w:tcPr>
          <w:p>
            <w:pPr>
              <w:spacing w:after="0" w:before="0"/>
            </w:pPr>
            <w:r/>
            <w:r>
              <w:rPr>
                <w:rFonts w:ascii="Aptos" w:hAnsi="Aptos"/>
                <w:b w:val="0"/>
                <w:color w:val="3C4650"/>
                <w:sz w:val="17"/>
              </w:rPr>
              <w:t>Controlled Draft for Founder Review</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Implementation Authority</w:t>
            </w:r>
          </w:p>
        </w:tc>
        <w:tc>
          <w:tcPr>
            <w:tcW w:type="dxa" w:w="7459"/>
            <w:vAlign w:val="center"/>
            <w:tcMar>
              <w:top w:w="70" w:type="dxa"/>
              <w:start w:w="80" w:type="dxa"/>
              <w:bottom w:w="70" w:type="dxa"/>
              <w:end w:w="80" w:type="dxa"/>
            </w:tcMar>
            <w:shd w:fill="F3F5F7" w:val="clear"/>
          </w:tcPr>
          <w:p>
            <w:pPr>
              <w:spacing w:after="0" w:before="0"/>
            </w:pPr>
            <w:r/>
            <w:r>
              <w:rPr>
                <w:rFonts w:ascii="Aptos" w:hAnsi="Aptos"/>
                <w:b w:val="0"/>
                <w:color w:val="3C4650"/>
                <w:sz w:val="17"/>
              </w:rPr>
              <w:t>FALSE</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Production Authority</w:t>
            </w:r>
          </w:p>
        </w:tc>
        <w:tc>
          <w:tcPr>
            <w:tcW w:type="dxa" w:w="7459"/>
            <w:vAlign w:val="center"/>
            <w:tcMar>
              <w:top w:w="70" w:type="dxa"/>
              <w:start w:w="80" w:type="dxa"/>
              <w:bottom w:w="70" w:type="dxa"/>
              <w:end w:w="80" w:type="dxa"/>
            </w:tcMar>
            <w:shd w:fill="FFFFFF" w:val="clear"/>
          </w:tcPr>
          <w:p>
            <w:pPr>
              <w:spacing w:after="0" w:before="0"/>
            </w:pPr>
            <w:r/>
            <w:r>
              <w:rPr>
                <w:rFonts w:ascii="Aptos" w:hAnsi="Aptos"/>
                <w:b w:val="0"/>
                <w:color w:val="3C4650"/>
                <w:sz w:val="17"/>
              </w:rPr>
              <w:t>FALSE</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Public Launch Authority</w:t>
            </w:r>
          </w:p>
        </w:tc>
        <w:tc>
          <w:tcPr>
            <w:tcW w:type="dxa" w:w="7459"/>
            <w:vAlign w:val="center"/>
            <w:tcMar>
              <w:top w:w="70" w:type="dxa"/>
              <w:start w:w="80" w:type="dxa"/>
              <w:bottom w:w="70" w:type="dxa"/>
              <w:end w:w="80" w:type="dxa"/>
            </w:tcMar>
            <w:shd w:fill="F3F5F7" w:val="clear"/>
          </w:tcPr>
          <w:p>
            <w:pPr>
              <w:spacing w:after="0" w:before="0"/>
            </w:pPr>
            <w:r/>
            <w:r>
              <w:rPr>
                <w:rFonts w:ascii="Aptos" w:hAnsi="Aptos"/>
                <w:b w:val="0"/>
                <w:color w:val="3C4650"/>
                <w:sz w:val="17"/>
              </w:rPr>
              <w:t>FALSE</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Date</w:t>
            </w:r>
          </w:p>
        </w:tc>
        <w:tc>
          <w:tcPr>
            <w:tcW w:type="dxa" w:w="7459"/>
            <w:vAlign w:val="center"/>
            <w:tcMar>
              <w:top w:w="70" w:type="dxa"/>
              <w:start w:w="80" w:type="dxa"/>
              <w:bottom w:w="70" w:type="dxa"/>
              <w:end w:w="80" w:type="dxa"/>
            </w:tcMar>
            <w:shd w:fill="FFFFFF" w:val="clear"/>
          </w:tcPr>
          <w:p>
            <w:pPr>
              <w:spacing w:after="0" w:before="0"/>
            </w:pPr>
            <w:r/>
            <w:r>
              <w:rPr>
                <w:rFonts w:ascii="Aptos" w:hAnsi="Aptos"/>
                <w:b w:val="0"/>
                <w:color w:val="3C4650"/>
                <w:sz w:val="17"/>
              </w:rPr>
              <w:t>July 14, 2026</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Coverage</w:t>
            </w:r>
          </w:p>
        </w:tc>
        <w:tc>
          <w:tcPr>
            <w:tcW w:type="dxa" w:w="7459"/>
            <w:vAlign w:val="center"/>
            <w:tcMar>
              <w:top w:w="70" w:type="dxa"/>
              <w:start w:w="80" w:type="dxa"/>
              <w:bottom w:w="70" w:type="dxa"/>
              <w:end w:w="80" w:type="dxa"/>
            </w:tcMar>
            <w:shd w:fill="F3F5F7" w:val="clear"/>
          </w:tcPr>
          <w:p>
            <w:pPr>
              <w:spacing w:after="0" w:before="0"/>
            </w:pPr>
            <w:r/>
            <w:r>
              <w:rPr>
                <w:rFonts w:ascii="Aptos" w:hAnsi="Aptos"/>
                <w:b w:val="0"/>
                <w:color w:val="3C4650"/>
                <w:sz w:val="17"/>
              </w:rPr>
              <w:t>44 constitutional and governance families; seven dependency layers; critical-path, change-impact, and coupled-review maps</w:t>
            </w:r>
          </w:p>
        </w:tc>
      </w:tr>
    </w:tbl>
    <w:p/>
    <w:tbl>
      <w:tblPr>
        <w:tblW w:type="auto" w:w="0"/>
        <w:jc w:val="center"/>
        <w:tblLook w:firstColumn="1" w:firstRow="1" w:lastColumn="0" w:lastRow="0" w:noHBand="0" w:noVBand="1" w:val="04A0"/>
      </w:tblPr>
      <w:tblGrid>
        <w:gridCol w:w="10166"/>
      </w:tblGrid>
      <w:tr>
        <w:tc>
          <w:tcPr>
            <w:tcW w:type="dxa" w:w="10166"/>
            <w:shd w:fill="EEF4F8" w:val="clear"/>
            <w:vAlign w:val="center"/>
            <w:tcMar>
              <w:top w:w="70" w:type="dxa"/>
              <w:start w:w="80" w:type="dxa"/>
              <w:bottom w:w="70" w:type="dxa"/>
              <w:end w:w="80" w:type="dxa"/>
            </w:tcMar>
            <w:tcBorders>
              <w:top w:val="single" w:sz="8" w:color="1F4E79"/>
              <w:left w:val="single" w:sz="8" w:color="1F4E79"/>
              <w:bottom w:val="single" w:sz="8" w:color="1F4E79"/>
              <w:right w:val="single" w:sz="8" w:color="1F4E79"/>
            </w:tcBorders>
          </w:tcPr>
          <w:p>
            <w:pPr>
              <w:spacing w:after="0" w:before="0"/>
            </w:pPr>
            <w:r/>
            <w:r>
              <w:rPr>
                <w:rFonts w:ascii="Aptos" w:hAnsi="Aptos"/>
                <w:b/>
                <w:color w:val="0B2748"/>
                <w:sz w:val="18"/>
              </w:rPr>
              <w:t>Constitutional function: This Map shows what must exist first, what must be read together, and what must be revalidated after change. It does not replace the substantive canon, Authority Matrix, Cross Reference Index, Controlled Canon Index, or founder evidence.</w:t>
            </w:r>
          </w:p>
        </w:tc>
      </w:tr>
    </w:tbl>
    <w:p/>
    <w:p>
      <w:pPr>
        <w:pStyle w:val="Heading1"/>
        <w:keepNext/>
      </w:pPr>
      <w:r>
        <w:rPr>
          <w:color w:val="0B2748"/>
        </w:rPr>
        <w:t>1. Purpose</w:t>
      </w:r>
    </w:p>
    <w:p>
      <w:pPr>
        <w:spacing w:after="120" w:line="254" w:lineRule="auto"/>
      </w:pPr>
      <w:r>
        <w:rPr>
          <w:rFonts w:ascii="Aptos" w:hAnsi="Aptos"/>
          <w:color w:val="3C4650"/>
          <w:sz w:val="19"/>
        </w:rPr>
        <w:t>This Map answers three constitutional questions: What must exist first? What must be read together? What must be revalidated when a governing artifact changes? It organizes the EquineSync canon into dependency layers, identifies direct upstream prerequisites and mandatory co-review overlays, records high-impact change propagation, and provides implementation sequencing guidance without converting the map itself into substantive authority.</w:t>
      </w:r>
    </w:p>
    <w:p>
      <w:pPr>
        <w:spacing w:after="120" w:line="254" w:lineRule="auto"/>
      </w:pPr>
      <w:r>
        <w:rPr>
          <w:rFonts w:ascii="Aptos" w:hAnsi="Aptos"/>
          <w:color w:val="3C4650"/>
          <w:sz w:val="19"/>
        </w:rPr>
        <w:t>The Map is interpretive and navigational. It does not create rights, duties, permissions, adoption, lock, implementation authority, production authority, provider activation, or public-launch authority. The active version and lifecycle posture of every referenced family must be resolved through the Controlled Canon Index and founder evidence.</w:t>
      </w:r>
    </w:p>
    <w:p>
      <w:pPr>
        <w:pStyle w:val="Heading1"/>
        <w:keepNext/>
      </w:pPr>
      <w:r>
        <w:rPr>
          <w:color w:val="0B2748"/>
        </w:rPr>
        <w:t>2. Dependency Semantics</w:t>
      </w:r>
    </w:p>
    <w:p>
      <w:pPr>
        <w:pStyle w:val="ListBullet"/>
        <w:spacing w:after="40"/>
      </w:pPr>
      <w:r>
        <w:rPr>
          <w:rFonts w:ascii="Aptos" w:hAnsi="Aptos"/>
          <w:color w:val="3C4650"/>
          <w:sz w:val="18"/>
        </w:rPr>
        <w:t>Upstream prerequisite: a downstream artifact cannot be safely interpreted, amended, or implemented until the upstream rule is resolved.</w:t>
      </w:r>
    </w:p>
    <w:p>
      <w:pPr>
        <w:pStyle w:val="ListBullet"/>
        <w:spacing w:after="40"/>
      </w:pPr>
      <w:r>
        <w:rPr>
          <w:rFonts w:ascii="Aptos" w:hAnsi="Aptos"/>
          <w:color w:val="3C4650"/>
          <w:sz w:val="18"/>
        </w:rPr>
        <w:t>Protective constraint: a privacy, safeguarding, security, welfare, evidentiary, or permission rule that can narrow or block downstream action without taking ownership of the underlying subject.</w:t>
      </w:r>
    </w:p>
    <w:p>
      <w:pPr>
        <w:pStyle w:val="ListBullet"/>
        <w:spacing w:after="40"/>
      </w:pPr>
      <w:r>
        <w:rPr>
          <w:rFonts w:ascii="Aptos" w:hAnsi="Aptos"/>
          <w:color w:val="3C4650"/>
          <w:sz w:val="18"/>
        </w:rPr>
        <w:t>Evidence dependency: the record, audit, notice, or decision evidence required to prove that the governing rule was applied.</w:t>
      </w:r>
    </w:p>
    <w:p>
      <w:pPr>
        <w:pStyle w:val="ListBullet"/>
        <w:spacing w:after="40"/>
      </w:pPr>
      <w:r>
        <w:rPr>
          <w:rFonts w:ascii="Aptos" w:hAnsi="Aptos"/>
          <w:color w:val="3C4650"/>
          <w:sz w:val="18"/>
        </w:rPr>
        <w:t>Interpretive dependency: a registry, vocabulary, authority, cross-reference, or dependency artifact used to locate and reconcile substantive canon.</w:t>
      </w:r>
    </w:p>
    <w:p>
      <w:pPr>
        <w:pStyle w:val="ListBullet"/>
        <w:spacing w:after="40"/>
      </w:pPr>
      <w:r>
        <w:rPr>
          <w:rFonts w:ascii="Aptos" w:hAnsi="Aptos"/>
          <w:color w:val="3C4650"/>
          <w:sz w:val="18"/>
        </w:rPr>
        <w:t>Execution dependency: a required governance input to implementation planning, technical specification, testing, release, migration, or runtime activation.</w:t>
      </w:r>
    </w:p>
    <w:p>
      <w:pPr>
        <w:pStyle w:val="ListBullet"/>
        <w:spacing w:after="40"/>
      </w:pPr>
      <w:r>
        <w:rPr>
          <w:rFonts w:ascii="Aptos" w:hAnsi="Aptos"/>
          <w:color w:val="3C4650"/>
          <w:sz w:val="18"/>
        </w:rPr>
        <w:t>Coupled review: two canons must be reviewed together, but neither gains authority to amend the other.</w:t>
      </w:r>
    </w:p>
    <w:tbl>
      <w:tblPr>
        <w:tblW w:type="auto" w:w="0"/>
        <w:jc w:val="center"/>
        <w:tblLook w:firstColumn="1" w:firstRow="1" w:lastColumn="0" w:lastRow="0" w:noHBand="0" w:noVBand="1" w:val="04A0"/>
      </w:tblPr>
      <w:tblGrid>
        <w:gridCol w:w="10166"/>
      </w:tblGrid>
      <w:tr>
        <w:tc>
          <w:tcPr>
            <w:tcW w:type="dxa" w:w="10166"/>
            <w:shd w:fill="F5EBD3" w:val="clear"/>
            <w:vAlign w:val="center"/>
            <w:tcMar>
              <w:top w:w="70" w:type="dxa"/>
              <w:start w:w="80" w:type="dxa"/>
              <w:bottom w:w="70" w:type="dxa"/>
              <w:end w:w="80" w:type="dxa"/>
            </w:tcMar>
            <w:tcBorders>
              <w:top w:val="single" w:sz="8" w:color="B68D40"/>
              <w:left w:val="single" w:sz="8" w:color="B68D40"/>
              <w:bottom w:val="single" w:sz="8" w:color="B68D40"/>
              <w:right w:val="single" w:sz="8" w:color="B68D40"/>
            </w:tcBorders>
          </w:tcPr>
          <w:p>
            <w:pPr>
              <w:spacing w:after="0" w:before="0"/>
            </w:pPr>
            <w:r/>
            <w:r>
              <w:rPr>
                <w:rFonts w:ascii="Aptos" w:hAnsi="Aptos"/>
                <w:b/>
                <w:color w:val="0B2748"/>
                <w:sz w:val="18"/>
              </w:rPr>
              <w:t>Arrow rule: dependency arrows run from upstream prerequisite to downstream dependent. A cross-reference or dependency does not transfer subject-matter ownership.</w:t>
            </w:r>
          </w:p>
        </w:tc>
      </w:tr>
    </w:tbl>
    <w:p/>
    <w:p>
      <w:pPr>
        <w:pStyle w:val="Heading1"/>
        <w:keepNext/>
      </w:pPr>
      <w:r>
        <w:rPr>
          <w:color w:val="0B2748"/>
        </w:rPr>
        <w:t>3. Constitutional Dependency Layers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Layer</w:t>
            </w:r>
          </w:p>
        </w:tc>
        <w:tc>
          <w:tcPr>
            <w:tcW w:type="dxa" w:w="3096"/>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Name</w:t>
            </w:r>
          </w:p>
        </w:tc>
        <w:tc>
          <w:tcPr>
            <w:tcW w:type="dxa" w:w="5976"/>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Constitutional Function</w:t>
            </w:r>
          </w:p>
        </w:tc>
      </w:tr>
      <w:tr>
        <w:tc>
          <w:tcPr>
            <w:tcW w:type="dxa" w:w="792"/>
            <w:vAlign w:val="center"/>
            <w:tcMar>
              <w:top w:w="70" w:type="dxa"/>
              <w:start w:w="80" w:type="dxa"/>
              <w:bottom w:w="70" w:type="dxa"/>
              <w:end w:w="80" w:type="dxa"/>
            </w:tcMar>
            <w:shd w:fill="FFFFFF" w:val="clear"/>
          </w:tcPr>
          <w:p>
            <w:pPr>
              <w:spacing w:after="0" w:before="0"/>
            </w:pPr>
            <w:r/>
            <w:r>
              <w:rPr>
                <w:rFonts w:ascii="Aptos" w:hAnsi="Aptos"/>
                <w:b w:val="0"/>
                <w:color w:val="3C4650"/>
                <w:sz w:val="16"/>
              </w:rPr>
              <w:t>L0</w:t>
            </w:r>
          </w:p>
        </w:tc>
        <w:tc>
          <w:tcPr>
            <w:tcW w:type="dxa" w:w="3096"/>
            <w:vAlign w:val="center"/>
            <w:tcMar>
              <w:top w:w="70" w:type="dxa"/>
              <w:start w:w="80" w:type="dxa"/>
              <w:bottom w:w="70" w:type="dxa"/>
              <w:end w:w="80" w:type="dxa"/>
            </w:tcMar>
            <w:shd w:fill="FFFFFF" w:val="clear"/>
          </w:tcPr>
          <w:p>
            <w:pPr>
              <w:spacing w:after="0" w:before="0"/>
            </w:pPr>
            <w:r/>
            <w:r>
              <w:rPr>
                <w:rFonts w:ascii="Aptos" w:hAnsi="Aptos"/>
                <w:b w:val="0"/>
                <w:color w:val="3C4650"/>
                <w:sz w:val="16"/>
              </w:rPr>
              <w:t>Lifecycle and Constitutional Control</w:t>
            </w:r>
          </w:p>
        </w:tc>
        <w:tc>
          <w:tcPr>
            <w:tcW w:type="dxa" w:w="5976"/>
            <w:vAlign w:val="center"/>
            <w:tcMar>
              <w:top w:w="70" w:type="dxa"/>
              <w:start w:w="80" w:type="dxa"/>
              <w:bottom w:w="70" w:type="dxa"/>
              <w:end w:w="80" w:type="dxa"/>
            </w:tcMar>
            <w:shd w:fill="FFFFFF" w:val="clear"/>
          </w:tcPr>
          <w:p>
            <w:pPr>
              <w:spacing w:after="0" w:before="0"/>
            </w:pPr>
            <w:r/>
            <w:r>
              <w:rPr>
                <w:rFonts w:ascii="Aptos" w:hAnsi="Aptos"/>
                <w:b w:val="0"/>
                <w:color w:val="3C4650"/>
                <w:sz w:val="16"/>
              </w:rPr>
              <w:t>Founder authority, active-version resolution, adoption evidence, and RF legislative history.</w:t>
            </w:r>
          </w:p>
        </w:tc>
      </w:tr>
      <w:tr>
        <w:tc>
          <w:tcPr>
            <w:tcW w:type="dxa" w:w="792"/>
            <w:vAlign w:val="center"/>
            <w:tcMar>
              <w:top w:w="70" w:type="dxa"/>
              <w:start w:w="80" w:type="dxa"/>
              <w:bottom w:w="70" w:type="dxa"/>
              <w:end w:w="80" w:type="dxa"/>
            </w:tcMar>
            <w:shd w:fill="F3F5F7" w:val="clear"/>
          </w:tcPr>
          <w:p>
            <w:pPr>
              <w:spacing w:after="0" w:before="0"/>
            </w:pPr>
            <w:r/>
            <w:r>
              <w:rPr>
                <w:rFonts w:ascii="Aptos" w:hAnsi="Aptos"/>
                <w:b w:val="0"/>
                <w:color w:val="3C4650"/>
                <w:sz w:val="16"/>
              </w:rPr>
              <w:t>L1</w:t>
            </w:r>
          </w:p>
        </w:tc>
        <w:tc>
          <w:tcPr>
            <w:tcW w:type="dxa" w:w="3096"/>
            <w:vAlign w:val="center"/>
            <w:tcMar>
              <w:top w:w="70" w:type="dxa"/>
              <w:start w:w="80" w:type="dxa"/>
              <w:bottom w:w="70" w:type="dxa"/>
              <w:end w:w="80" w:type="dxa"/>
            </w:tcMar>
            <w:shd w:fill="F3F5F7" w:val="clear"/>
          </w:tcPr>
          <w:p>
            <w:pPr>
              <w:spacing w:after="0" w:before="0"/>
            </w:pPr>
            <w:r/>
            <w:r>
              <w:rPr>
                <w:rFonts w:ascii="Aptos" w:hAnsi="Aptos"/>
                <w:b w:val="0"/>
                <w:color w:val="3C4650"/>
                <w:sz w:val="16"/>
              </w:rPr>
              <w:t>Apex and Interpretive Framework</w:t>
            </w:r>
          </w:p>
        </w:tc>
        <w:tc>
          <w:tcPr>
            <w:tcW w:type="dxa" w:w="5976"/>
            <w:vAlign w:val="center"/>
            <w:tcMar>
              <w:top w:w="70" w:type="dxa"/>
              <w:start w:w="80" w:type="dxa"/>
              <w:bottom w:w="70" w:type="dxa"/>
              <w:end w:w="80" w:type="dxa"/>
            </w:tcMar>
            <w:shd w:fill="F3F5F7" w:val="clear"/>
          </w:tcPr>
          <w:p>
            <w:pPr>
              <w:spacing w:after="0" w:before="0"/>
            </w:pPr>
            <w:r/>
            <w:r>
              <w:rPr>
                <w:rFonts w:ascii="Aptos" w:hAnsi="Aptos"/>
                <w:b w:val="0"/>
                <w:color w:val="3C4650"/>
                <w:sz w:val="16"/>
              </w:rPr>
              <w:t>Product purpose, ecosystem structure, ownership boundaries, vocabulary, references, authority, navigation, and this dependency map.</w:t>
            </w:r>
          </w:p>
        </w:tc>
      </w:tr>
      <w:tr>
        <w:tc>
          <w:tcPr>
            <w:tcW w:type="dxa" w:w="792"/>
            <w:vAlign w:val="center"/>
            <w:tcMar>
              <w:top w:w="70" w:type="dxa"/>
              <w:start w:w="80" w:type="dxa"/>
              <w:bottom w:w="70" w:type="dxa"/>
              <w:end w:w="80" w:type="dxa"/>
            </w:tcMar>
            <w:shd w:fill="FFFFFF" w:val="clear"/>
          </w:tcPr>
          <w:p>
            <w:pPr>
              <w:spacing w:after="0" w:before="0"/>
            </w:pPr>
            <w:r/>
            <w:r>
              <w:rPr>
                <w:rFonts w:ascii="Aptos" w:hAnsi="Aptos"/>
                <w:b w:val="0"/>
                <w:color w:val="3C4650"/>
                <w:sz w:val="16"/>
              </w:rPr>
              <w:t>L2</w:t>
            </w:r>
          </w:p>
        </w:tc>
        <w:tc>
          <w:tcPr>
            <w:tcW w:type="dxa" w:w="3096"/>
            <w:vAlign w:val="center"/>
            <w:tcMar>
              <w:top w:w="70" w:type="dxa"/>
              <w:start w:w="80" w:type="dxa"/>
              <w:bottom w:w="70" w:type="dxa"/>
              <w:end w:w="80" w:type="dxa"/>
            </w:tcMar>
            <w:shd w:fill="FFFFFF" w:val="clear"/>
          </w:tcPr>
          <w:p>
            <w:pPr>
              <w:spacing w:after="0" w:before="0"/>
            </w:pPr>
            <w:r/>
            <w:r>
              <w:rPr>
                <w:rFonts w:ascii="Aptos" w:hAnsi="Aptos"/>
                <w:b w:val="0"/>
                <w:color w:val="3C4650"/>
                <w:sz w:val="16"/>
              </w:rPr>
              <w:t>Core Domain Truth</w:t>
            </w:r>
          </w:p>
        </w:tc>
        <w:tc>
          <w:tcPr>
            <w:tcW w:type="dxa" w:w="5976"/>
            <w:vAlign w:val="center"/>
            <w:tcMar>
              <w:top w:w="70" w:type="dxa"/>
              <w:start w:w="80" w:type="dxa"/>
              <w:bottom w:w="70" w:type="dxa"/>
              <w:end w:w="80" w:type="dxa"/>
            </w:tcMar>
            <w:shd w:fill="FFFFFF" w:val="clear"/>
          </w:tcPr>
          <w:p>
            <w:pPr>
              <w:spacing w:after="0" w:before="0"/>
            </w:pPr>
            <w:r/>
            <w:r>
              <w:rPr>
                <w:rFonts w:ascii="Aptos" w:hAnsi="Aptos"/>
                <w:b w:val="0"/>
                <w:color w:val="3C4650"/>
                <w:sz w:val="16"/>
              </w:rPr>
              <w:t>Horse, facility, barn, business, identity, relationship, consent, minor, and calendar truth.</w:t>
            </w:r>
          </w:p>
        </w:tc>
      </w:tr>
      <w:tr>
        <w:tc>
          <w:tcPr>
            <w:tcW w:type="dxa" w:w="792"/>
            <w:vAlign w:val="center"/>
            <w:tcMar>
              <w:top w:w="70" w:type="dxa"/>
              <w:start w:w="80" w:type="dxa"/>
              <w:bottom w:w="70" w:type="dxa"/>
              <w:end w:w="80" w:type="dxa"/>
            </w:tcMar>
            <w:shd w:fill="F3F5F7" w:val="clear"/>
          </w:tcPr>
          <w:p>
            <w:pPr>
              <w:spacing w:after="0" w:before="0"/>
            </w:pPr>
            <w:r/>
            <w:r>
              <w:rPr>
                <w:rFonts w:ascii="Aptos" w:hAnsi="Aptos"/>
                <w:b w:val="0"/>
                <w:color w:val="3C4650"/>
                <w:sz w:val="16"/>
              </w:rPr>
              <w:t>L3</w:t>
            </w:r>
          </w:p>
        </w:tc>
        <w:tc>
          <w:tcPr>
            <w:tcW w:type="dxa" w:w="3096"/>
            <w:vAlign w:val="center"/>
            <w:tcMar>
              <w:top w:w="70" w:type="dxa"/>
              <w:start w:w="80" w:type="dxa"/>
              <w:bottom w:w="70" w:type="dxa"/>
              <w:end w:w="80" w:type="dxa"/>
            </w:tcMar>
            <w:shd w:fill="F3F5F7" w:val="clear"/>
          </w:tcPr>
          <w:p>
            <w:pPr>
              <w:spacing w:after="0" w:before="0"/>
            </w:pPr>
            <w:r/>
            <w:r>
              <w:rPr>
                <w:rFonts w:ascii="Aptos" w:hAnsi="Aptos"/>
                <w:b w:val="0"/>
                <w:color w:val="3C4650"/>
                <w:sz w:val="16"/>
              </w:rPr>
              <w:t>Trust, Rights, Records, and Evidence</w:t>
            </w:r>
          </w:p>
        </w:tc>
        <w:tc>
          <w:tcPr>
            <w:tcW w:type="dxa" w:w="5976"/>
            <w:vAlign w:val="center"/>
            <w:tcMar>
              <w:top w:w="70" w:type="dxa"/>
              <w:start w:w="80" w:type="dxa"/>
              <w:bottom w:w="70" w:type="dxa"/>
              <w:end w:w="80" w:type="dxa"/>
            </w:tcMar>
            <w:shd w:fill="F3F5F7" w:val="clear"/>
          </w:tcPr>
          <w:p>
            <w:pPr>
              <w:spacing w:after="0" w:before="0"/>
            </w:pPr>
            <w:r/>
            <w:r>
              <w:rPr>
                <w:rFonts w:ascii="Aptos" w:hAnsi="Aptos"/>
                <w:b w:val="0"/>
                <w:color w:val="3C4650"/>
                <w:sz w:val="16"/>
              </w:rPr>
              <w:t>Permissions, privacy, security, encryption, stewardship, audit, disputes, communication, incidents, and resilience.</w:t>
            </w:r>
          </w:p>
        </w:tc>
      </w:tr>
      <w:tr>
        <w:tc>
          <w:tcPr>
            <w:tcW w:type="dxa" w:w="792"/>
            <w:vAlign w:val="center"/>
            <w:tcMar>
              <w:top w:w="70" w:type="dxa"/>
              <w:start w:w="80" w:type="dxa"/>
              <w:bottom w:w="70" w:type="dxa"/>
              <w:end w:w="80" w:type="dxa"/>
            </w:tcMar>
            <w:shd w:fill="FFFFFF" w:val="clear"/>
          </w:tcPr>
          <w:p>
            <w:pPr>
              <w:spacing w:after="0" w:before="0"/>
            </w:pPr>
            <w:r/>
            <w:r>
              <w:rPr>
                <w:rFonts w:ascii="Aptos" w:hAnsi="Aptos"/>
                <w:b w:val="0"/>
                <w:color w:val="3C4650"/>
                <w:sz w:val="16"/>
              </w:rPr>
              <w:t>L4</w:t>
            </w:r>
          </w:p>
        </w:tc>
        <w:tc>
          <w:tcPr>
            <w:tcW w:type="dxa" w:w="3096"/>
            <w:vAlign w:val="center"/>
            <w:tcMar>
              <w:top w:w="70" w:type="dxa"/>
              <w:start w:w="80" w:type="dxa"/>
              <w:bottom w:w="70" w:type="dxa"/>
              <w:end w:w="80" w:type="dxa"/>
            </w:tcMar>
            <w:shd w:fill="FFFFFF" w:val="clear"/>
          </w:tcPr>
          <w:p>
            <w:pPr>
              <w:spacing w:after="0" w:before="0"/>
            </w:pPr>
            <w:r/>
            <w:r>
              <w:rPr>
                <w:rFonts w:ascii="Aptos" w:hAnsi="Aptos"/>
                <w:b w:val="0"/>
                <w:color w:val="3C4650"/>
                <w:sz w:val="16"/>
              </w:rPr>
              <w:t>Specialized Information and Decision Overlays</w:t>
            </w:r>
          </w:p>
        </w:tc>
        <w:tc>
          <w:tcPr>
            <w:tcW w:type="dxa" w:w="5976"/>
            <w:vAlign w:val="center"/>
            <w:tcMar>
              <w:top w:w="70" w:type="dxa"/>
              <w:start w:w="80" w:type="dxa"/>
              <w:bottom w:w="70" w:type="dxa"/>
              <w:end w:w="80" w:type="dxa"/>
            </w:tcMar>
            <w:shd w:fill="FFFFFF" w:val="clear"/>
          </w:tcPr>
          <w:p>
            <w:pPr>
              <w:spacing w:after="0" w:before="0"/>
            </w:pPr>
            <w:r/>
            <w:r>
              <w:rPr>
                <w:rFonts w:ascii="Aptos" w:hAnsi="Aptos"/>
                <w:b w:val="0"/>
                <w:color w:val="3C4650"/>
                <w:sz w:val="16"/>
              </w:rPr>
              <w:t>Media, search, AI, reporting, and financial governance that act on underlying domain truth.</w:t>
            </w:r>
          </w:p>
        </w:tc>
      </w:tr>
      <w:tr>
        <w:tc>
          <w:tcPr>
            <w:tcW w:type="dxa" w:w="792"/>
            <w:vAlign w:val="center"/>
            <w:tcMar>
              <w:top w:w="70" w:type="dxa"/>
              <w:start w:w="80" w:type="dxa"/>
              <w:bottom w:w="70" w:type="dxa"/>
              <w:end w:w="80" w:type="dxa"/>
            </w:tcMar>
            <w:shd w:fill="F3F5F7" w:val="clear"/>
          </w:tcPr>
          <w:p>
            <w:pPr>
              <w:spacing w:after="0" w:before="0"/>
            </w:pPr>
            <w:r/>
            <w:r>
              <w:rPr>
                <w:rFonts w:ascii="Aptos" w:hAnsi="Aptos"/>
                <w:b w:val="0"/>
                <w:color w:val="3C4650"/>
                <w:sz w:val="16"/>
              </w:rPr>
              <w:t>L5</w:t>
            </w:r>
          </w:p>
        </w:tc>
        <w:tc>
          <w:tcPr>
            <w:tcW w:type="dxa" w:w="3096"/>
            <w:vAlign w:val="center"/>
            <w:tcMar>
              <w:top w:w="70" w:type="dxa"/>
              <w:start w:w="80" w:type="dxa"/>
              <w:bottom w:w="70" w:type="dxa"/>
              <w:end w:w="80" w:type="dxa"/>
            </w:tcMar>
            <w:shd w:fill="F3F5F7" w:val="clear"/>
          </w:tcPr>
          <w:p>
            <w:pPr>
              <w:spacing w:after="0" w:before="0"/>
            </w:pPr>
            <w:r/>
            <w:r>
              <w:rPr>
                <w:rFonts w:ascii="Aptos" w:hAnsi="Aptos"/>
                <w:b w:val="0"/>
                <w:color w:val="3C4650"/>
                <w:sz w:val="16"/>
              </w:rPr>
              <w:t>Platform, External, and Runtime Governance</w:t>
            </w:r>
          </w:p>
        </w:tc>
        <w:tc>
          <w:tcPr>
            <w:tcW w:type="dxa" w:w="5976"/>
            <w:vAlign w:val="center"/>
            <w:tcMar>
              <w:top w:w="70" w:type="dxa"/>
              <w:start w:w="80" w:type="dxa"/>
              <w:bottom w:w="70" w:type="dxa"/>
              <w:end w:w="80" w:type="dxa"/>
            </w:tcMar>
            <w:shd w:fill="F3F5F7" w:val="clear"/>
          </w:tcPr>
          <w:p>
            <w:pPr>
              <w:spacing w:after="0" w:before="0"/>
            </w:pPr>
            <w:r/>
            <w:r>
              <w:rPr>
                <w:rFonts w:ascii="Aptos" w:hAnsi="Aptos"/>
                <w:b w:val="0"/>
                <w:color w:val="3C4650"/>
                <w:sz w:val="16"/>
              </w:rPr>
              <w:t>External architecture, integrations, plugins, vendors, configuration, operations, and offline synchronization.</w:t>
            </w:r>
          </w:p>
        </w:tc>
      </w:tr>
      <w:tr>
        <w:tc>
          <w:tcPr>
            <w:tcW w:type="dxa" w:w="792"/>
            <w:vAlign w:val="center"/>
            <w:tcMar>
              <w:top w:w="70" w:type="dxa"/>
              <w:start w:w="80" w:type="dxa"/>
              <w:bottom w:w="70" w:type="dxa"/>
              <w:end w:w="80" w:type="dxa"/>
            </w:tcMar>
            <w:shd w:fill="FFFFFF" w:val="clear"/>
          </w:tcPr>
          <w:p>
            <w:pPr>
              <w:spacing w:after="0" w:before="0"/>
            </w:pPr>
            <w:r/>
            <w:r>
              <w:rPr>
                <w:rFonts w:ascii="Aptos" w:hAnsi="Aptos"/>
                <w:b w:val="0"/>
                <w:color w:val="3C4650"/>
                <w:sz w:val="16"/>
              </w:rPr>
              <w:t>L6</w:t>
            </w:r>
          </w:p>
        </w:tc>
        <w:tc>
          <w:tcPr>
            <w:tcW w:type="dxa" w:w="3096"/>
            <w:vAlign w:val="center"/>
            <w:tcMar>
              <w:top w:w="70" w:type="dxa"/>
              <w:start w:w="80" w:type="dxa"/>
              <w:bottom w:w="70" w:type="dxa"/>
              <w:end w:w="80" w:type="dxa"/>
            </w:tcMar>
            <w:shd w:fill="FFFFFF" w:val="clear"/>
          </w:tcPr>
          <w:p>
            <w:pPr>
              <w:spacing w:after="0" w:before="0"/>
            </w:pPr>
            <w:r/>
            <w:r>
              <w:rPr>
                <w:rFonts w:ascii="Aptos" w:hAnsi="Aptos"/>
                <w:b w:val="0"/>
                <w:color w:val="3C4650"/>
                <w:sz w:val="16"/>
              </w:rPr>
              <w:t>Governed Implementation</w:t>
            </w:r>
          </w:p>
        </w:tc>
        <w:tc>
          <w:tcPr>
            <w:tcW w:type="dxa" w:w="5976"/>
            <w:vAlign w:val="center"/>
            <w:tcMar>
              <w:top w:w="70" w:type="dxa"/>
              <w:start w:w="80" w:type="dxa"/>
              <w:bottom w:w="70" w:type="dxa"/>
              <w:end w:w="80" w:type="dxa"/>
            </w:tcMar>
            <w:shd w:fill="FFFFFF" w:val="clear"/>
          </w:tcPr>
          <w:p>
            <w:pPr>
              <w:spacing w:after="0" w:before="0"/>
            </w:pPr>
            <w:r/>
            <w:r>
              <w:rPr>
                <w:rFonts w:ascii="Aptos" w:hAnsi="Aptos"/>
                <w:b w:val="0"/>
                <w:color w:val="3C4650"/>
                <w:sz w:val="16"/>
              </w:rPr>
              <w:t>The implementation atlas and authorized RF packages that may execute only within granted authority.</w:t>
            </w:r>
          </w:p>
        </w:tc>
      </w:tr>
    </w:tbl>
    <w:p/>
    <w:p>
      <w:pPr>
        <w:sectPr>
          <w:headerReference w:type="default" r:id="rId9"/>
          <w:footerReference w:type="default" r:id="rId10"/>
          <w:pgSz w:w="12240" w:h="15840"/>
          <w:pgMar w:top="936" w:right="1037" w:bottom="936" w:left="1037" w:header="403" w:footer="403" w:gutter="0"/>
          <w:cols w:space="720"/>
          <w:docGrid w:linePitch="360"/>
        </w:sectPr>
      </w:pPr>
    </w:p>
    <w:p>
      <w:pPr>
        <w:pStyle w:val="Heading1"/>
        <w:keepNext/>
      </w:pPr>
      <w:r>
        <w:rPr>
          <w:color w:val="0B2748"/>
        </w:rPr>
        <w:t>4. Master Dependency Topology</w:t>
      </w:r>
    </w:p>
    <w:p>
      <w:pPr>
        <w:spacing w:after="120" w:line="254" w:lineRule="auto"/>
      </w:pPr>
      <w:r>
        <w:rPr>
          <w:rFonts w:ascii="Aptos" w:hAnsi="Aptos"/>
          <w:color w:val="3C4650"/>
          <w:sz w:val="19"/>
        </w:rPr>
        <w:t>The visual topology shows the primary dependency spine. To preserve readability, many protective, evidentiary, and coupled-review relationships are recorded in the detailed register rather than drawn as additional lines.</w:t>
      </w:r>
    </w:p>
    <w:p>
      <w:r>
        <w:drawing>
          <wp:inline xmlns:a="http://schemas.openxmlformats.org/drawingml/2006/main" xmlns:pic="http://schemas.openxmlformats.org/drawingml/2006/picture">
            <wp:extent cx="8732520" cy="3170624"/>
            <wp:docPr id="1" name="EquineSync Canon Dependency Map" descr="Seven-layer diagram showing lifecycle authority, apex and interpretive artifacts, core domain truth, trust and evidence, specialized overlays, platform governance, and governed implementation. Arrows run from upstream prerequisites to downstream dependents."/>
            <wp:cNvGraphicFramePr>
              <a:graphicFrameLocks noChangeAspect="1"/>
            </wp:cNvGraphicFramePr>
            <a:graphic>
              <a:graphicData uri="http://schemas.openxmlformats.org/drawingml/2006/picture">
                <pic:pic>
                  <pic:nvPicPr>
                    <pic:cNvPr id="0" name="equinesync_canon_dependency_overview.png"/>
                    <pic:cNvPicPr/>
                  </pic:nvPicPr>
                  <pic:blipFill>
                    <a:blip r:embed="rId11"/>
                    <a:stretch>
                      <a:fillRect/>
                    </a:stretch>
                  </pic:blipFill>
                  <pic:spPr>
                    <a:xfrm>
                      <a:off x="0" y="0"/>
                      <a:ext cx="8732520" cy="3170624"/>
                    </a:xfrm>
                    <a:prstGeom prst="rect"/>
                  </pic:spPr>
                </pic:pic>
              </a:graphicData>
            </a:graphic>
          </wp:inline>
        </w:drawing>
      </w:r>
    </w:p>
    <w:p>
      <w:pPr>
        <w:spacing w:before="60" w:after="140"/>
        <w:jc w:val="center"/>
      </w:pPr>
      <w:r>
        <w:rPr>
          <w:rFonts w:ascii="Aptos" w:hAnsi="Aptos"/>
          <w:i/>
          <w:color w:val="66717A"/>
          <w:sz w:val="17"/>
        </w:rPr>
        <w:t>Figure 1. EquineSync constitutional dependency topology. Solid lines show principal authority, foundational, interpretive, or execution dependencies. Dashed and dotted lines show selected protective and evidence dependencies.</w:t>
      </w:r>
    </w:p>
    <w:p>
      <w:pPr>
        <w:sectPr>
          <w:pgSz w:w="15840" w:h="12240" w:orient="landscape"/>
          <w:pgMar w:top="864" w:right="936" w:bottom="864" w:left="936" w:header="403" w:footer="403" w:gutter="0"/>
          <w:cols w:space="720"/>
          <w:docGrid w:linePitch="360"/>
        </w:sectPr>
      </w:pPr>
    </w:p>
    <w:p>
      <w:pPr>
        <w:pStyle w:val="Heading1"/>
        <w:keepNext/>
      </w:pPr>
      <w:r>
        <w:rPr>
          <w:color w:val="0B2748"/>
        </w:rPr>
        <w:t>5. Critical Constitutional Paths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Path</w:t>
            </w:r>
          </w:p>
        </w:tc>
        <w:tc>
          <w:tcPr>
            <w:tcW w:type="dxa" w:w="7992"/>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Required Reading and Dependency Sequence</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Identity and Access</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Product Vision → Ecosystem → Identity → Relationship → Agreement / Minor → Permission → Audit Evidence</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Horse Continuity</w:t>
            </w:r>
          </w:p>
        </w:tc>
        <w:tc>
          <w:tcPr>
            <w:tcW w:type="dxa" w:w="7992"/>
            <w:vAlign w:val="center"/>
            <w:tcMar>
              <w:top w:w="70" w:type="dxa"/>
              <w:start w:w="80" w:type="dxa"/>
              <w:bottom w:w="70" w:type="dxa"/>
              <w:end w:w="80" w:type="dxa"/>
            </w:tcMar>
            <w:shd w:fill="F3F5F7" w:val="clear"/>
          </w:tcPr>
          <w:p>
            <w:pPr>
              <w:spacing w:after="0" w:before="0"/>
            </w:pPr>
            <w:r/>
            <w:r>
              <w:rPr>
                <w:rFonts w:ascii="Aptos" w:hAnsi="Aptos"/>
                <w:b w:val="0"/>
                <w:color w:val="3C4650"/>
                <w:sz w:val="16"/>
              </w:rPr>
              <w:t>Product Vision → Ecosystem → Horse Lifecycle → Horse Transfer → Record / Audit / Financial / Claims / Notice</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Barn Operations</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Ecosystem → Facility → Barn Lifecycle → Calendar → Permission / Record / Audit / Communication</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Minor Delegated Care</w:t>
            </w:r>
          </w:p>
        </w:tc>
        <w:tc>
          <w:tcPr>
            <w:tcW w:type="dxa" w:w="7992"/>
            <w:vAlign w:val="center"/>
            <w:tcMar>
              <w:top w:w="70" w:type="dxa"/>
              <w:start w:w="80" w:type="dxa"/>
              <w:bottom w:w="70" w:type="dxa"/>
              <w:end w:w="80" w:type="dxa"/>
            </w:tcMar>
            <w:shd w:fill="F3F5F7" w:val="clear"/>
          </w:tcPr>
          <w:p>
            <w:pPr>
              <w:spacing w:after="0" w:before="0"/>
            </w:pPr>
            <w:r/>
            <w:r>
              <w:rPr>
                <w:rFonts w:ascii="Aptos" w:hAnsi="Aptos"/>
                <w:b w:val="0"/>
                <w:color w:val="3C4650"/>
                <w:sz w:val="16"/>
              </w:rPr>
              <w:t>Identity → Relationship → Agreement → Minor and Guardian Canon → Permission → Search / Media / AI / Reporting constraints</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Media Lifecycle</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Permission + Privacy + Record + Security + Encryption → Media Governance → Search / AI / Reporting / Sharing / Deletion</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AI Output</w:t>
            </w:r>
          </w:p>
        </w:tc>
        <w:tc>
          <w:tcPr>
            <w:tcW w:type="dxa" w:w="7992"/>
            <w:vAlign w:val="center"/>
            <w:tcMar>
              <w:top w:w="70" w:type="dxa"/>
              <w:start w:w="80" w:type="dxa"/>
              <w:bottom w:w="70" w:type="dxa"/>
              <w:end w:w="80" w:type="dxa"/>
            </w:tcMar>
            <w:shd w:fill="F3F5F7" w:val="clear"/>
          </w:tcPr>
          <w:p>
            <w:pPr>
              <w:spacing w:after="0" w:before="0"/>
            </w:pPr>
            <w:r/>
            <w:r>
              <w:rPr>
                <w:rFonts w:ascii="Aptos" w:hAnsi="Aptos"/>
                <w:b w:val="0"/>
                <w:color w:val="3C4650"/>
                <w:sz w:val="16"/>
              </w:rPr>
              <w:t>Domain truth + Permission + Privacy + Security + Record + Audit + Search + Vendor controls → AI Governance → Human review and evidence</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Financial Truth</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Identity + Relationship + Agreement + Record + Audit → Financial Truth → Claims / Transfer / Reporting / External payment rails</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External Integration</w:t>
            </w:r>
          </w:p>
        </w:tc>
        <w:tc>
          <w:tcPr>
            <w:tcW w:type="dxa" w:w="7992"/>
            <w:vAlign w:val="center"/>
            <w:tcMar>
              <w:top w:w="70" w:type="dxa"/>
              <w:start w:w="80" w:type="dxa"/>
              <w:bottom w:w="70" w:type="dxa"/>
              <w:end w:w="80" w:type="dxa"/>
            </w:tcMar>
            <w:shd w:fill="F3F5F7" w:val="clear"/>
          </w:tcPr>
          <w:p>
            <w:pPr>
              <w:spacing w:after="0" w:before="0"/>
            </w:pPr>
            <w:r/>
            <w:r>
              <w:rPr>
                <w:rFonts w:ascii="Aptos" w:hAnsi="Aptos"/>
                <w:b w:val="0"/>
                <w:color w:val="3C4650"/>
                <w:sz w:val="16"/>
              </w:rPr>
              <w:t>External Architecture + Vendor Security + Permission + Privacy + Security → Developer Governance → Plugin Governance / APIs / Webhooks</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Offline Execution</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Identity + Permission + Privacy + Security + Encryption + Record + Audit + Resilience → Offline Canon → Platform Operations</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Incident and Recovery</w:t>
            </w:r>
          </w:p>
        </w:tc>
        <w:tc>
          <w:tcPr>
            <w:tcW w:type="dxa" w:w="7992"/>
            <w:vAlign w:val="center"/>
            <w:tcMar>
              <w:top w:w="70" w:type="dxa"/>
              <w:start w:w="80" w:type="dxa"/>
              <w:bottom w:w="70" w:type="dxa"/>
              <w:end w:w="80" w:type="dxa"/>
            </w:tcMar>
            <w:shd w:fill="F3F5F7" w:val="clear"/>
          </w:tcPr>
          <w:p>
            <w:pPr>
              <w:spacing w:after="0" w:before="0"/>
            </w:pPr>
            <w:r/>
            <w:r>
              <w:rPr>
                <w:rFonts w:ascii="Aptos" w:hAnsi="Aptos"/>
                <w:b w:val="0"/>
                <w:color w:val="3C4650"/>
                <w:sz w:val="16"/>
              </w:rPr>
              <w:t>Security + Privacy + Audit + Communication + Vendor Security → Incident Response → Resilience → Platform Operations</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Configuration to Release</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Domain canon + Permission + Audit → Configuration and Flags → Platform Operations → Release evidence</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Governed Implementation</w:t>
            </w:r>
          </w:p>
        </w:tc>
        <w:tc>
          <w:tcPr>
            <w:tcW w:type="dxa" w:w="7992"/>
            <w:vAlign w:val="center"/>
            <w:tcMar>
              <w:top w:w="70" w:type="dxa"/>
              <w:start w:w="80" w:type="dxa"/>
              <w:bottom w:w="70" w:type="dxa"/>
              <w:end w:w="80" w:type="dxa"/>
            </w:tcMar>
            <w:shd w:fill="F3F5F7" w:val="clear"/>
          </w:tcPr>
          <w:p>
            <w:pPr>
              <w:spacing w:after="0" w:before="0"/>
            </w:pPr>
            <w:r/>
            <w:r>
              <w:rPr>
                <w:rFonts w:ascii="Aptos" w:hAnsi="Aptos"/>
                <w:b w:val="0"/>
                <w:color w:val="3C4650"/>
                <w:sz w:val="16"/>
              </w:rPr>
              <w:t>Founder Decisions + Canon Index + Authority Matrix + Cross Reference Index + Dependency Map + RF evidence → Implementation Atlas</w:t>
            </w:r>
          </w:p>
        </w:tc>
      </w:tr>
    </w:tbl>
    <w:p/>
    <w:p>
      <w:pPr>
        <w:pStyle w:val="Heading1"/>
        <w:keepNext/>
      </w:pPr>
      <w:r>
        <w:rPr>
          <w:color w:val="0B2748"/>
        </w:rPr>
        <w:t>6. Canon Dependency Register</w:t>
      </w:r>
    </w:p>
    <w:p>
      <w:pPr>
        <w:spacing w:after="120" w:line="254" w:lineRule="auto"/>
      </w:pPr>
      <w:r>
        <w:rPr>
          <w:rFonts w:ascii="Aptos" w:hAnsi="Aptos"/>
          <w:color w:val="3C4650"/>
          <w:sz w:val="19"/>
        </w:rPr>
        <w:t>The register separates primary upstream prerequisites from mandatory overlays. Upstream artifacts define the dependency spine. Overlays constrain, evidence, or coordinate application without silently becoming the subject-matter owner.</w:t>
      </w:r>
    </w:p>
    <w:p>
      <w:pPr>
        <w:pStyle w:val="Heading2"/>
        <w:keepNext/>
      </w:pPr>
      <w:r>
        <w:rPr>
          <w:color w:val="1F4E79"/>
        </w:rPr>
        <w:t>L0. Lifecycle and Constitutional Control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CDM-001</w:t>
              <w:br/>
              <w:t>Founder Decision Register and Adoption Evidence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Applicable law, valid founder directives, and preserved decision evidence.</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Controlled lifecycle procedures; amendment and supersession evidence.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Apex</w:t>
              <w:br/>
              <w:t>Controlled Canon Index; substantive canon; RF ledgers; implementation authority.</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CDM-002</w:t>
              <w:br/>
              <w:t>Controlled Canon Index and Constitutional Completeness Register</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Founder Decision Register and adoption or lock evidence.</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Cross-Canon Reference Normalization Register; checksum and completeness evidence.</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Apex</w:t>
              <w:br/>
              <w:t>All interpretive artifacts; active-version resolution; implementation gating.</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CDM-003</w:t>
              <w:br/>
              <w:t>RF Ledgers and Controlled Review Evidence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Founder decisions; Controlled Canon Index; affected substantive canon.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Authority Matrix; Dependency Map; test and verification evidence.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Authorized implementation packages; adoption, lock, and release decisions.</w:t>
            </w:r>
          </w:p>
        </w:tc>
      </w:tr>
    </w:tbl>
    <w:p/>
    <w:p>
      <w:pPr>
        <w:pStyle w:val="Heading2"/>
        <w:keepNext/>
      </w:pPr>
      <w:r>
        <w:rPr>
          <w:color w:val="1F4E79"/>
        </w:rPr>
        <w:t>L1. Apex and Interpretive Framework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CDM-004</w:t>
              <w:br/>
              <w:t>Master Product Vision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Founder constitutional direction.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Controlled Canon Index; Founder Decision Register.</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Apex</w:t>
              <w:br/>
              <w:t>Ecosystem Model; all specialized canon; platform and release doctrine.</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CDM-005</w:t>
              <w:br/>
              <w:t>Master Ecosystem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Product Vision.</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Identity, relationship, facility, horse, business, and record canons.</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Core domain models and cross-domain structural interpretation.</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CDM-006</w:t>
              <w:br/>
              <w:t>Constitutional Domain Ownership and Boundary Register</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Controlled Canon Index; Product Vision; Ecosystem Model; controlling specialized canon.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Vocabulary Index; Authority Matrix; reconciliation records.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Authority Matrix; conflict routing; cross-canon ownership decisions.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CDM-007</w:t>
              <w:br/>
              <w:t>Constitutional Vocabulary and Definitions Index</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Controlled Canon Index; Domain Ownership Register; source canon for each term.</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Reference Normalization Register.</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Authority Matrix; Cross Reference Index; requirements and implementation specifications.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CDM-008</w:t>
              <w:br/>
              <w:t>Cross-Canon Reference Normalization Register</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Controlled Canon Index; Founder Decision Register; successor evidence.</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Vocabulary Index; substantive source canon.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Cross Reference Index; dependency resolution; amendment review.</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CDM-009</w:t>
              <w:br/>
              <w:t>Constitutional Authority Matrix</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Domain Ownership Register; Vocabulary Index; Controlled Canon Index.</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Founder Decision Register; specialized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Cross Reference Index; Dependency Map; requirements and implementation routing.</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CDM-010</w:t>
              <w:br/>
              <w:t>Constitutional Cross Reference Index</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Authority Matrix; Vocabulary Index; Reference Normalization Register; Controlled Canon Index.</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All referenced substantive canons.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Dependency Map; reader navigation; cross-domain review sets.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CDM-011</w:t>
              <w:br/>
              <w:t>Canon Dependency Map</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Authority Matrix; Cross Reference Index; Controlled Canon Index; Founder Decision Register.</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Domain Ownership Register; Vocabulary Index; RF evidence.</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Change-impact review; implementation sequencing; requirements traceability.</w:t>
            </w:r>
          </w:p>
        </w:tc>
      </w:tr>
    </w:tbl>
    <w:p/>
    <w:p>
      <w:pPr>
        <w:pStyle w:val="Heading2"/>
        <w:keepNext/>
      </w:pPr>
      <w:r>
        <w:rPr>
          <w:color w:val="1F4E79"/>
        </w:rPr>
        <w:t>L2. Core Domain Truth</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CDM-012</w:t>
              <w:br/>
              <w:t>Master Horse Lifecycle and Passport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Ecosystem Model.</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Record Stewardship; Privacy; Audit; Relationship; Permission.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Horse Transfer; barn operations; calendar; reporting; resilience continuity.</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CDM-013</w:t>
              <w:br/>
              <w:t>Master Horse Transfer and Continuity Policy</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Horse Lifecycle; Relationship; Agreement and Authorization; Financial Truth; Claims and Disputes.</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Record Stewardship; Permission; Privacy; Audit; Communication.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Transfer workflows, continuity controls, reconciliation, and implementation tests.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CDM-014</w:t>
              <w:br/>
              <w:t>Master Facility Domain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Ecosystem Model.</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Relationship; Record Stewardship; Permission; Security.</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Barn Lifecycle; calendar; facility operations; integrations.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CDM-015</w:t>
              <w:br/>
              <w:t>Master Barn Lifecycle and Operations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Facility Domain; Relationship; Calendar; Horse Lifecycle.</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Permission; Record Stewardship; Audit; Financial Truth; Communication.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Operational workflows, care tasks, staffing, facility execution, and reporting.</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CDM-016</w:t>
              <w:br/>
              <w:t>Master Business Lifecycle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Ecosystem Model; Relationship Model.</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Agreement and Authorization; Financial Truth; Record Stewardship; Claims.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Organization onboarding, lifecycle transitions, billing responsibility, and exit handling.</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CDM-017</w:t>
              <w:br/>
              <w:t>Master Identity, Account, and Actor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Product Vision; Ecosystem Model.</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Privacy; Security; Record Stewardship; Audit.</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Relationship; Agreement; Minor protections; Permission; communication; search; offline.</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CDM-018</w:t>
              <w:br/>
              <w:t>Master Relationship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Ecosystem Model; Identity Model.</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Agreement and Authorization; Privacy; Record Stewardship; Audit.</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Permission; transfer; barn; business; finance; claims; communications; delegated assistance.</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CDM-019</w:t>
              <w:br/>
              <w:t>Master Agreement, Consent, and Authorization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Identity Model; Relationship Model.</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Privacy; Record Stewardship; Audit; Communication.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Permission; minors; transfer; finance; media; external processing; notices.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CDM-020</w:t>
              <w:br/>
              <w:t>Minor, Guardian, Safeguarding, and Delegated-Assistance Canon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Identity; Relationship; Agreement and Authorization.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Permission; Privacy; Audit; Communication; Claims.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Protective</w:t>
              <w:br/>
              <w:t>Minor access, guardian authority, delegated care, search exposure, AI, media, and reporting constraints.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CDM-021</w:t>
              <w:br/>
              <w:t>RF29 Calendar Domain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Ecosystem; Identity; Relationship; Facility; Barn Lifecycle.</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Permission; Record Stewardship; Audit; Communication.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Lessons, medication, providers, arenas, tasks, scheduling integrations, and notifications.</w:t>
            </w:r>
          </w:p>
        </w:tc>
      </w:tr>
    </w:tbl>
    <w:p/>
    <w:p>
      <w:pPr>
        <w:pStyle w:val="Heading2"/>
        <w:keepNext/>
      </w:pPr>
      <w:r>
        <w:rPr>
          <w:color w:val="1F4E79"/>
        </w:rPr>
        <w:t>L3. Trust, Rights, Records, and Evidence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CDM-022</w:t>
              <w:br/>
              <w:t>Master Permission and Access-Control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Identity; Relationship; Agreement and Authorization; Minor and Guardian Canon.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Privacy; Security; Audit; Claims and disputes.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Every access-controlled domain, media, search, AI, reporting, integrations, administration, and offline.</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CDM-023</w:t>
              <w:br/>
              <w:t>Master Privacy and Data Protection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Product Vision; Identity; Relationship; Agreement and Authorization.</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Record Stewardship; Security; Encryption; Audit; Minor protections.</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Protective</w:t>
              <w:br/>
              <w:t>Media, search, AI, reporting, vendors, integrations, offline, observability, and launch claims.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CDM-024</w:t>
              <w:br/>
              <w:t>Master Security and Trust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Identity; Permission; Privacy.</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Encryption; Audit; Vendor Security; Incident Response; Resilience.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Protective</w:t>
              <w:br/>
              <w:t>All protected systems, external architecture, integrations, operations, privileged access, and offline.</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CDM-025</w:t>
              <w:br/>
              <w:t>Master Data Protection, Encryption, and Key Management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Security and Trust; Privacy; Record Stewardship.</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Vendor Security; Resilience; Platform Operations.</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Protective</w:t>
              <w:br/>
              <w:t>Storage, transport, secrets, backups, offline data, media, and external processors.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CDM-026</w:t>
              <w:br/>
              <w:t>Master Record Stewardship and Retention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Ecosystem; Privacy; Agreement and Authorization.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Security; Encryption; Audit; Claims.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Every authoritative record, media, search, AI, reporting, finance, resilience, migration, and exit workflow.</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CDM-027</w:t>
              <w:br/>
              <w:t>Master Audit Event and Evidence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Identity; Permission; Record Stewardship; Security.</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Privacy; Claims; Communication; affected domain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Evidence for governance, transfers, finance, AI, integrations, incidents, operations, and release certification.</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CDM-028</w:t>
              <w:br/>
              <w:t>Master Claims, Disputes, and Authority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Identity; Relationship; Agreement and Authorization; Record Stewardship; Audit; Financial Truth.</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Permission; Privacy; Communication; affected domain canon.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Dispute holds, contested authority, transfer conflicts, billing disputes, correction, and escalation.</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CDM-029</w:t>
              <w:br/>
              <w:t>Master Communication, Notification, and Notice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Identity; Relationship; Agreement and Authorization; Permission; Record Stewardship.</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Privacy; Audit; Minor protections; Claims.</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Notices, alerts, receipts, emergency communication, revocation notice, transfer, incidents, and launch statements.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CDM-030</w:t>
              <w:br/>
              <w:t>Master Security Incident Response and Disclosure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Security; Privacy; Audit; Communication; Vendor Security.</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Record Stewardship; Claims; Platform Operations; Resilience.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Protective</w:t>
              <w:br/>
              <w:t>Security incident command, investigation, disclosure, containment, recovery, and post-incident evidence.</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CDM-031</w:t>
              <w:br/>
              <w:t>Master Platform Resilience, Backup, and Recovery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Product Vision; Security; Record Stewardship; Encryption; Incident Response.</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Horse Lifecycle; Financial Truth; Communication; Platform Operations.</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Backup, restore, disaster recovery, continuity, safe degradation, failover, failback, and exit.</w:t>
            </w:r>
          </w:p>
        </w:tc>
      </w:tr>
    </w:tbl>
    <w:p/>
    <w:p>
      <w:pPr>
        <w:pStyle w:val="Heading2"/>
        <w:keepNext/>
      </w:pPr>
      <w:r>
        <w:rPr>
          <w:color w:val="1F4E79"/>
        </w:rPr>
        <w:t>L4. Specialized Information and Decision Overlays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CDM-032</w:t>
              <w:br/>
              <w:t>Master Media, Files, and Digital Asset Governance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Permission; Privacy; Record Stewardship; Security; Encryption.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Audit; Agreement and Authorization; Minor protections; Search; AI.</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Upload, storage, transformation, sharing, public use, deletion, export, and derived assets.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CDM-033</w:t>
              <w:br/>
              <w:t>Master Search, Discovery, Ranking, and Retrieval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Permission; Privacy; Record Stewardship; Identity; Relationship.</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Minor protections; Media; AI; Audit.</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Indexing, autocomplete, ranking, recommendations, retrieval, public discovery, and AI grounding.</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CDM-034</w:t>
              <w:br/>
              <w:t>Master AI Governance and Decision Boundary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Permission; Privacy; Security; Record Stewardship; Audit.</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Search; Vendor Security; External Architecture; Minor protections; affected domain canon.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Protective</w:t>
              <w:br/>
              <w:t>AI extraction, drafting, summaries, recommendations, automation, provider use, and human review.</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CDM-035</w:t>
              <w:br/>
              <w:t>Master Reporting, Analytics, and Business Intelligence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Product Vision; Permission; Privacy; Record Stewardship; Audit.</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AI; Financial Truth; Search; affected domain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Reports, dashboards, analytics, metrics, exports, benchmarks, forecasts, and business intelligence.</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CDM-036</w:t>
              <w:br/>
              <w:t>Master Financial Truth and Responsibility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Identity; Relationship; Agreement and Authorization; Record Stewardship; Audit.</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Claims; Communication; Privacy; Security; External Architecture.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Billing, invoices, balances, allocations, payments, refunds, disputes, transfer obligations, and reporting.</w:t>
            </w:r>
          </w:p>
        </w:tc>
      </w:tr>
    </w:tbl>
    <w:p/>
    <w:p>
      <w:pPr>
        <w:pStyle w:val="Heading2"/>
        <w:keepNext/>
      </w:pPr>
      <w:r>
        <w:rPr>
          <w:color w:val="1F4E79"/>
        </w:rPr>
        <w:t>L5. Platform, External, and Runtime Governance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CDM-037</w:t>
              <w:br/>
              <w:t>Master External Architecture and Adapter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Ecosystem; Security; Privacy; Record Stewardship.</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Vendor Security; Permission; Audit; Agreement and Authorization.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Adapters, providers, external processors, data exchange, exit, integrations, and financial rails.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CDM-038</w:t>
              <w:br/>
              <w:t>Master Developer, Platform, and Integration Governance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External Architecture; Security; Permission; Privacy; Audit; Vendor Security.</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Record Stewardship; Configuration; Platform Operations; affected domain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APIs, integrations, credentials, webhooks, automation, devices, developer access, and lifecycle controls.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CDM-039</w:t>
              <w:br/>
              <w:t>Master Platform Extensibility and Plugin Governance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Developer and Integration Governance; External Architecture; Security; Permission; Vendor Security.</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Privacy; Record Stewardship; Audit; Configuration.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Plugin admission, publisher eligibility, scopes, marketplace behavior, embedded services, and revocation.</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CDM-040</w:t>
              <w:br/>
              <w:t>Master Vendor Security and Supply Chain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Security; Privacy; Record Stewardship; External Architecture; Agreement and Authorization.</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Audit; Incident Response; Resilience; Financial Truth.</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Protective</w:t>
              <w:br/>
              <w:t>Vendor eligibility, diligence, contracts, subprocessors, monitoring, exit, and incident obligations.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CDM-041</w:t>
              <w:br/>
              <w:t>Master Configuration and Feature Flag Governance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Permission; Audit; affected domain canon.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Security; Privacy; Platform Operations; Resilience.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Feature flags, tenant configuration, thresholds, kill switches, staged release, and rollback controls.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CDM-042</w:t>
              <w:br/>
              <w:t>Master Platform Operations, Reliability, and Release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Product Vision; Security; Configuration; Audit; Resilience.</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Privacy; Record Stewardship; Incident Response; affected domain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Environments, deployment, migrations, observability, release certification, runtime operations, and mobile distribution.</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CDM-043</w:t>
              <w:br/>
              <w:t>Native Offline Synchronization Canon and Locked Readiness Instruments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Identity; Permission; Privacy; Security; Encryption; Record Stewardship; Audit; Resilience.</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Platform Operations; affected domain canon; Configuration.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Local capture, secure storage, synchronization, conflict resolution, revocation, recovery, and offline evidence.</w:t>
            </w:r>
          </w:p>
        </w:tc>
      </w:tr>
    </w:tbl>
    <w:p/>
    <w:p>
      <w:pPr>
        <w:pStyle w:val="Heading2"/>
        <w:keepNext/>
      </w:pPr>
      <w:r>
        <w:rPr>
          <w:color w:val="1F4E79"/>
        </w:rPr>
        <w:t>L6. Governed Implementation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CDM-044</w:t>
              <w:br/>
              <w:t>Master EquineSync Implementation Atlas and Authorized RF Packages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Founder Decision Register; Controlled Canon Index; Authority Matrix; Cross Reference Index; Dependency Map; applicable substantive canon.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RF ledgers; Platform Operations; release and test evidence.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Execution</w:t>
              <w:br/>
              <w:t>Authorized technical specifications, code, schemas, migrations, integrations, tests, and release packages.</w:t>
            </w:r>
          </w:p>
        </w:tc>
      </w:tr>
    </w:tbl>
    <w:p/>
    <w:p>
      <w:pPr>
        <w:pStyle w:val="Heading1"/>
        <w:keepNext/>
      </w:pPr>
      <w:r>
        <w:rPr>
          <w:color w:val="0B2748"/>
        </w:rPr>
        <w:t>7. High-Impact Change Propagation</w:t>
      </w:r>
    </w:p>
    <w:p>
      <w:pPr>
        <w:spacing w:after="120" w:line="254" w:lineRule="auto"/>
      </w:pPr>
      <w:r>
        <w:rPr>
          <w:rFonts w:ascii="Aptos" w:hAnsi="Aptos"/>
          <w:color w:val="3C4650"/>
          <w:sz w:val="19"/>
        </w:rPr>
        <w:t>An upstream change does not automatically amend downstream canon. It triggers controlled review of every mapped dependent to determine whether definitions, ownership, permissions, evidence, workflows, tests, or release gates must be revised.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Changed Authority</w:t>
            </w:r>
          </w:p>
        </w:tc>
        <w:tc>
          <w:tcPr>
            <w:tcW w:type="dxa" w:w="7488"/>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Mandatory Downstream Review</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Identity Model</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Relationship, Agreement, Minor, Permission, Audit, Communication, Search, Financial, Integrations, Offline</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Relationship Model</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Agreement, Permission, Horse Transfer, Barn, Business, Financial, Claims, Communication, delegated assistance</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Permission Model</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Every protected domain, Privacy application, Media, Search, AI, Reporting, Integrations, Plugins, Administration, Offline</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Privacy Model</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Record, Security, Encryption, Media, Search, AI, Reporting, Vendors, Integrations, Observability, Offline, Launch claims</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Record Stewardship</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Audit, Media, Search, AI, Reporting, Financial, Resilience, Migrations, Offline, Tenant exit</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Security and Trust</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Encryption, Incident Response, Vendor Security, External Architecture, Operations, Resilience, Offline, privileged administration</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Horse Lifecycle</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Horse Transfer, Barn Operations, Calendar, Reporting, Resilience priorities, record continuity</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Financial Truth</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Business lifecycle, Horse Transfer, Claims, Reporting, Resilience, payment integrations, notices</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External Architecture</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Developer governance, Plugins, Vendors, AI providers, financial rails, operational isolation, exit capability</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Platform Operations</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Configuration, Resilience, Offline, release certification, migrations, observability, implementation packages</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AI Governance</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Search, Reporting, Media transformation, Vendor controls, human review, evidence, product claims</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Minor and Guardian Canon</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Permission, Search, Media, AI, Reporting, Communication, delegated-assistance workflows</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Founder Decision or Canon Status</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Controlled Canon Index, all support artifacts, RF ledgers, implementation authority, publication and launch posture</w:t>
            </w:r>
          </w:p>
        </w:tc>
      </w:tr>
    </w:tbl>
    <w:p/>
    <w:p>
      <w:pPr>
        <w:pStyle w:val="Heading1"/>
        <w:keepNext/>
      </w:pPr>
      <w:r>
        <w:rPr>
          <w:color w:val="0B2748"/>
        </w:rPr>
        <w:t>8. Coupled-Review Pairs</w:t>
      </w:r>
    </w:p>
    <w:p>
      <w:pPr>
        <w:spacing w:after="120" w:line="254" w:lineRule="auto"/>
      </w:pPr>
      <w:r>
        <w:rPr>
          <w:rFonts w:ascii="Aptos" w:hAnsi="Aptos"/>
          <w:color w:val="3C4650"/>
          <w:sz w:val="19"/>
        </w:rPr>
        <w:t>The following pairs have strong mutual operational dependence. They require coordinated review, but they do not create circular constitutional amendment authority.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Canon Pair</w:t>
            </w:r>
          </w:p>
        </w:tc>
        <w:tc>
          <w:tcPr>
            <w:tcW w:type="dxa" w:w="7056"/>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Co-Review Rule</w:t>
            </w:r>
          </w:p>
        </w:tc>
      </w:tr>
      <w:tr>
        <w:tc>
          <w:tcPr>
            <w:tcW w:type="dxa" w:w="2880"/>
            <w:vAlign w:val="center"/>
            <w:tcMar>
              <w:top w:w="70" w:type="dxa"/>
              <w:start w:w="80" w:type="dxa"/>
              <w:bottom w:w="70" w:type="dxa"/>
              <w:end w:w="80" w:type="dxa"/>
            </w:tcMar>
            <w:shd w:fill="FFFFFF" w:val="clear"/>
          </w:tcPr>
          <w:p>
            <w:pPr>
              <w:spacing w:after="0" w:before="0"/>
            </w:pPr>
            <w:r/>
            <w:r>
              <w:rPr>
                <w:rFonts w:ascii="Aptos" w:hAnsi="Aptos"/>
                <w:b w:val="0"/>
                <w:color w:val="3C4650"/>
                <w:sz w:val="16"/>
              </w:rPr>
              <w:t>Privacy and Record Stewardship</w:t>
            </w:r>
          </w:p>
        </w:tc>
        <w:tc>
          <w:tcPr>
            <w:tcW w:type="dxa" w:w="7056"/>
            <w:vAlign w:val="center"/>
            <w:tcMar>
              <w:top w:w="70" w:type="dxa"/>
              <w:start w:w="80" w:type="dxa"/>
              <w:bottom w:w="70" w:type="dxa"/>
              <w:end w:w="80" w:type="dxa"/>
            </w:tcMar>
            <w:shd w:fill="FFFFFF" w:val="clear"/>
          </w:tcPr>
          <w:p>
            <w:pPr>
              <w:spacing w:after="0" w:before="0"/>
            </w:pPr>
            <w:r/>
            <w:r>
              <w:rPr>
                <w:rFonts w:ascii="Aptos" w:hAnsi="Aptos"/>
                <w:b w:val="0"/>
                <w:color w:val="3C4650"/>
                <w:sz w:val="16"/>
              </w:rPr>
              <w:t>Privacy determines lawful processing and disclosure; stewardship determines authority, retention, correction, deletion, and continuity. Each change requires co-review.</w:t>
            </w:r>
          </w:p>
        </w:tc>
      </w:tr>
      <w:tr>
        <w:tc>
          <w:tcPr>
            <w:tcW w:type="dxa" w:w="2880"/>
            <w:vAlign w:val="center"/>
            <w:tcMar>
              <w:top w:w="70" w:type="dxa"/>
              <w:start w:w="80" w:type="dxa"/>
              <w:bottom w:w="70" w:type="dxa"/>
              <w:end w:w="80" w:type="dxa"/>
            </w:tcMar>
            <w:shd w:fill="F3F5F7" w:val="clear"/>
          </w:tcPr>
          <w:p>
            <w:pPr>
              <w:spacing w:after="0" w:before="0"/>
            </w:pPr>
            <w:r/>
            <w:r>
              <w:rPr>
                <w:rFonts w:ascii="Aptos" w:hAnsi="Aptos"/>
                <w:b w:val="0"/>
                <w:color w:val="3C4650"/>
                <w:sz w:val="16"/>
              </w:rPr>
              <w:t>Security and Encryption</w:t>
            </w:r>
          </w:p>
        </w:tc>
        <w:tc>
          <w:tcPr>
            <w:tcW w:type="dxa" w:w="7056"/>
            <w:vAlign w:val="center"/>
            <w:tcMar>
              <w:top w:w="70" w:type="dxa"/>
              <w:start w:w="80" w:type="dxa"/>
              <w:bottom w:w="70" w:type="dxa"/>
              <w:end w:w="80" w:type="dxa"/>
            </w:tcMar>
            <w:shd w:fill="F3F5F7" w:val="clear"/>
          </w:tcPr>
          <w:p>
            <w:pPr>
              <w:spacing w:after="0" w:before="0"/>
            </w:pPr>
            <w:r/>
            <w:r>
              <w:rPr>
                <w:rFonts w:ascii="Aptos" w:hAnsi="Aptos"/>
                <w:b w:val="0"/>
                <w:color w:val="3C4650"/>
                <w:sz w:val="16"/>
              </w:rPr>
              <w:t>Security defines risk and protection duties; encryption defines the cryptographic mechanisms and key lifecycle. Neither silently replaces the other.</w:t>
            </w:r>
          </w:p>
        </w:tc>
      </w:tr>
      <w:tr>
        <w:tc>
          <w:tcPr>
            <w:tcW w:type="dxa" w:w="2880"/>
            <w:vAlign w:val="center"/>
            <w:tcMar>
              <w:top w:w="70" w:type="dxa"/>
              <w:start w:w="80" w:type="dxa"/>
              <w:bottom w:w="70" w:type="dxa"/>
              <w:end w:w="80" w:type="dxa"/>
            </w:tcMar>
            <w:shd w:fill="FFFFFF" w:val="clear"/>
          </w:tcPr>
          <w:p>
            <w:pPr>
              <w:spacing w:after="0" w:before="0"/>
            </w:pPr>
            <w:r/>
            <w:r>
              <w:rPr>
                <w:rFonts w:ascii="Aptos" w:hAnsi="Aptos"/>
                <w:b w:val="0"/>
                <w:color w:val="3C4650"/>
                <w:sz w:val="16"/>
              </w:rPr>
              <w:t>Platform Operations and Resilience</w:t>
            </w:r>
          </w:p>
        </w:tc>
        <w:tc>
          <w:tcPr>
            <w:tcW w:type="dxa" w:w="7056"/>
            <w:vAlign w:val="center"/>
            <w:tcMar>
              <w:top w:w="70" w:type="dxa"/>
              <w:start w:w="80" w:type="dxa"/>
              <w:bottom w:w="70" w:type="dxa"/>
              <w:end w:w="80" w:type="dxa"/>
            </w:tcMar>
            <w:shd w:fill="FFFFFF" w:val="clear"/>
          </w:tcPr>
          <w:p>
            <w:pPr>
              <w:spacing w:after="0" w:before="0"/>
            </w:pPr>
            <w:r/>
            <w:r>
              <w:rPr>
                <w:rFonts w:ascii="Aptos" w:hAnsi="Aptos"/>
                <w:b w:val="0"/>
                <w:color w:val="3C4650"/>
                <w:sz w:val="16"/>
              </w:rPr>
              <w:t>Operations controls release and runtime discipline; resilience controls continuity, recovery, and safe degradation. They are co-reviewed without creating circular amendment authority.</w:t>
            </w:r>
          </w:p>
        </w:tc>
      </w:tr>
      <w:tr>
        <w:tc>
          <w:tcPr>
            <w:tcW w:type="dxa" w:w="2880"/>
            <w:vAlign w:val="center"/>
            <w:tcMar>
              <w:top w:w="70" w:type="dxa"/>
              <w:start w:w="80" w:type="dxa"/>
              <w:bottom w:w="70" w:type="dxa"/>
              <w:end w:w="80" w:type="dxa"/>
            </w:tcMar>
            <w:shd w:fill="F3F5F7" w:val="clear"/>
          </w:tcPr>
          <w:p>
            <w:pPr>
              <w:spacing w:after="0" w:before="0"/>
            </w:pPr>
            <w:r/>
            <w:r>
              <w:rPr>
                <w:rFonts w:ascii="Aptos" w:hAnsi="Aptos"/>
                <w:b w:val="0"/>
                <w:color w:val="3C4650"/>
                <w:sz w:val="16"/>
              </w:rPr>
              <w:t>External Architecture and Vendor Security</w:t>
            </w:r>
          </w:p>
        </w:tc>
        <w:tc>
          <w:tcPr>
            <w:tcW w:type="dxa" w:w="7056"/>
            <w:vAlign w:val="center"/>
            <w:tcMar>
              <w:top w:w="70" w:type="dxa"/>
              <w:start w:w="80" w:type="dxa"/>
              <w:bottom w:w="70" w:type="dxa"/>
              <w:end w:w="80" w:type="dxa"/>
            </w:tcMar>
            <w:shd w:fill="F3F5F7" w:val="clear"/>
          </w:tcPr>
          <w:p>
            <w:pPr>
              <w:spacing w:after="0" w:before="0"/>
            </w:pPr>
            <w:r/>
            <w:r>
              <w:rPr>
                <w:rFonts w:ascii="Aptos" w:hAnsi="Aptos"/>
                <w:b w:val="0"/>
                <w:color w:val="3C4650"/>
                <w:sz w:val="16"/>
              </w:rPr>
              <w:t>Architecture controls provider-neutral boundaries and adapters; vendor governance controls processor eligibility, diligence, contracts, monitoring, and exit.</w:t>
            </w:r>
          </w:p>
        </w:tc>
      </w:tr>
      <w:tr>
        <w:tc>
          <w:tcPr>
            <w:tcW w:type="dxa" w:w="2880"/>
            <w:vAlign w:val="center"/>
            <w:tcMar>
              <w:top w:w="70" w:type="dxa"/>
              <w:start w:w="80" w:type="dxa"/>
              <w:bottom w:w="70" w:type="dxa"/>
              <w:end w:w="80" w:type="dxa"/>
            </w:tcMar>
            <w:shd w:fill="FFFFFF" w:val="clear"/>
          </w:tcPr>
          <w:p>
            <w:pPr>
              <w:spacing w:after="0" w:before="0"/>
            </w:pPr>
            <w:r/>
            <w:r>
              <w:rPr>
                <w:rFonts w:ascii="Aptos" w:hAnsi="Aptos"/>
                <w:b w:val="0"/>
                <w:color w:val="3C4650"/>
                <w:sz w:val="16"/>
              </w:rPr>
              <w:t>Financial Truth and Claims</w:t>
            </w:r>
          </w:p>
        </w:tc>
        <w:tc>
          <w:tcPr>
            <w:tcW w:type="dxa" w:w="7056"/>
            <w:vAlign w:val="center"/>
            <w:tcMar>
              <w:top w:w="70" w:type="dxa"/>
              <w:start w:w="80" w:type="dxa"/>
              <w:bottom w:w="70" w:type="dxa"/>
              <w:end w:w="80" w:type="dxa"/>
            </w:tcMar>
            <w:shd w:fill="FFFFFF" w:val="clear"/>
          </w:tcPr>
          <w:p>
            <w:pPr>
              <w:spacing w:after="0" w:before="0"/>
            </w:pPr>
            <w:r/>
            <w:r>
              <w:rPr>
                <w:rFonts w:ascii="Aptos" w:hAnsi="Aptos"/>
                <w:b w:val="0"/>
                <w:color w:val="3C4650"/>
                <w:sz w:val="16"/>
              </w:rPr>
              <w:t>Financial canon owns the ledger and responsibility; claims canon owns contested facts, holds, dispute handling, and resolution evidence.</w:t>
            </w:r>
          </w:p>
        </w:tc>
      </w:tr>
      <w:tr>
        <w:tc>
          <w:tcPr>
            <w:tcW w:type="dxa" w:w="2880"/>
            <w:vAlign w:val="center"/>
            <w:tcMar>
              <w:top w:w="70" w:type="dxa"/>
              <w:start w:w="80" w:type="dxa"/>
              <w:bottom w:w="70" w:type="dxa"/>
              <w:end w:w="80" w:type="dxa"/>
            </w:tcMar>
            <w:shd w:fill="F3F5F7" w:val="clear"/>
          </w:tcPr>
          <w:p>
            <w:pPr>
              <w:spacing w:after="0" w:before="0"/>
            </w:pPr>
            <w:r/>
            <w:r>
              <w:rPr>
                <w:rFonts w:ascii="Aptos" w:hAnsi="Aptos"/>
                <w:b w:val="0"/>
                <w:color w:val="3C4650"/>
                <w:sz w:val="16"/>
              </w:rPr>
              <w:t>Horse Lifecycle and Record Stewardship</w:t>
            </w:r>
          </w:p>
        </w:tc>
        <w:tc>
          <w:tcPr>
            <w:tcW w:type="dxa" w:w="7056"/>
            <w:vAlign w:val="center"/>
            <w:tcMar>
              <w:top w:w="70" w:type="dxa"/>
              <w:start w:w="80" w:type="dxa"/>
              <w:bottom w:w="70" w:type="dxa"/>
              <w:end w:w="80" w:type="dxa"/>
            </w:tcMar>
            <w:shd w:fill="F3F5F7" w:val="clear"/>
          </w:tcPr>
          <w:p>
            <w:pPr>
              <w:spacing w:after="0" w:before="0"/>
            </w:pPr>
            <w:r/>
            <w:r>
              <w:rPr>
                <w:rFonts w:ascii="Aptos" w:hAnsi="Aptos"/>
                <w:b w:val="0"/>
                <w:color w:val="3C4650"/>
                <w:sz w:val="16"/>
              </w:rPr>
              <w:t>Horse canon owns permanent identity and continuity; stewardship owns the records that evidence and preserve that truth.</w:t>
            </w:r>
          </w:p>
        </w:tc>
      </w:tr>
    </w:tbl>
    <w:p/>
    <w:p>
      <w:pPr>
        <w:pStyle w:val="Heading1"/>
        <w:keepNext/>
      </w:pPr>
      <w:r>
        <w:rPr>
          <w:color w:val="0B2748"/>
        </w:rPr>
        <w:t>9. Dependency and Cycle-Control Rules</w:t>
      </w:r>
    </w:p>
    <w:p>
      <w:pPr>
        <w:pStyle w:val="ListBullet"/>
        <w:spacing w:after="40"/>
      </w:pPr>
      <w:r>
        <w:rPr>
          <w:rFonts w:ascii="Aptos" w:hAnsi="Aptos"/>
          <w:color w:val="3C4650"/>
          <w:sz w:val="18"/>
        </w:rPr>
        <w:t>A lower layer may implement a higher layer but may not amend, waive, contradict, or broaden it.</w:t>
      </w:r>
    </w:p>
    <w:p>
      <w:pPr>
        <w:pStyle w:val="ListBullet"/>
        <w:spacing w:after="40"/>
      </w:pPr>
      <w:r>
        <w:rPr>
          <w:rFonts w:ascii="Aptos" w:hAnsi="Aptos"/>
          <w:color w:val="3C4650"/>
          <w:sz w:val="18"/>
        </w:rPr>
        <w:t>A protective overlay may narrow or block action without becoming the primary subject-matter owner.</w:t>
      </w:r>
    </w:p>
    <w:p>
      <w:pPr>
        <w:pStyle w:val="ListBullet"/>
        <w:spacing w:after="40"/>
      </w:pPr>
      <w:r>
        <w:rPr>
          <w:rFonts w:ascii="Aptos" w:hAnsi="Aptos"/>
          <w:color w:val="3C4650"/>
          <w:sz w:val="18"/>
        </w:rPr>
        <w:t>Where two artifacts appear mutually dependent, separate the relationship into subject ownership, protective constraint, evidence, and execution before treating it as a cycle.</w:t>
      </w:r>
    </w:p>
    <w:p>
      <w:pPr>
        <w:pStyle w:val="ListBullet"/>
        <w:spacing w:after="40"/>
      </w:pPr>
      <w:r>
        <w:rPr>
          <w:rFonts w:ascii="Aptos" w:hAnsi="Aptos"/>
          <w:color w:val="3C4650"/>
          <w:sz w:val="18"/>
        </w:rPr>
        <w:t>True circular authority is prohibited. Unresolved cycles must enter controlled reconciliation before adoption, implementation, migration, or activation.</w:t>
      </w:r>
    </w:p>
    <w:p>
      <w:pPr>
        <w:pStyle w:val="ListBullet"/>
        <w:spacing w:after="40"/>
      </w:pPr>
      <w:r>
        <w:rPr>
          <w:rFonts w:ascii="Aptos" w:hAnsi="Aptos"/>
          <w:color w:val="3C4650"/>
          <w:sz w:val="18"/>
        </w:rPr>
        <w:t>A database field, route, role label, user interface, provider feature, model output, operational practice, or existing code path is never an upstream constitutional authority.</w:t>
      </w:r>
    </w:p>
    <w:p>
      <w:pPr>
        <w:pStyle w:val="ListBullet"/>
        <w:spacing w:after="40"/>
      </w:pPr>
      <w:r>
        <w:rPr>
          <w:rFonts w:ascii="Aptos" w:hAnsi="Aptos"/>
          <w:color w:val="3C4650"/>
          <w:sz w:val="18"/>
        </w:rPr>
        <w:t>A change to an upstream canon triggers review, not automatic amendment, of every mapped downstream family.</w:t>
      </w:r>
    </w:p>
    <w:p>
      <w:pPr>
        <w:pStyle w:val="ListBullet"/>
        <w:spacing w:after="40"/>
      </w:pPr>
      <w:r>
        <w:rPr>
          <w:rFonts w:ascii="Aptos" w:hAnsi="Aptos"/>
          <w:color w:val="3C4650"/>
          <w:sz w:val="18"/>
        </w:rPr>
        <w:t>The newest-version rule resolves to the active substantive successor supported by lifecycle evidence. A filename or version suffix alone is insufficient.</w:t>
      </w:r>
    </w:p>
    <w:p>
      <w:pPr>
        <w:pStyle w:val="ListBullet"/>
        <w:spacing w:after="40"/>
      </w:pPr>
      <w:r>
        <w:rPr>
          <w:rFonts w:ascii="Aptos" w:hAnsi="Aptos"/>
          <w:color w:val="3C4650"/>
          <w:sz w:val="18"/>
        </w:rPr>
        <w:t>Implementation and production remain separate gates. A complete dependency chain does not itself authorize execution.</w:t>
      </w:r>
    </w:p>
    <w:p>
      <w:pPr>
        <w:pStyle w:val="Heading1"/>
        <w:keepNext/>
      </w:pPr>
      <w:r>
        <w:rPr>
          <w:color w:val="0B2748"/>
        </w:rPr>
        <w:t>10. Maintenance Triggers</w:t>
      </w:r>
    </w:p>
    <w:p>
      <w:pPr>
        <w:pStyle w:val="ListBullet"/>
        <w:spacing w:after="40"/>
      </w:pPr>
      <w:r>
        <w:rPr>
          <w:rFonts w:ascii="Aptos" w:hAnsi="Aptos"/>
          <w:color w:val="3C4650"/>
          <w:sz w:val="18"/>
        </w:rPr>
        <w:t>A canon is added, adopted, locked, superseded, renamed, split, merged, or retired.</w:t>
      </w:r>
    </w:p>
    <w:p>
      <w:pPr>
        <w:pStyle w:val="ListBullet"/>
        <w:spacing w:after="40"/>
      </w:pPr>
      <w:r>
        <w:rPr>
          <w:rFonts w:ascii="Aptos" w:hAnsi="Aptos"/>
          <w:color w:val="3C4650"/>
          <w:sz w:val="18"/>
        </w:rPr>
        <w:t>The Authority Matrix changes primary ownership or precedence for a subject.</w:t>
      </w:r>
    </w:p>
    <w:p>
      <w:pPr>
        <w:pStyle w:val="ListBullet"/>
        <w:spacing w:after="40"/>
      </w:pPr>
      <w:r>
        <w:rPr>
          <w:rFonts w:ascii="Aptos" w:hAnsi="Aptos"/>
          <w:color w:val="3C4650"/>
          <w:sz w:val="18"/>
        </w:rPr>
        <w:t>The Cross Reference Index adds or removes a mandatory reading set.</w:t>
      </w:r>
    </w:p>
    <w:p>
      <w:pPr>
        <w:pStyle w:val="ListBullet"/>
        <w:spacing w:after="40"/>
      </w:pPr>
      <w:r>
        <w:rPr>
          <w:rFonts w:ascii="Aptos" w:hAnsi="Aptos"/>
          <w:color w:val="3C4650"/>
          <w:sz w:val="18"/>
        </w:rPr>
        <w:t>A definition changes in a way that affects a dependency boundary.</w:t>
      </w:r>
    </w:p>
    <w:p>
      <w:pPr>
        <w:pStyle w:val="ListBullet"/>
        <w:spacing w:after="40"/>
      </w:pPr>
      <w:r>
        <w:rPr>
          <w:rFonts w:ascii="Aptos" w:hAnsi="Aptos"/>
          <w:color w:val="3C4650"/>
          <w:sz w:val="18"/>
        </w:rPr>
        <w:t>An RF identifies a new blocking prerequisite, unresolved collision, or implementation dependency.</w:t>
      </w:r>
    </w:p>
    <w:p>
      <w:pPr>
        <w:pStyle w:val="ListBullet"/>
        <w:spacing w:after="40"/>
      </w:pPr>
      <w:r>
        <w:rPr>
          <w:rFonts w:ascii="Aptos" w:hAnsi="Aptos"/>
          <w:color w:val="3C4650"/>
          <w:sz w:val="18"/>
        </w:rPr>
        <w:t>A release, migration, integration, vendor, AI provider, or offline design exposes a missing constitutional dependency.</w:t>
      </w:r>
    </w:p>
    <w:p>
      <w:pPr>
        <w:pStyle w:val="ListBullet"/>
        <w:spacing w:after="40"/>
      </w:pPr>
      <w:r>
        <w:rPr>
          <w:rFonts w:ascii="Aptos" w:hAnsi="Aptos"/>
          <w:color w:val="3C4650"/>
          <w:sz w:val="18"/>
        </w:rPr>
        <w:t>A court order, law, regulation, professional duty, welfare requirement, or safeguarding obligation changes the governing hierarchy.</w:t>
      </w:r>
    </w:p>
    <w:p>
      <w:pPr>
        <w:pStyle w:val="Heading1"/>
        <w:keepNext/>
      </w:pPr>
      <w:r>
        <w:rPr>
          <w:color w:val="0B2748"/>
        </w:rPr>
        <w:t>11. Lifecycle and Authority Boundary</w:t>
      </w:r>
    </w:p>
    <w:tbl>
      <w:tblPr>
        <w:tblW w:type="auto" w:w="0"/>
        <w:jc w:val="center"/>
        <w:tblLook w:firstColumn="1" w:firstRow="1" w:lastColumn="0" w:lastRow="0" w:noHBand="0" w:noVBand="1" w:val="04A0"/>
      </w:tblPr>
      <w:tblGrid>
        <w:gridCol w:w="10166"/>
      </w:tblGrid>
      <w:tr>
        <w:tc>
          <w:tcPr>
            <w:tcW w:type="dxa" w:w="10166"/>
            <w:shd w:fill="F7E8E8" w:val="clear"/>
            <w:vAlign w:val="center"/>
            <w:tcMar>
              <w:top w:w="70" w:type="dxa"/>
              <w:start w:w="80" w:type="dxa"/>
              <w:bottom w:w="70" w:type="dxa"/>
              <w:end w:w="80" w:type="dxa"/>
            </w:tcMar>
            <w:tcBorders>
              <w:top w:val="single" w:sz="8" w:color="A64646"/>
              <w:left w:val="single" w:sz="8" w:color="A64646"/>
              <w:bottom w:val="single" w:sz="8" w:color="A64646"/>
              <w:right w:val="single" w:sz="8" w:color="A64646"/>
            </w:tcBorders>
          </w:tcPr>
          <w:p>
            <w:pPr>
              <w:spacing w:after="0" w:before="0"/>
            </w:pPr>
            <w:r/>
            <w:r>
              <w:rPr>
                <w:rFonts w:ascii="Aptos" w:hAnsi="Aptos"/>
                <w:b/>
                <w:color w:val="0B2748"/>
                <w:sz w:val="18"/>
              </w:rPr>
              <w:t>This artifact remains a Controlled Draft for Founder Review. It grants no canon adoption, canon lock, implementation authority, schema mutation, migration, provider activation, production access, public publication, public trust representation, or public launch.</w:t>
            </w:r>
          </w:p>
        </w:tc>
      </w:tr>
    </w:tbl>
    <w:p/>
    <w:p>
      <w:pPr>
        <w:spacing w:after="120" w:line="254" w:lineRule="auto"/>
      </w:pPr>
      <w:r>
        <w:rPr>
          <w:rFonts w:ascii="Aptos" w:hAnsi="Aptos"/>
          <w:color w:val="3C4650"/>
          <w:sz w:val="19"/>
        </w:rPr>
        <w:t>Any use for implementation sequencing must first resolve the active canon versions, founder authority, RF scope, affected domain canon, test obligations, and applicable release gate.</w:t>
      </w:r>
    </w:p>
    <w:p>
      <w:pPr>
        <w:pStyle w:val="Heading1"/>
        <w:keepNext/>
      </w:pPr>
      <w:r>
        <w:rPr>
          <w:color w:val="0B2748"/>
        </w:rPr>
        <w:t>Appendix A. Node Purpose Index</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w:t>
            </w:r>
          </w:p>
        </w:tc>
        <w:tc>
          <w:tcPr>
            <w:tcW w:type="dxa" w:w="3528"/>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Constitutional Family</w:t>
            </w:r>
          </w:p>
        </w:tc>
        <w:tc>
          <w:tcPr>
            <w:tcW w:type="dxa" w:w="540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Constitutional Function</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CDM-001</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Founder Decision Register and Adoption Evidence</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Preserves the authoritative decision text, scope, disposition, and authority granted or withheld.</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CDM-002</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Controlled Canon Index and Constitutional Completeness Register</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Identifies the active constitutional family member and its lifecycle posture.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CDM-003</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RF Ledgers and Controlled Review Evidence</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Preserves scoped review, reconciliation, findings, acceptance, and lock evidence.</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CDM-004</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Product Vision</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Defines why EquineSync exists, its enduring promises, and non-negotiable boundaries.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CDM-005</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Ecosystem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Defines the major entities, systems, and structural relationships in the EquineSync ecosystem.</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CDM-006</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Constitutional Domain Ownership and Boundary Register</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Assigns primary constitutional ownership and prevents duplicate or silent control.</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CDM-007</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Constitutional Vocabulary and Definitions Index</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Maintains consolidated definitions, aliases, source ownership, and anti-drift rules.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CDM-008</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Cross-Canon Reference Normalization Register</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Maps legacy names, aliases, and stale references to the correct constitutional family.</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CDM-009</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Constitutional Authority Matrix</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Assigns the primary constitutional owner for each governance subject and records precedence.</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CDM-010</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Constitutional Cross Reference Index</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Routes a topic to its primary canon and mandatory companion authorities.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CDM-011</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Canon Dependency Map</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Shows what must exist first, what must be read together, and what must be revalidated after change.</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CDM-012</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Horse Lifecycle and Passport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permanent horse identity, passport continuity, lifecycle state, and historical dignity.</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CDM-013</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Horse Transfer and Continuity Policy</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transfer initiation, approvals, effective timing, disputed transfer, custody transition, and record continuity.</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CDM-014</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Facility Domain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Defines facility identity, structure, authority boundaries, spaces, and facility-linked truth.</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CDM-015</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Barn Lifecycle and Operations Canon</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barn lifecycle, operational roles, care execution, task truth, and facility-linked operations.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CDM-016</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Business Lifecycle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business and organization lifecycle states and their constitutional consequences.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CDM-017</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Identity, Account, and Actor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person, account, actor, credential, authentication, and actor-attribution distinctions.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CDM-018</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Relationship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legal, operational, care, service, ownership, organizational, and delegated relationships.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CDM-019</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Agreement, Consent, and Authorization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Distinguishes consent, assent, authorization, agreement, delegation, revocation, and proof.</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CDM-020</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Minor, Guardian, Safeguarding, and Delegated-Assistance Canon</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heightened protections for minors, guardians, safeguarding, and task-limited delegated assistance.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CDM-021</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RF29 Calendar Domain Canon</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calendar event truth, domain ownership, scheduling relationships, and calendar projections.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CDM-022</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Permission and Access-Control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authorization, least privilege, scope, delegation, revocation, emergency access, and enforcement boundaries.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CDM-023</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Privacy and Data Protection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lawful and purpose-limited processing, minimization, disclosure, data-subject rights, and privacy boundaries.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CDM-024</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Security and Trust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security posture, threat boundaries, privileged access, secure development, and trust claims.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CDM-025</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Data Protection, Encryption, and Key Management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cryptographic protection, key lifecycle, secrets, tokenization, and cryptographic deletion boundaries.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CDM-026</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Record Stewardship and Retention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record authority, stewardship, retention, legal hold, correction, deletion, export, and continuity.</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CDM-027</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Audit Event and Evidence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attributable events, evidence integrity, auditability, correction, review, and evidentiary boundaries.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CDM-028</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Claims, Disputes, and Authority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claims, contested authority, dispute handling, hold effects, and resolution evidence.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CDM-029</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Communication, Notification, and Notice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message classes, notices, delivery, proof, recipient scope, preferences, and communication boundaries.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CDM-030</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Security Incident Response and Disclosure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security incident classification, command, investigation, notification, disclosure, and closure.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CDM-031</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Platform Resilience, Backup, and Recovery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continuity architecture, recovery evidence, safe degradation, and welfare-sensitive restoration priorities.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CDM-032</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Media, Files, and Digital Asset Governance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digital-asset identity, provenance, access, transformation, retention, distribution, and lifecycle.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CDM-033</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Search, Discovery, Ranking, and Retrieval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search visibility, retrieval scope, ranking boundaries, protected exclusions, and permission inheritance.</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CDM-034</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AI Governance and Decision Boundary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AI purpose, permitted uses, prohibited authority, labeling, evidence, uncertainty, review, and provider boundaries.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CDM-035</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Reporting, Analytics, and Business Intelligence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report truth, aggregation, metric definitions, derived insights, export, and cross-tenant restrictions.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CDM-036</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Financial Truth and Responsibility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financial facts, responsibility, ledger truth, payment state, correction, reconciliation, and evidence.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CDM-037</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External Architecture and Adapter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provider-neutral architecture, adapter boundaries, external truth, substitution, isolation, and exit.</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CDM-038</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Developer, Platform, and Integration Governance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integration classification, developer eligibility, credentials, least privilege, data use, and lifecycle.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CDM-039</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Platform Extensibility and Plugin Governance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extensibility boundaries, plugin risk, publisher eligibility, permissions, derived data, and marketplace governance.</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CDM-040</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Vendor Security and Supply Chain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vendor security, processor diligence, supply-chain risk, contractual controls, monitoring, and exit.</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CDM-041</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Configuration and Feature Flag Governance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configuration authority, change classification, approvals, evidence, defaults, and safe rollback.</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CDM-042</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Platform Operations, Reliability, and Release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operational readiness, environment separation, change control, release gates, telemetry, and production discipline.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CDM-043</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Native Offline Synchronization Canon and Locked Readiness Instruments</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offline authority, local-state boundaries, synchronization, revocation, conflict handling, and recovery.</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CDM-044</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EquineSync Implementation Atlas and Authorized RF Packages</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Translates controlling canon into dependency-aware work packages without creating policy or authority by itself.</w:t>
            </w:r>
          </w:p>
        </w:tc>
      </w:tr>
    </w:tbl>
    <w:p/>
    <w:sectPr>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3C4650"/>
        <w:sz w:val="14"/>
      </w:rPr>
      <w:t xml:space="preserve">Canon Dependency Map V1.0 | Controlled Draft | No Implementation Authority | Page </w:t>
    </w:r>
    <w:r>
      <w:rPr>
        <w:rFonts w:ascii="Aptos" w:hAnsi="Aptos"/>
        <w:color w:val="3C4650"/>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2" w:color="9DB2C5"/>
      </w:pBdr>
    </w:pPr>
    <w:r>
      <w:rPr>
        <w:rFonts w:ascii="Aptos" w:hAnsi="Aptos"/>
        <w:b/>
        <w:color w:val="1F4E79"/>
        <w:sz w:val="15"/>
      </w:rPr>
      <w:t>EQUINESYNC | CONSTITUTIONAL GOVERNANCE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274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27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EquineSync Canon Dependency Map V1.0</dc:title>
  <dc:subject>Constitutional support artifact mapping upstream dependencies, co-review overlays, and change propagation.</dc:subject>
  <dc:creator/>
  <cp:keywords>EquineSync, constitutional canon, dependency map, governance, traceability</cp:keywords>
  <dc:description>Controlled Draft for Founder Review. No implementation, production, or launch authority.</dc:description>
  <cp:lastModifiedBy/>
  <cp:revision>1</cp:revision>
  <dcterms:created xsi:type="dcterms:W3CDTF">2013-12-23T23:15:00Z</dcterms:created>
  <dcterms:modified xsi:type="dcterms:W3CDTF">2013-12-23T23:15:00Z</dcterms:modified>
  <cp:category/>
</cp:coreProperties>
</file>