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f688a49806ce295930cd1dc9c012365d6895d1e"/>
    <w:p>
      <w:pPr>
        <w:pStyle w:val="Heading1"/>
        <w:keepNext/>
        <w:keepLines/>
      </w:pPr>
      <w:r>
        <w:t xml:space="preserve">EquineSync Item 07 Lessons, Training, Riders, and Guardians PIA</w:t>
      </w:r>
    </w:p>
    <w:bookmarkStart w:id="20" w:name="X4dedda9a43bda3ac631f6a1fcb6b75ee56e2feb"/>
    <w:p>
      <w:pPr>
        <w:pStyle w:val="Heading2"/>
        <w:keepNext/>
        <w:keepLines/>
      </w:pPr>
      <w:r>
        <w:t xml:space="preserve">V0.1 Internal Review and V0.2 Revision Report</w:t>
      </w:r>
    </w:p>
    <w:p>
      <w:pPr>
        <w:pStyle w:val="FirstParagraph"/>
        <w:keepNext w:val="0"/>
        <w:keepLines/>
        <w:spacing w:after="60" w:line="247" w:lineRule="auto"/>
      </w:pPr>
      <w:r>
        <w:rPr>
          <w:b/>
          <w:bCs/>
        </w:rPr>
        <w:t xml:space="preserve">Review ID:</w:t>
      </w:r>
      <w:r>
        <w:t xml:space="preserve"> </w:t>
      </w:r>
      <w:r>
        <w:rPr>
          <w:rStyle w:val="VerbatimChar"/>
        </w:rPr>
        <w:t xml:space="preserve">ES-PIA-LTRG-IR-2026-07-22-01</w:t>
      </w:r>
      <w:r>
        <w:br/>
      </w:r>
      <w:r>
        <w:rPr>
          <w:b/>
          <w:bCs/>
        </w:rPr>
        <w:t xml:space="preserve">Reviewed artifact:</w:t>
      </w:r>
      <w:r>
        <w:t xml:space="preserve"> </w:t>
      </w:r>
      <w:r>
        <w:rPr>
          <w:rStyle w:val="VerbatimChar"/>
        </w:rPr>
        <w:t xml:space="preserve">EquineSync_Item_07_Lessons_Training_Riders_Guardians_PIA_V0_1_Draft.md</w:t>
      </w:r>
      <w:r>
        <w:br/>
      </w:r>
      <w:r>
        <w:rPr>
          <w:b/>
          <w:bCs/>
        </w:rPr>
        <w:t xml:space="preserve">Reviewed SHA-256:</w:t>
      </w:r>
      <w:r>
        <w:t xml:space="preserve"> </w:t>
      </w:r>
      <w:r>
        <w:rPr>
          <w:rStyle w:val="VerbatimChar"/>
        </w:rPr>
        <w:t xml:space="preserve">e70ac9a7dbac23ef537c7675b4363d4e9ea374886ce6bb03bc6b4764368ceaa2</w:t>
      </w:r>
      <w:r>
        <w:br/>
      </w:r>
      <w:r>
        <w:rPr>
          <w:b/>
          <w:bCs/>
        </w:rPr>
        <w:t xml:space="preserve">Successor artifact:</w:t>
      </w:r>
      <w:r>
        <w:t xml:space="preserve"> </w:t>
      </w:r>
      <w:r>
        <w:rPr>
          <w:rStyle w:val="VerbatimChar"/>
        </w:rPr>
        <w:t xml:space="preserve">EquineSync_Item_07_Lessons_Training_Riders_Guardians_PIA_V0_2_Strengthened_Draft.md</w:t>
      </w:r>
      <w:r>
        <w:br/>
      </w:r>
      <w:r>
        <w:rPr>
          <w:b/>
          <w:bCs/>
        </w:rPr>
        <w:t xml:space="preserve">Successor SHA-256:</w:t>
      </w:r>
      <w:r>
        <w:t xml:space="preserve"> </w:t>
      </w:r>
      <w:r>
        <w:rPr>
          <w:rStyle w:val="VerbatimChar"/>
        </w:rPr>
        <w:t xml:space="preserve">27ce2ebf60456994ce890ca4ee363fed7401c7968614959783e325b1927b7e80</w:t>
      </w:r>
      <w:r>
        <w:br/>
      </w:r>
      <w:r>
        <w:rPr>
          <w:b/>
          <w:bCs/>
        </w:rPr>
        <w:t xml:space="preserve">Review type:</w:t>
      </w:r>
      <w:r>
        <w:t xml:space="preserve"> </w:t>
      </w:r>
      <w:r>
        <w:t xml:space="preserve">Internal documentary drafting review; not independent or external assurance</w:t>
      </w:r>
      <w:r>
        <w:br/>
      </w:r>
      <w:r>
        <w:rPr>
          <w:b/>
          <w:bCs/>
        </w:rPr>
        <w:t xml:space="preserve">Implementation authority created:</w:t>
      </w:r>
      <w:r>
        <w:t xml:space="preserve"> </w:t>
      </w:r>
      <w:r>
        <w:rPr>
          <w:rStyle w:val="VerbatimChar"/>
        </w:rPr>
        <w:t xml:space="preserve">FALSE</w:t>
      </w:r>
      <w:r>
        <w:br/>
      </w:r>
      <w:r>
        <w:rPr>
          <w:b/>
          <w:bCs/>
        </w:rPr>
        <w:t xml:space="preserve">Enrollment authority created:</w:t>
      </w:r>
      <w:r>
        <w:t xml:space="preserve"> </w:t>
      </w:r>
      <w:r>
        <w:rPr>
          <w:rStyle w:val="VerbatimChar"/>
        </w:rPr>
        <w:t xml:space="preserve">FALSE</w:t>
      </w:r>
    </w:p>
    <w:bookmarkEnd w:id="20"/>
    <w:bookmarkStart w:id="21" w:name="review-disposition"/>
    <w:p>
      <w:pPr>
        <w:pStyle w:val="Heading2"/>
        <w:keepNext/>
        <w:keepLines/>
      </w:pPr>
      <w:r>
        <w:t xml:space="preserve">1. Review Disposition</w:t>
      </w:r>
    </w:p>
    <w:p>
      <w:pPr>
        <w:pStyle w:val="FirstParagraph"/>
        <w:keepNext w:val="0"/>
        <w:keepLines/>
        <w:spacing w:after="60" w:line="247" w:lineRule="auto"/>
      </w:pPr>
      <w:r>
        <w:rPr>
          <w:rStyle w:val="VerbatimChar"/>
        </w:rPr>
        <w:t xml:space="preserve">V0_2_MATERIALLY_STRENGTHENED_SUCCESSOR_CREATED_READY_FOR_COMPLIANT_FRESH_REVIEW</w:t>
      </w:r>
    </w:p>
    <w:p>
      <w:pPr>
        <w:pStyle w:val="BodyText"/>
        <w:keepNext w:val="0"/>
        <w:keepLines/>
        <w:spacing w:after="60" w:line="247" w:lineRule="auto"/>
      </w:pPr>
      <w:r>
        <w:t xml:space="preserve">V0.1 established a substantial and generally coherent design. It correctly separated lesson and horse-training records, incorporated all twenty Founder decisions, retained the 43-section structure, and preserved implementation and enrollment prohibitions. It nevertheless required material strengthening before fresh structured review because source traceability, stable identifiers, release vocabulary, QA linkage, operational closure, dependency records, and readiness explanations were too coarse.</w:t>
      </w:r>
    </w:p>
    <w:p>
      <w:pPr>
        <w:pStyle w:val="BodyText"/>
        <w:keepNext w:val="0"/>
        <w:keepLines/>
        <w:spacing w:after="60" w:line="247" w:lineRule="auto"/>
      </w:pPr>
      <w:r>
        <w:t xml:space="preserve">V0.2 preserves V0.1 and creates a strengthened successor. The review does not constitute independent review, Founder approval, implementation authorization, verification, operational readiness, or enrollment authorization.</w:t>
      </w:r>
    </w:p>
    <w:bookmarkEnd w:id="21"/>
    <w:bookmarkStart w:id="22" w:name="review-method"/>
    <w:p>
      <w:pPr>
        <w:pStyle w:val="Heading2"/>
        <w:keepNext/>
        <w:keepLines/>
      </w:pPr>
      <w:r>
        <w:t xml:space="preserve">2. Review Method</w:t>
      </w:r>
    </w:p>
    <w:p>
      <w:pPr>
        <w:pStyle w:val="FirstParagraph"/>
        <w:keepNext w:val="0"/>
        <w:keepLines w:val="0"/>
        <w:spacing w:after="60" w:line="247" w:lineRule="auto"/>
      </w:pPr>
      <w:r>
        <w:t xml:space="preserve">The review examined:</w:t>
      </w:r>
    </w:p>
    <w:p>
      <w:pPr>
        <w:pStyle w:val="Compact"/>
        <w:keepNext w:val="0"/>
        <w:keepLines w:val="0"/>
        <w:numPr>
          <w:ilvl w:val="0"/>
          <w:numId w:val="1001"/>
        </w:numPr>
        <w:spacing w:after="60" w:line="247" w:lineRule="auto"/>
      </w:pPr>
      <w:r>
        <w:t xml:space="preserve">all 43 mandatory sections and their order;</w:t>
      </w:r>
    </w:p>
    <w:p>
      <w:pPr>
        <w:pStyle w:val="Compact"/>
        <w:keepNext w:val="0"/>
        <w:keepLines w:val="0"/>
        <w:numPr>
          <w:ilvl w:val="0"/>
          <w:numId w:val="1001"/>
        </w:numPr>
        <w:spacing w:after="60" w:line="247" w:lineRule="auto"/>
      </w:pPr>
      <w:r>
        <w:rPr>
          <w:rStyle w:val="VerbatimChar"/>
        </w:rPr>
        <w:t xml:space="preserve">LTRG-FD-001</w:t>
      </w:r>
      <w:r>
        <w:t xml:space="preserve"> </w:t>
      </w:r>
      <w:r>
        <w:t xml:space="preserve">through</w:t>
      </w:r>
      <w:r>
        <w:t xml:space="preserve"> </w:t>
      </w:r>
      <w:r>
        <w:rPr>
          <w:rStyle w:val="VerbatimChar"/>
        </w:rPr>
        <w:t xml:space="preserve">LTRG-FD-020</w:t>
      </w:r>
      <w:r>
        <w:t xml:space="preserve">;</w:t>
      </w:r>
    </w:p>
    <w:p>
      <w:pPr>
        <w:pStyle w:val="Compact"/>
        <w:keepNext w:val="0"/>
        <w:keepLines w:val="0"/>
        <w:numPr>
          <w:ilvl w:val="0"/>
          <w:numId w:val="1001"/>
        </w:numPr>
        <w:spacing w:after="60" w:line="247" w:lineRule="auto"/>
      </w:pPr>
      <w:r>
        <w:t xml:space="preserve">source precedence, lifecycle posture, and freeze requirements;</w:t>
      </w:r>
    </w:p>
    <w:p>
      <w:pPr>
        <w:pStyle w:val="Compact"/>
        <w:keepNext w:val="0"/>
        <w:keepLines w:val="0"/>
        <w:numPr>
          <w:ilvl w:val="0"/>
          <w:numId w:val="1001"/>
        </w:numPr>
        <w:spacing w:after="60" w:line="247" w:lineRule="auto"/>
      </w:pPr>
      <w:r>
        <w:t xml:space="preserve">domain ownership across identity, relationships, permissions, scheduling, billing, horse identity, health, care, communications, files, media, search, audit, and operations;</w:t>
      </w:r>
    </w:p>
    <w:p>
      <w:pPr>
        <w:pStyle w:val="Compact"/>
        <w:keepNext w:val="0"/>
        <w:keepLines w:val="0"/>
        <w:numPr>
          <w:ilvl w:val="0"/>
          <w:numId w:val="1001"/>
        </w:numPr>
        <w:spacing w:after="60" w:line="247" w:lineRule="auto"/>
      </w:pPr>
      <w:r>
        <w:t xml:space="preserve">lesson and training separation, linked dual-purpose activity, trainer context, rider profile, guardian authority, suitability, progress, visibility, substitution, and safety interruption;</w:t>
      </w:r>
    </w:p>
    <w:p>
      <w:pPr>
        <w:pStyle w:val="Compact"/>
        <w:keepNext w:val="0"/>
        <w:keepLines w:val="0"/>
        <w:numPr>
          <w:ilvl w:val="0"/>
          <w:numId w:val="1001"/>
        </w:numPr>
        <w:spacing w:after="60" w:line="247" w:lineRule="auto"/>
      </w:pPr>
      <w:r>
        <w:t xml:space="preserve">minors, adult eligibility, guardian inclusion, protected intake, and cross-channel bypass risk;</w:t>
      </w:r>
    </w:p>
    <w:p>
      <w:pPr>
        <w:pStyle w:val="Compact"/>
        <w:keepNext w:val="0"/>
        <w:keepLines w:val="0"/>
        <w:numPr>
          <w:ilvl w:val="0"/>
          <w:numId w:val="1001"/>
        </w:numPr>
        <w:spacing w:after="60" w:line="247" w:lineRule="auto"/>
      </w:pPr>
      <w:r>
        <w:t xml:space="preserve">state, permission, API, event, job, integration, offline, migration, configuration, support, and recovery design;</w:t>
      </w:r>
    </w:p>
    <w:p>
      <w:pPr>
        <w:pStyle w:val="Compact"/>
        <w:keepNext w:val="0"/>
        <w:keepLines w:val="0"/>
        <w:numPr>
          <w:ilvl w:val="0"/>
          <w:numId w:val="1001"/>
        </w:numPr>
        <w:spacing w:after="60" w:line="247" w:lineRule="auto"/>
      </w:pPr>
      <w:r>
        <w:t xml:space="preserve">acceptance criteria, tests, golden paths, adversarial scenarios, evidence, findings, risks, release, rollback, and enrollment determination; and</w:t>
      </w:r>
    </w:p>
    <w:p>
      <w:pPr>
        <w:pStyle w:val="Compact"/>
        <w:keepNext w:val="0"/>
        <w:keepLines w:val="0"/>
        <w:numPr>
          <w:ilvl w:val="0"/>
          <w:numId w:val="1001"/>
        </w:numPr>
        <w:spacing w:after="60" w:line="247" w:lineRule="auto"/>
      </w:pPr>
      <w:r>
        <w:t xml:space="preserve">the completeness and accuracy of all five mandatory readiness answers.</w:t>
      </w:r>
    </w:p>
    <w:bookmarkEnd w:id="22"/>
    <w:bookmarkStart w:id="26" w:name="findings-and-corrections"/>
    <w:p>
      <w:pPr>
        <w:pStyle w:val="Heading2"/>
        <w:keepNext/>
        <w:keepLines/>
      </w:pPr>
      <w:r>
        <w:t xml:space="preserve">3. Findings and Corrections</w:t>
      </w:r>
    </w:p>
    <w:bookmarkStart w:id="23" w:name="p0-findings"/>
    <w:p>
      <w:pPr>
        <w:pStyle w:val="Heading3"/>
        <w:keepNext/>
        <w:keepLines/>
      </w:pPr>
      <w:r>
        <w:t xml:space="preserve">P0 Findings</w:t>
      </w:r>
    </w:p>
    <w:p>
      <w:pPr>
        <w:pStyle w:val="FirstParagraph"/>
        <w:keepNext w:val="0"/>
        <w:keepLines w:val="0"/>
        <w:spacing w:after="60" w:line="247" w:lineRule="auto"/>
      </w:pPr>
      <w:r>
        <w:t xml:space="preserve">None. V0.1 did not claim implementation, production, or enrollment authority.</w:t>
      </w:r>
    </w:p>
    <w:bookmarkEnd w:id="23"/>
    <w:bookmarkStart w:id="24" w:name="p1-findings-corrected-in-v0.2"/>
    <w:p>
      <w:pPr>
        <w:pStyle w:val="Heading3"/>
        <w:keepNext/>
        <w:keepLines/>
      </w:pPr>
      <w:r>
        <w:t xml:space="preserve">P1 Findings Corrected in V0.2</w:t>
      </w:r>
    </w:p>
    <w:p>
      <w:pPr>
        <w:pStyle w:val="Compact"/>
        <w:keepNext w:val="0"/>
        <w:keepLines w:val="0"/>
        <w:numPr>
          <w:ilvl w:val="0"/>
          <w:numId w:val="1002"/>
        </w:numPr>
        <w:spacing w:after="60" w:line="247" w:lineRule="auto"/>
      </w:pPr>
      <w:r>
        <w:rPr>
          <w:rStyle w:val="VerbatimChar"/>
          <w:b/>
          <w:bCs/>
        </w:rPr>
        <w:t xml:space="preserve">LTRG-FIND-P1-001</w:t>
      </w:r>
      <w:r>
        <w:rPr>
          <w:b/>
          <w:bCs/>
        </w:rPr>
        <w:t xml:space="preserve"> </w:t>
      </w:r>
      <w:r>
        <w:rPr>
          <w:b/>
          <w:bCs/>
        </w:rPr>
        <w:t xml:space="preserve">- Source control incomplete.</w:t>
      </w:r>
      <w:r>
        <w:t xml:space="preserve"> </w:t>
      </w:r>
      <w:r>
        <w:t xml:space="preserve">V0.2 adds a controlled source register with the locked governance commit and tag, adopted PIA standard and checksum, adoption-record checksum, supplying-domain sources, precedence, conflict handling, and exact freeze rules.</w:t>
      </w:r>
    </w:p>
    <w:p>
      <w:pPr>
        <w:pStyle w:val="Compact"/>
        <w:keepNext w:val="0"/>
        <w:keepLines w:val="0"/>
        <w:numPr>
          <w:ilvl w:val="0"/>
          <w:numId w:val="1002"/>
        </w:numPr>
        <w:spacing w:after="60" w:line="247" w:lineRule="auto"/>
      </w:pPr>
      <w:r>
        <w:rPr>
          <w:rStyle w:val="VerbatimChar"/>
          <w:b/>
          <w:bCs/>
        </w:rPr>
        <w:t xml:space="preserve">LTRG-FIND-P1-002</w:t>
      </w:r>
      <w:r>
        <w:rPr>
          <w:b/>
          <w:bCs/>
        </w:rPr>
        <w:t xml:space="preserve"> </w:t>
      </w:r>
      <w:r>
        <w:rPr>
          <w:b/>
          <w:bCs/>
        </w:rPr>
        <w:t xml:space="preserve">- Material identifiers incomplete.</w:t>
      </w:r>
      <w:r>
        <w:t xml:space="preserve"> </w:t>
      </w:r>
      <w:r>
        <w:t xml:space="preserve">V0.2 adds stable identifiers for state models, permissions, UI surfaces, APIs, events, jobs, integrations, metrics, configurations, migrations, dependencies, assumptions, findings, and risks.</w:t>
      </w:r>
    </w:p>
    <w:p>
      <w:pPr>
        <w:pStyle w:val="Compact"/>
        <w:keepNext w:val="0"/>
        <w:keepLines w:val="0"/>
        <w:numPr>
          <w:ilvl w:val="0"/>
          <w:numId w:val="1002"/>
        </w:numPr>
        <w:spacing w:after="60" w:line="247" w:lineRule="auto"/>
      </w:pPr>
      <w:r>
        <w:rPr>
          <w:rStyle w:val="VerbatimChar"/>
          <w:b/>
          <w:bCs/>
        </w:rPr>
        <w:t xml:space="preserve">LTRG-FIND-P1-003</w:t>
      </w:r>
      <w:r>
        <w:rPr>
          <w:b/>
          <w:bCs/>
        </w:rPr>
        <w:t xml:space="preserve"> </w:t>
      </w:r>
      <w:r>
        <w:rPr>
          <w:b/>
          <w:bCs/>
        </w:rPr>
        <w:t xml:space="preserve">- Release vocabulary inconsistent.</w:t>
      </w:r>
      <w:r>
        <w:t xml:space="preserve"> </w:t>
      </w:r>
      <w:r>
        <w:t xml:space="preserve">V0.2 normalizes capability classifications to Master Standard values and strengthens deferred-work controls.</w:t>
      </w:r>
    </w:p>
    <w:p>
      <w:pPr>
        <w:pStyle w:val="Compact"/>
        <w:keepNext w:val="0"/>
        <w:keepLines w:val="0"/>
        <w:numPr>
          <w:ilvl w:val="0"/>
          <w:numId w:val="1002"/>
        </w:numPr>
        <w:spacing w:after="60" w:line="247" w:lineRule="auto"/>
      </w:pPr>
      <w:r>
        <w:rPr>
          <w:rStyle w:val="VerbatimChar"/>
          <w:b/>
          <w:bCs/>
        </w:rPr>
        <w:t xml:space="preserve">LTRG-FIND-P1-004</w:t>
      </w:r>
      <w:r>
        <w:rPr>
          <w:b/>
          <w:bCs/>
        </w:rPr>
        <w:t xml:space="preserve"> </w:t>
      </w:r>
      <w:r>
        <w:rPr>
          <w:b/>
          <w:bCs/>
        </w:rPr>
        <w:t xml:space="preserve">- QA linkage too terse.</w:t>
      </w:r>
      <w:r>
        <w:t xml:space="preserve"> </w:t>
      </w:r>
      <w:r>
        <w:t xml:space="preserve">V0.2 links acceptance criteria to requirements, methods, evidence, and gates and links tests to acceptance criteria, types, expected results, and evidence families.</w:t>
      </w:r>
    </w:p>
    <w:p>
      <w:pPr>
        <w:pStyle w:val="Compact"/>
        <w:keepNext w:val="0"/>
        <w:keepLines w:val="0"/>
        <w:numPr>
          <w:ilvl w:val="0"/>
          <w:numId w:val="1002"/>
        </w:numPr>
        <w:spacing w:after="60" w:line="247" w:lineRule="auto"/>
      </w:pPr>
      <w:r>
        <w:rPr>
          <w:rStyle w:val="VerbatimChar"/>
          <w:b/>
          <w:bCs/>
        </w:rPr>
        <w:t xml:space="preserve">LTRG-FIND-P1-005</w:t>
      </w:r>
      <w:r>
        <w:rPr>
          <w:b/>
          <w:bCs/>
        </w:rPr>
        <w:t xml:space="preserve"> </w:t>
      </w:r>
      <w:r>
        <w:rPr>
          <w:b/>
          <w:bCs/>
        </w:rPr>
        <w:t xml:space="preserve">- Operational and enrollment closure too summary-level.</w:t>
      </w:r>
      <w:r>
        <w:t xml:space="preserve"> </w:t>
      </w:r>
      <w:r>
        <w:t xml:space="preserve">V0.2 adds ownership, severity, response targets, observability, support, maintenance, promotion, stop conditions, rollback, evidence, and enrollment closure matrices.</w:t>
      </w:r>
    </w:p>
    <w:p>
      <w:pPr>
        <w:pStyle w:val="Compact"/>
        <w:keepNext w:val="0"/>
        <w:keepLines w:val="0"/>
        <w:numPr>
          <w:ilvl w:val="0"/>
          <w:numId w:val="1002"/>
        </w:numPr>
        <w:spacing w:after="60" w:line="247" w:lineRule="auto"/>
      </w:pPr>
      <w:r>
        <w:rPr>
          <w:rStyle w:val="VerbatimChar"/>
          <w:b/>
          <w:bCs/>
        </w:rPr>
        <w:t xml:space="preserve">LTRG-FIND-P1-006</w:t>
      </w:r>
      <w:r>
        <w:rPr>
          <w:b/>
          <w:bCs/>
        </w:rPr>
        <w:t xml:space="preserve"> </w:t>
      </w:r>
      <w:r>
        <w:rPr>
          <w:b/>
          <w:bCs/>
        </w:rPr>
        <w:t xml:space="preserve">- Dependency records incomplete.</w:t>
      </w:r>
      <w:r>
        <w:t xml:space="preserve"> </w:t>
      </w:r>
      <w:r>
        <w:t xml:space="preserve">V0.2 adds supplying owner, required contract, blocking status, fallback, verification, evidence, and due gate.</w:t>
      </w:r>
    </w:p>
    <w:bookmarkEnd w:id="24"/>
    <w:bookmarkStart w:id="25" w:name="p2-findings-retained"/>
    <w:p>
      <w:pPr>
        <w:pStyle w:val="Heading3"/>
        <w:keepNext/>
        <w:keepLines/>
      </w:pPr>
      <w:r>
        <w:t xml:space="preserve">P2 Findings Retained</w:t>
      </w:r>
    </w:p>
    <w:p>
      <w:pPr>
        <w:pStyle w:val="Compact"/>
        <w:keepNext w:val="0"/>
        <w:keepLines w:val="0"/>
        <w:numPr>
          <w:ilvl w:val="0"/>
          <w:numId w:val="1003"/>
        </w:numPr>
        <w:spacing w:after="60" w:line="247" w:lineRule="auto"/>
      </w:pPr>
      <w:r>
        <w:rPr>
          <w:rStyle w:val="VerbatimChar"/>
          <w:b/>
          <w:bCs/>
        </w:rPr>
        <w:t xml:space="preserve">LTRG-FIND-P2-001</w:t>
      </w:r>
      <w:r>
        <w:rPr>
          <w:b/>
          <w:bCs/>
        </w:rPr>
        <w:t xml:space="preserve">:</w:t>
      </w:r>
      <w:r>
        <w:t xml:space="preserve"> </w:t>
      </w:r>
      <w:r>
        <w:t xml:space="preserve">one-row-per-requirement machine-readable traceability must be generated at package freeze.</w:t>
      </w:r>
    </w:p>
    <w:p>
      <w:pPr>
        <w:pStyle w:val="Compact"/>
        <w:keepNext w:val="0"/>
        <w:keepLines w:val="0"/>
        <w:numPr>
          <w:ilvl w:val="0"/>
          <w:numId w:val="1003"/>
        </w:numPr>
        <w:spacing w:after="60" w:line="247" w:lineRule="auto"/>
      </w:pPr>
      <w:r>
        <w:rPr>
          <w:rStyle w:val="VerbatimChar"/>
          <w:b/>
          <w:bCs/>
        </w:rPr>
        <w:t xml:space="preserve">LTRG-FIND-P2-002</w:t>
      </w:r>
      <w:r>
        <w:rPr>
          <w:b/>
          <w:bCs/>
        </w:rPr>
        <w:t xml:space="preserve">:</w:t>
      </w:r>
      <w:r>
        <w:t xml:space="preserve"> </w:t>
      </w:r>
      <w:r>
        <w:t xml:space="preserve">exact repository locators and active successor states for every supplying PIA must be reverified at package freeze.</w:t>
      </w:r>
    </w:p>
    <w:p>
      <w:pPr>
        <w:pStyle w:val="FirstParagraph"/>
        <w:keepNext w:val="0"/>
        <w:keepLines w:val="0"/>
        <w:spacing w:after="60" w:line="247" w:lineRule="auto"/>
      </w:pPr>
      <w:r>
        <w:t xml:space="preserve">These are custody and packaging obligations, not unresolved Founder product decisions.</w:t>
      </w:r>
    </w:p>
    <w:bookmarkEnd w:id="25"/>
    <w:bookmarkEnd w:id="26"/>
    <w:bookmarkStart w:id="27" w:name="material-improvements"/>
    <w:p>
      <w:pPr>
        <w:pStyle w:val="Heading2"/>
        <w:keepNext/>
        <w:keepLines/>
      </w:pPr>
      <w:r>
        <w:t xml:space="preserve">4. Material Improvements</w:t>
      </w:r>
    </w:p>
    <w:p>
      <w:pPr>
        <w:pStyle w:val="Compact"/>
        <w:keepNext w:val="0"/>
        <w:keepLines w:val="0"/>
        <w:numPr>
          <w:ilvl w:val="0"/>
          <w:numId w:val="1004"/>
        </w:numPr>
        <w:spacing w:after="60" w:line="247" w:lineRule="auto"/>
      </w:pPr>
      <w:r>
        <w:t xml:space="preserve">Added 14 measurable design and readiness targets plus operational signals and incident response targets.</w:t>
      </w:r>
    </w:p>
    <w:p>
      <w:pPr>
        <w:pStyle w:val="Compact"/>
        <w:keepNext w:val="0"/>
        <w:keepLines w:val="0"/>
        <w:numPr>
          <w:ilvl w:val="0"/>
          <w:numId w:val="1004"/>
        </w:numPr>
        <w:spacing w:after="60" w:line="247" w:lineRule="auto"/>
      </w:pPr>
      <w:r>
        <w:t xml:space="preserve">Strengthened source, conflict, authority, and lifecycle language.</w:t>
      </w:r>
    </w:p>
    <w:p>
      <w:pPr>
        <w:pStyle w:val="Compact"/>
        <w:keepNext w:val="0"/>
        <w:keepLines w:val="0"/>
        <w:numPr>
          <w:ilvl w:val="0"/>
          <w:numId w:val="1004"/>
        </w:numPr>
        <w:spacing w:after="60" w:line="247" w:lineRule="auto"/>
      </w:pPr>
      <w:r>
        <w:t xml:space="preserve">Added stable identifiers for material non-requirement elements.</w:t>
      </w:r>
    </w:p>
    <w:p>
      <w:pPr>
        <w:pStyle w:val="Compact"/>
        <w:keepNext w:val="0"/>
        <w:keepLines w:val="0"/>
        <w:numPr>
          <w:ilvl w:val="0"/>
          <w:numId w:val="1004"/>
        </w:numPr>
        <w:spacing w:after="60" w:line="247" w:lineRule="auto"/>
      </w:pPr>
      <w:r>
        <w:t xml:space="preserve">Strengthened cross-tenant isolation, guardian conflict, adult eligibility, group privacy, support access, wrong-audience publication, and offline revocation controls.</w:t>
      </w:r>
    </w:p>
    <w:p>
      <w:pPr>
        <w:pStyle w:val="Compact"/>
        <w:keepNext w:val="0"/>
        <w:keepLines w:val="0"/>
        <w:numPr>
          <w:ilvl w:val="0"/>
          <w:numId w:val="1004"/>
        </w:numPr>
        <w:spacing w:after="60" w:line="247" w:lineRule="auto"/>
      </w:pPr>
      <w:r>
        <w:t xml:space="preserve">Added explicit interface boundaries for 19 commands, 15 events, 10 jobs, and eight integrations.</w:t>
      </w:r>
    </w:p>
    <w:p>
      <w:pPr>
        <w:pStyle w:val="Compact"/>
        <w:keepNext w:val="0"/>
        <w:keepLines w:val="0"/>
        <w:numPr>
          <w:ilvl w:val="0"/>
          <w:numId w:val="1004"/>
        </w:numPr>
        <w:spacing w:after="60" w:line="247" w:lineRule="auto"/>
      </w:pPr>
      <w:r>
        <w:t xml:space="preserve">Strengthened environment, configuration, migration, reconciliation, deployment, rollback, and enrollment gates.</w:t>
      </w:r>
    </w:p>
    <w:p>
      <w:pPr>
        <w:pStyle w:val="Compact"/>
        <w:keepNext w:val="0"/>
        <w:keepLines w:val="0"/>
        <w:numPr>
          <w:ilvl w:val="0"/>
          <w:numId w:val="1004"/>
        </w:numPr>
        <w:spacing w:after="60" w:line="247" w:lineRule="auto"/>
      </w:pPr>
      <w:r>
        <w:t xml:space="preserve">Converted the acceptance and test matrices into objective linked records.</w:t>
      </w:r>
    </w:p>
    <w:p>
      <w:pPr>
        <w:pStyle w:val="Compact"/>
        <w:keepNext w:val="0"/>
        <w:keepLines w:val="0"/>
        <w:numPr>
          <w:ilvl w:val="0"/>
          <w:numId w:val="1004"/>
        </w:numPr>
        <w:spacing w:after="60" w:line="247" w:lineRule="auto"/>
      </w:pPr>
      <w:r>
        <w:t xml:space="preserve">Added evidence sufficiency, operational owner, dependency, finding, risk, and closure matrices.</w:t>
      </w:r>
    </w:p>
    <w:p>
      <w:pPr>
        <w:pStyle w:val="Compact"/>
        <w:keepNext w:val="0"/>
        <w:keepLines w:val="0"/>
        <w:numPr>
          <w:ilvl w:val="0"/>
          <w:numId w:val="1004"/>
        </w:numPr>
        <w:spacing w:after="60" w:line="247" w:lineRule="auto"/>
      </w:pPr>
      <w:r>
        <w:t xml:space="preserve">Expanded each readiness answer to include evidence, remaining lifecycle conditions, and gate effect.</w:t>
      </w:r>
    </w:p>
    <w:bookmarkEnd w:id="27"/>
    <w:bookmarkStart w:id="28" w:name="five-question-result"/>
    <w:p>
      <w:pPr>
        <w:pStyle w:val="Heading2"/>
        <w:keepNext/>
        <w:keepLines/>
      </w:pPr>
      <w:r>
        <w:t xml:space="preserve">5. Five-Question Result</w:t>
      </w:r>
    </w:p>
    <w:tbl>
      <w:tblPr>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Mandatory Question</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V0.2 Answer</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Answer Completeness</w:t>
            </w:r>
          </w:p>
        </w:tc>
        <w:tc>
          <w:tcPr>
            <w:vAlign w:val="center"/>
            <w:tcMar>
              <w:top w:w="55" w:type="dxa"/>
              <w:start w:w="70" w:type="dxa"/>
              <w:bottom w:w="55" w:type="dxa"/>
              <w:end w:w="70" w:type="dxa"/>
            </w:tcMar>
            <w:shd w:fill="123C4A"/>
          </w:tcPr>
          <w:p>
            <w:pPr>
              <w:pStyle w:val="TableText"/>
              <w:keepNext w:val="0"/>
              <w:keepLines w:val="0"/>
              <w:spacing w:before="0" w:after="0" w:line="240" w:lineRule="auto"/>
              <w:jc w:val="left"/>
            </w:pPr>
            <w:r>
              <w:rPr>
                <w:b/>
                <w:color w:val="FFFFFF"/>
                <w:sz w:val="16"/>
              </w:rPr>
              <w:t xml:space="preserve">Practical Disposition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Engineering buildability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YES_WITH_EVIDENCE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SATISFIED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Buildable design; implementation unauthorized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Objective QA verification</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YES_WITH_EVIDENCE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SATISFIED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Objective test framework; no executed verification</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Governance and MIAP traceability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YES_WITH_EVIDENCE</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SATISFIED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Traceable design; freeze custody pending</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Operational safety and recovery</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NO</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SATISFIED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Operational gate closed</w:t>
            </w:r>
          </w:p>
        </w:tc>
      </w:tr>
      <w:tr>
        <w:trPr/>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First-user enrollment readiness</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NO</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rStyle w:val="VerbatimChar"/>
                <w:sz w:val="16"/>
              </w:rPr>
              <w:t xml:space="preserve">SATISFIED</w:t>
            </w:r>
          </w:p>
        </w:tc>
        <w:tc>
          <w:tcPr>
            <w:vAlign w:val="center"/>
            <w:tcMar>
              <w:top w:w="55" w:type="dxa"/>
              <w:start w:w="70" w:type="dxa"/>
              <w:bottom w:w="55" w:type="dxa"/>
              <w:end w:w="70" w:type="dxa"/>
            </w:tcMar>
            <w:shd w:fill="FFFFFF"/>
          </w:tcPr>
          <w:p>
            <w:pPr>
              <w:pStyle w:val="TableText"/>
              <w:keepNext w:val="0"/>
              <w:keepLines w:val="0"/>
              <w:spacing w:before="0" w:after="0" w:line="240" w:lineRule="auto"/>
              <w:jc w:val="left"/>
            </w:pPr>
            <w:r>
              <w:rPr>
                <w:sz w:val="16"/>
              </w:rPr>
              <w:t xml:space="preserve">Enrollment not authorized</w:t>
            </w:r>
          </w:p>
        </w:tc>
      </w:tr>
    </w:tbl>
    <w:p>
      <w:pPr>
        <w:pStyle w:val="BodyText"/>
        <w:keepNext w:val="0"/>
        <w:keepLines w:val="0"/>
        <w:spacing w:after="60" w:line="247" w:lineRule="auto"/>
      </w:pPr>
      <w:r>
        <w:t xml:space="preserve">The negative answers to Questions 4 and 5 are required by the absence of implementation, operational, recovery, support, and enrollment evidence. The questions are nevertheless fully answered.</w:t>
      </w:r>
    </w:p>
    <w:bookmarkEnd w:id="28"/>
    <w:bookmarkStart w:id="29" w:name="deterministic-validation"/>
    <w:p>
      <w:pPr>
        <w:pStyle w:val="Heading2"/>
        <w:keepNext/>
        <w:keepLines/>
      </w:pPr>
      <w:r>
        <w:t xml:space="preserve">6. Deterministic Validation</w:t>
      </w:r>
    </w:p>
    <w:p>
      <w:pPr>
        <w:pStyle w:val="Compact"/>
        <w:keepNext w:val="0"/>
        <w:keepLines w:val="0"/>
        <w:numPr>
          <w:ilvl w:val="0"/>
          <w:numId w:val="1005"/>
        </w:numPr>
        <w:spacing w:after="60" w:line="247" w:lineRule="auto"/>
      </w:pPr>
      <w:r>
        <w:t xml:space="preserve">43 sections in contiguous order:</w:t>
      </w:r>
      <w:r>
        <w:t xml:space="preserve"> </w:t>
      </w:r>
      <w:r>
        <w:rPr>
          <w:rStyle w:val="VerbatimChar"/>
        </w:rPr>
        <w:t xml:space="preserve">PASS</w:t>
      </w:r>
    </w:p>
    <w:p>
      <w:pPr>
        <w:pStyle w:val="Compact"/>
        <w:keepNext w:val="0"/>
        <w:keepLines w:val="0"/>
        <w:numPr>
          <w:ilvl w:val="0"/>
          <w:numId w:val="1005"/>
        </w:numPr>
        <w:spacing w:after="60" w:line="247" w:lineRule="auto"/>
      </w:pPr>
      <w:r>
        <w:t xml:space="preserve">76 contiguous normative requirements:</w:t>
      </w:r>
      <w:r>
        <w:t xml:space="preserve"> </w:t>
      </w:r>
      <w:r>
        <w:rPr>
          <w:rStyle w:val="VerbatimChar"/>
        </w:rPr>
        <w:t xml:space="preserve">PASS</w:t>
      </w:r>
    </w:p>
    <w:p>
      <w:pPr>
        <w:pStyle w:val="Compact"/>
        <w:keepNext w:val="0"/>
        <w:keepLines w:val="0"/>
        <w:numPr>
          <w:ilvl w:val="0"/>
          <w:numId w:val="1005"/>
        </w:numPr>
        <w:spacing w:after="60" w:line="247" w:lineRule="auto"/>
      </w:pPr>
      <w:r>
        <w:t xml:space="preserve">40 contiguous acceptance criteria:</w:t>
      </w:r>
      <w:r>
        <w:t xml:space="preserve"> </w:t>
      </w:r>
      <w:r>
        <w:rPr>
          <w:rStyle w:val="VerbatimChar"/>
        </w:rPr>
        <w:t xml:space="preserve">PASS</w:t>
      </w:r>
    </w:p>
    <w:p>
      <w:pPr>
        <w:pStyle w:val="Compact"/>
        <w:keepNext w:val="0"/>
        <w:keepLines w:val="0"/>
        <w:numPr>
          <w:ilvl w:val="0"/>
          <w:numId w:val="1005"/>
        </w:numPr>
        <w:spacing w:after="60" w:line="247" w:lineRule="auto"/>
      </w:pPr>
      <w:r>
        <w:t xml:space="preserve">55 contiguous tests:</w:t>
      </w:r>
      <w:r>
        <w:t xml:space="preserve"> </w:t>
      </w:r>
      <w:r>
        <w:rPr>
          <w:rStyle w:val="VerbatimChar"/>
        </w:rPr>
        <w:t xml:space="preserve">PASS</w:t>
      </w:r>
    </w:p>
    <w:p>
      <w:pPr>
        <w:pStyle w:val="Compact"/>
        <w:keepNext w:val="0"/>
        <w:keepLines w:val="0"/>
        <w:numPr>
          <w:ilvl w:val="0"/>
          <w:numId w:val="1005"/>
        </w:numPr>
        <w:spacing w:after="60" w:line="247" w:lineRule="auto"/>
      </w:pPr>
      <w:r>
        <w:t xml:space="preserve">10 contiguous golden paths:</w:t>
      </w:r>
      <w:r>
        <w:t xml:space="preserve"> </w:t>
      </w:r>
      <w:r>
        <w:rPr>
          <w:rStyle w:val="VerbatimChar"/>
        </w:rPr>
        <w:t xml:space="preserve">PASS</w:t>
      </w:r>
    </w:p>
    <w:p>
      <w:pPr>
        <w:pStyle w:val="Compact"/>
        <w:keepNext w:val="0"/>
        <w:keepLines w:val="0"/>
        <w:numPr>
          <w:ilvl w:val="0"/>
          <w:numId w:val="1005"/>
        </w:numPr>
        <w:spacing w:after="60" w:line="247" w:lineRule="auto"/>
      </w:pPr>
      <w:r>
        <w:t xml:space="preserve">36 identified adversarial scenarios:</w:t>
      </w:r>
      <w:r>
        <w:t xml:space="preserve"> </w:t>
      </w:r>
      <w:r>
        <w:rPr>
          <w:rStyle w:val="VerbatimChar"/>
        </w:rPr>
        <w:t xml:space="preserve">PASS</w:t>
      </w:r>
    </w:p>
    <w:p>
      <w:pPr>
        <w:pStyle w:val="Compact"/>
        <w:keepNext w:val="0"/>
        <w:keepLines w:val="0"/>
        <w:numPr>
          <w:ilvl w:val="0"/>
          <w:numId w:val="1005"/>
        </w:numPr>
        <w:spacing w:after="60" w:line="247" w:lineRule="auto"/>
      </w:pPr>
      <w:r>
        <w:t xml:space="preserve">20 Founder decisions:</w:t>
      </w:r>
      <w:r>
        <w:t xml:space="preserve"> </w:t>
      </w:r>
      <w:r>
        <w:rPr>
          <w:rStyle w:val="VerbatimChar"/>
        </w:rPr>
        <w:t xml:space="preserve">PASS</w:t>
      </w:r>
    </w:p>
    <w:p>
      <w:pPr>
        <w:pStyle w:val="Compact"/>
        <w:keepNext w:val="0"/>
        <w:keepLines w:val="0"/>
        <w:numPr>
          <w:ilvl w:val="0"/>
          <w:numId w:val="1005"/>
        </w:numPr>
        <w:spacing w:after="60" w:line="247" w:lineRule="auto"/>
      </w:pPr>
      <w:r>
        <w:t xml:space="preserve">Five permitted answers and five completeness declarations:</w:t>
      </w:r>
      <w:r>
        <w:t xml:space="preserve"> </w:t>
      </w:r>
      <w:r>
        <w:rPr>
          <w:rStyle w:val="VerbatimChar"/>
        </w:rPr>
        <w:t xml:space="preserve">PASS</w:t>
      </w:r>
    </w:p>
    <w:p>
      <w:pPr>
        <w:pStyle w:val="Compact"/>
        <w:keepNext w:val="0"/>
        <w:keepLines w:val="0"/>
        <w:numPr>
          <w:ilvl w:val="0"/>
          <w:numId w:val="1005"/>
        </w:numPr>
        <w:spacing w:after="60" w:line="247" w:lineRule="auto"/>
      </w:pPr>
      <w:r>
        <w:t xml:space="preserve">Authority prohibitions preserved:</w:t>
      </w:r>
      <w:r>
        <w:t xml:space="preserve"> </w:t>
      </w:r>
      <w:r>
        <w:rPr>
          <w:rStyle w:val="VerbatimChar"/>
        </w:rPr>
        <w:t xml:space="preserve">PASS</w:t>
      </w:r>
    </w:p>
    <w:p>
      <w:pPr>
        <w:pStyle w:val="Compact"/>
        <w:keepNext w:val="0"/>
        <w:keepLines w:val="0"/>
        <w:numPr>
          <w:ilvl w:val="0"/>
          <w:numId w:val="1005"/>
        </w:numPr>
        <w:spacing w:after="60" w:line="247" w:lineRule="auto"/>
      </w:pPr>
      <w:r>
        <w:t xml:space="preserve">TODO, TBD, or placeholder markers:</w:t>
      </w:r>
      <w:r>
        <w:t xml:space="preserve"> </w:t>
      </w:r>
      <w:r>
        <w:rPr>
          <w:rStyle w:val="VerbatimChar"/>
        </w:rPr>
        <w:t xml:space="preserve">NONE</w:t>
      </w:r>
    </w:p>
    <w:bookmarkEnd w:id="29"/>
    <w:bookmarkStart w:id="30" w:name="requested-next-disposition"/>
    <w:p>
      <w:pPr>
        <w:pStyle w:val="Heading2"/>
        <w:keepNext/>
        <w:keepLines/>
      </w:pPr>
      <w:r>
        <w:t xml:space="preserve">7. Requested Next Disposition</w:t>
      </w:r>
    </w:p>
    <w:p>
      <w:pPr>
        <w:pStyle w:val="FirstParagraph"/>
        <w:keepNext w:val="0"/>
        <w:keepLines w:val="0"/>
        <w:spacing w:after="60" w:line="247" w:lineRule="auto"/>
      </w:pPr>
      <w:r>
        <w:rPr>
          <w:rStyle w:val="VerbatimChar"/>
        </w:rPr>
        <w:t xml:space="preserve">ACCEPT_V0_2_AS_STRENGTHENED_DOCUMENTARY_CANDIDATE_FOR_COMPLIANT_FRESH_REVIEW</w:t>
      </w:r>
    </w:p>
    <w:p>
      <w:pPr>
        <w:pStyle w:val="BodyText"/>
        <w:keepNext w:val="0"/>
        <w:keepLines w:val="0"/>
        <w:spacing w:after="60" w:line="247" w:lineRule="auto"/>
      </w:pPr>
      <w:r>
        <w:t xml:space="preserve">This disposition does not authorize implementation, schema, migration, provider activation, deployment, production, pilot enrollment, or first-user enrollment.</w:t>
      </w:r>
    </w:p>
    <w:bookmarkEnd w:id="30"/>
    <w:bookmarkEnd w:id="31"/>
    <w:sectPr w:rsidR="00FC693F" w:rsidRPr="0006063C" w:rsidSect="00034616">
      <w:footerReference r:id="rId9" w:type="default"/>
      <w:pgSz w:h="15840" w:w="12240"/>
      <w:pgMar w:bottom="792" w:footer="720" w:gutter="0" w:header="720" w:left="792" w:right="792" w:top="792"/>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left"/>
      <w:pBdr>
        <w:bottom w:val="single" w:sz="8" w:space="1" w:color="C4932F"/>
      </w:pBdr>
    </w:pPr>
    <w:r>
      <w:rPr>
        <w:rFonts w:ascii="Liberation Sans" w:hAnsi="Liberation Sans"/>
        <w:b/>
        <w:color w:val="12324A"/>
        <w:sz w:val="14"/>
      </w:rPr>
      <w:t>EQUINESYNC  |  ITEM 07  |  CONTROLLED DOCUMENTARY DRAFT</w:t>
    </w:r>
    <w:r>
      <w:t xml:space="preserve">                                                        </w:t>
    </w:r>
    <w:r>
      <w:rPr>
        <w:rFonts w:ascii="Liberation Sans" w:hAnsi="Liberation Sans"/>
        <w:color w:val="12324A"/>
        <w:sz w:val="14"/>
      </w:rPr>
      <w:t xml:space="preserve">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96" w:line="254" w:lineRule="auto"/>
    </w:pPr>
    <w:rPr>
      <w:rFonts w:ascii="Liberation Sans" w:eastAsia="Liberation Sans" w:hAnsi="Liberation Sans"/>
      <w:color w:val="263238"/>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Liberation Sans" w:asciiTheme="majorHAnsi" w:cstheme="majorBidi" w:eastAsia="Liberation Sans" w:eastAsiaTheme="majorEastAsia" w:hAnsi="Liberation Sans" w:hAnsiTheme="majorHAnsi"/>
      <w:b/>
      <w:bCs/>
      <w:color w:val="12324A"/>
      <w:sz w:val="30"/>
      <w:szCs w:val="28"/>
    </w:rPr>
  </w:style>
  <w:style w:styleId="Heading2" w:type="paragraph">
    <w:name w:val="heading 2"/>
    <w:basedOn w:val="Normal"/>
    <w:next w:val="Normal"/>
    <w:link w:val="Heading2Char"/>
    <w:uiPriority w:val="9"/>
    <w:unhideWhenUsed/>
    <w:qFormat/>
    <w:rsid w:val="00FC693F"/>
    <w:pPr>
      <w:keepNext/>
      <w:keepLines/>
      <w:spacing w:after="80" w:before="180"/>
      <w:outlineLvl w:val="1"/>
    </w:pPr>
    <w:rPr>
      <w:rFonts w:ascii="Liberation Sans" w:asciiTheme="majorHAnsi" w:cstheme="majorBidi" w:eastAsia="Liberation Sans" w:eastAsiaTheme="majorEastAsia" w:hAnsi="Liberation Sans" w:hAnsiTheme="majorHAnsi"/>
      <w:b/>
      <w:bCs/>
      <w:color w:val="1C4663"/>
      <w:sz w:val="23"/>
      <w:szCs w:val="26"/>
    </w:rPr>
  </w:style>
  <w:style w:styleId="Heading3" w:type="paragraph">
    <w:name w:val="heading 3"/>
    <w:basedOn w:val="Normal"/>
    <w:next w:val="Normal"/>
    <w:link w:val="Heading3Char"/>
    <w:uiPriority w:val="9"/>
    <w:unhideWhenUsed/>
    <w:qFormat/>
    <w:rsid w:val="00FC693F"/>
    <w:pPr>
      <w:keepNext/>
      <w:keepLines/>
      <w:spacing w:after="60" w:before="120"/>
      <w:outlineLvl w:val="2"/>
    </w:pPr>
    <w:rPr>
      <w:rFonts w:ascii="Liberation Sans" w:asciiTheme="majorHAnsi" w:cstheme="majorBidi" w:eastAsia="Liberation Sans" w:eastAsiaTheme="majorEastAsia" w:hAnsi="Liberation Sans" w:hAnsiTheme="majorHAnsi"/>
      <w:b/>
      <w:bCs/>
      <w:color w:val="1C4663"/>
      <w:sz w:val="20"/>
    </w:rPr>
  </w:style>
  <w:style w:styleId="Heading4" w:type="paragraph">
    <w:name w:val="heading 4"/>
    <w:basedOn w:val="Normal"/>
    <w:next w:val="Normal"/>
    <w:link w:val="Heading4Char"/>
    <w:uiPriority w:val="9"/>
    <w:semiHidden/>
    <w:unhideWhenUsed/>
    <w:qFormat/>
    <w:rsid w:val="00FC693F"/>
    <w:pPr>
      <w:keepNext/>
      <w:keepLines/>
      <w:spacing w:after="40" w:before="100"/>
      <w:outlineLvl w:val="3"/>
    </w:pPr>
    <w:rPr>
      <w:rFonts w:ascii="Liberation Sans" w:asciiTheme="majorHAnsi" w:cstheme="majorBidi" w:eastAsia="Liberation Sans" w:eastAsiaTheme="majorEastAsia" w:hAnsi="Liberation Sans" w:hAnsiTheme="majorHAnsi"/>
      <w:b/>
      <w:bCs/>
      <w:i/>
      <w:iCs/>
      <w:color w:val="263238"/>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jc w:val="center"/>
    </w:pPr>
    <w:rPr>
      <w:rFonts w:ascii="Liberation Serif" w:asciiTheme="majorHAnsi" w:cstheme="majorBidi" w:eastAsia="Liberation Serif" w:eastAsiaTheme="majorEastAsia" w:hAnsi="Liberation Serif" w:hAnsiTheme="majorHAnsi"/>
      <w:b/>
      <w:color w:val="12324A"/>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360" w:before="0"/>
      <w:jc w:val="center"/>
    </w:pPr>
    <w:rPr>
      <w:rFonts w:ascii="Liberation Sans" w:asciiTheme="majorHAnsi" w:cstheme="majorBidi" w:eastAsia="Liberation Sans" w:eastAsiaTheme="majorEastAsia" w:hAnsi="Liberation Sans" w:hAnsiTheme="majorHAnsi"/>
      <w:b/>
      <w:i/>
      <w:iCs/>
      <w:color w:val="C4932F"/>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40" w:before="80"/>
      <w:ind w:left="259" w:right="115"/>
    </w:pPr>
    <w:rPr>
      <w:rFonts w:ascii="Liberation Sans" w:eastAsia="Liberation Sans" w:hAnsi="Liberation Sans"/>
      <w:i/>
      <w:iCs/>
      <w:color w:val="263238"/>
      <w:sz w:val="18"/>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Text" w:type="paragraph">
    <w:name w:val="Table Text"/>
    <w:pPr>
      <w:spacing w:after="0" w:line="240" w:lineRule="auto"/>
    </w:pPr>
    <w:rPr>
      <w:rFonts w:ascii="Liberation Sans" w:eastAsia="Liberation Sans" w:hAnsi="Liberation Sans"/>
      <w:sz w:val="16"/>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2026-07-23T02:04:16Z</dcterms:created>
  <dcterms:modified xsi:type="dcterms:W3CDTF">2026-07-23T02:04:16Z</dcterms:modified>
</cp:coreProperties>
</file>

<file path=docProps/custom.xml><?xml version="1.0" encoding="utf-8"?>
<Properties xmlns="http://schemas.openxmlformats.org/officeDocument/2006/custom-properties" xmlns:vt="http://schemas.openxmlformats.org/officeDocument/2006/docPropsVTypes"/>
</file>