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Display" w:hAnsi="Aptos Display"/>
          <w:b/>
          <w:color w:val="087F83"/>
          <w:sz w:val="30"/>
        </w:rPr>
        <w:t>EQUINESYNC</w:t>
      </w:r>
    </w:p>
    <w:p>
      <w:pPr>
        <w:pStyle w:val="Title"/>
        <w:spacing w:before="720" w:after="240"/>
        <w:jc w:val="center"/>
      </w:pPr>
      <w:r>
        <w:rPr>
          <w:rFonts w:ascii="Aptos Display" w:hAnsi="Aptos Display"/>
          <w:b/>
          <w:color w:val="087F83"/>
          <w:sz w:val="50"/>
        </w:rPr>
        <w:t>CGP-006</w:t>
        <w:br/>
      </w:r>
      <w:r>
        <w:rPr>
          <w:rFonts w:ascii="Aptos Display" w:hAnsi="Aptos Display"/>
          <w:b/>
          <w:color w:val="17324D"/>
          <w:sz w:val="48"/>
        </w:rPr>
        <w:t>SaaS Subscription Financial Provider Runtime Evidence</w:t>
        <w:br/>
      </w:r>
      <w:r>
        <w:rPr>
          <w:rFonts w:ascii="Aptos Display" w:hAnsi="Aptos Display"/>
          <w:b/>
          <w:color w:val="17324D"/>
          <w:sz w:val="44"/>
        </w:rPr>
        <w:t>Gap Closure Criteria and Assurance Plan</w:t>
      </w:r>
    </w:p>
    <w:p>
      <w:pPr>
        <w:jc w:val="center"/>
      </w:pPr>
      <w:r>
        <w:rPr>
          <w:rFonts w:ascii="Aptos" w:hAnsi="Aptos"/>
          <w:b/>
          <w:color w:val="087F83"/>
          <w:sz w:val="23"/>
        </w:rPr>
        <w:t>Version 1.1.0 | Subordinate Implementation-Governance Instrument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20"/>
            <w:shd w:fill="17324D"/>
            <w:tcMar>
              <w:top w:w="100" w:type="dxa"/>
              <w:start w:w="105" w:type="dxa"/>
              <w:bottom w:w="100" w:type="dxa"/>
              <w:end w:w="105" w:type="dxa"/>
            </w:tcMar>
            <w:vAlign w:val="center"/>
          </w:tcPr>
          <w:p>
            <w:pPr>
              <w:spacing w:after="0"/>
              <w:jc w:val="center"/>
            </w:pPr>
            <w:r>
              <w:rPr>
                <w:rFonts w:ascii="Aptos" w:hAnsi="Aptos"/>
                <w:b/>
                <w:color w:val="FFFFFF"/>
                <w:sz w:val="18"/>
              </w:rPr>
              <w:t>Control Field</w:t>
            </w:r>
          </w:p>
        </w:tc>
        <w:tc>
          <w:tcPr>
            <w:tcW w:type="dxa" w:w="6840"/>
            <w:shd w:fill="17324D"/>
            <w:tcMar>
              <w:top w:w="100" w:type="dxa"/>
              <w:start w:w="105" w:type="dxa"/>
              <w:bottom w:w="100" w:type="dxa"/>
              <w:end w:w="105" w:type="dxa"/>
            </w:tcMar>
            <w:vAlign w:val="center"/>
          </w:tcPr>
          <w:p>
            <w:pPr>
              <w:spacing w:after="0"/>
              <w:jc w:val="center"/>
            </w:pPr>
            <w:r>
              <w:rPr>
                <w:rFonts w:ascii="Aptos" w:hAnsi="Aptos"/>
                <w:b/>
                <w:color w:val="FFFFFF"/>
                <w:sz w:val="18"/>
              </w:rPr>
              <w:t>Value</w:t>
            </w:r>
          </w:p>
        </w:tc>
      </w:tr>
      <w:tr>
        <w:trPr>
          <w:cantSplit/>
        </w:trPr>
        <w:tc>
          <w:tcPr>
            <w:tcW w:type="dxa" w:w="252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Document ID</w:t>
            </w:r>
          </w:p>
        </w:tc>
        <w:tc>
          <w:tcPr>
            <w:tcW w:type="dxa" w:w="684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CGP006-FIN-GAP-0005-CLOSURE-CRITERIA-AND-ASSURANCE-PLAN-V1.1.0</w:t>
            </w:r>
          </w:p>
        </w:tc>
      </w:tr>
      <w:tr>
        <w:trPr>
          <w:cantSplit/>
        </w:trPr>
        <w:tc>
          <w:tcPr>
            <w:tcW w:type="dxa" w:w="2520"/>
            <w:tcMar>
              <w:top w:w="90" w:type="dxa"/>
              <w:start w:w="105" w:type="dxa"/>
              <w:bottom w:w="90" w:type="dxa"/>
              <w:end w:w="105" w:type="dxa"/>
            </w:tcMar>
            <w:vAlign w:val="center"/>
          </w:tcPr>
          <w:p>
            <w:pPr>
              <w:spacing w:after="0" w:line="240" w:lineRule="auto"/>
              <w:jc w:val="left"/>
            </w:pPr>
            <w:r>
              <w:rPr>
                <w:rFonts w:ascii="Aptos" w:hAnsi="Aptos"/>
                <w:color w:val="1E2A32"/>
                <w:sz w:val="18"/>
              </w:rPr>
              <w:t>Status</w:t>
            </w:r>
          </w:p>
        </w:tc>
        <w:tc>
          <w:tcPr>
            <w:tcW w:type="dxa" w:w="6840"/>
            <w:tcMar>
              <w:top w:w="90" w:type="dxa"/>
              <w:start w:w="105" w:type="dxa"/>
              <w:bottom w:w="90" w:type="dxa"/>
              <w:end w:w="105" w:type="dxa"/>
            </w:tcMar>
            <w:vAlign w:val="center"/>
          </w:tcPr>
          <w:p>
            <w:pPr>
              <w:jc w:val="left"/>
            </w:pPr>
            <w:r/>
            <w:r>
              <w:rPr>
                <w:rFonts w:ascii="Aptos" w:hAnsi="Aptos"/>
                <w:b w:val="0"/>
                <w:sz w:val="18"/>
              </w:rPr>
              <w:t>FOUNDER_APPROVED_PENDING_PROTECTED_REPOSITORY_ACCESSION_AND_CUSTODY_NO_GAP_CLOSURE_EFFECT</w:t>
            </w:r>
          </w:p>
        </w:tc>
      </w:tr>
      <w:tr>
        <w:trPr>
          <w:cantSplit/>
        </w:trPr>
        <w:tc>
          <w:tcPr>
            <w:tcW w:type="dxa" w:w="252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Controlling gap</w:t>
            </w:r>
          </w:p>
        </w:tc>
        <w:tc>
          <w:tcPr>
            <w:tcW w:type="dxa" w:w="684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CGP006-MAP-GAP-0005</w:t>
            </w:r>
          </w:p>
        </w:tc>
      </w:tr>
      <w:tr>
        <w:trPr>
          <w:cantSplit/>
        </w:trPr>
        <w:tc>
          <w:tcPr>
            <w:tcW w:type="dxa" w:w="2520"/>
            <w:tcMar>
              <w:top w:w="90" w:type="dxa"/>
              <w:start w:w="105" w:type="dxa"/>
              <w:bottom w:w="90" w:type="dxa"/>
              <w:end w:w="105" w:type="dxa"/>
            </w:tcMar>
            <w:vAlign w:val="center"/>
          </w:tcPr>
          <w:p>
            <w:pPr>
              <w:spacing w:after="0" w:line="240" w:lineRule="auto"/>
              <w:jc w:val="left"/>
            </w:pPr>
            <w:r>
              <w:rPr>
                <w:rFonts w:ascii="Aptos" w:hAnsi="Aptos"/>
                <w:color w:val="1E2A32"/>
                <w:sz w:val="18"/>
              </w:rPr>
              <w:t>Related IWP</w:t>
            </w:r>
          </w:p>
        </w:tc>
        <w:tc>
          <w:tcPr>
            <w:tcW w:type="dxa" w:w="6840"/>
            <w:tcMar>
              <w:top w:w="90" w:type="dxa"/>
              <w:start w:w="105" w:type="dxa"/>
              <w:bottom w:w="90" w:type="dxa"/>
              <w:end w:w="105" w:type="dxa"/>
            </w:tcMar>
            <w:vAlign w:val="center"/>
          </w:tcPr>
          <w:p>
            <w:pPr>
              <w:spacing w:after="0" w:line="240" w:lineRule="auto"/>
              <w:jc w:val="left"/>
            </w:pPr>
            <w:r>
              <w:rPr>
                <w:rFonts w:ascii="Aptos" w:hAnsi="Aptos"/>
                <w:color w:val="1E2A32"/>
                <w:sz w:val="18"/>
              </w:rPr>
              <w:t>CGP006-IWP-CANDIDATE-0004 - financial slice only</w:t>
            </w:r>
          </w:p>
        </w:tc>
      </w:tr>
      <w:tr>
        <w:trPr>
          <w:cantSplit/>
        </w:trPr>
        <w:tc>
          <w:tcPr>
            <w:tcW w:type="dxa" w:w="252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Affected guides</w:t>
            </w:r>
          </w:p>
        </w:tc>
        <w:tc>
          <w:tcPr>
            <w:tcW w:type="dxa" w:w="684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ES-CG-10 and ES-CG-13</w:t>
            </w:r>
          </w:p>
        </w:tc>
      </w:tr>
      <w:tr>
        <w:trPr>
          <w:cantSplit/>
        </w:trPr>
        <w:tc>
          <w:tcPr>
            <w:tcW w:type="dxa" w:w="2520"/>
            <w:tcMar>
              <w:top w:w="90" w:type="dxa"/>
              <w:start w:w="105" w:type="dxa"/>
              <w:bottom w:w="90" w:type="dxa"/>
              <w:end w:w="105" w:type="dxa"/>
            </w:tcMar>
            <w:vAlign w:val="center"/>
          </w:tcPr>
          <w:p>
            <w:pPr>
              <w:spacing w:after="0" w:line="240" w:lineRule="auto"/>
              <w:jc w:val="left"/>
            </w:pPr>
            <w:r>
              <w:rPr>
                <w:rFonts w:ascii="Aptos" w:hAnsi="Aptos"/>
                <w:color w:val="1E2A32"/>
                <w:sz w:val="18"/>
              </w:rPr>
              <w:t>Date</w:t>
            </w:r>
          </w:p>
        </w:tc>
        <w:tc>
          <w:tcPr>
            <w:tcW w:type="dxa" w:w="6840"/>
            <w:tcMar>
              <w:top w:w="90" w:type="dxa"/>
              <w:start w:w="105" w:type="dxa"/>
              <w:bottom w:w="90" w:type="dxa"/>
              <w:end w:w="105" w:type="dxa"/>
            </w:tcMar>
            <w:vAlign w:val="center"/>
          </w:tcPr>
          <w:p>
            <w:pPr>
              <w:jc w:val="left"/>
            </w:pPr>
            <w:r/>
            <w:r>
              <w:rPr>
                <w:rFonts w:ascii="Aptos" w:hAnsi="Aptos"/>
                <w:b w:val="0"/>
                <w:sz w:val="18"/>
              </w:rPr>
              <w:t>August 1, 2026</w:t>
            </w:r>
          </w:p>
        </w:tc>
      </w:tr>
      <w:tr>
        <w:tc>
          <w:tcPr>
            <w:tcW w:type="dxa" w:w="4997"/>
            <w:tcPr>
              <w:tcW w:type="dxa" w:w="2520"/>
              <w:tcMar>
                <w:top w:w="90" w:type="dxa"/>
                <w:start w:w="105" w:type="dxa"/>
                <w:bottom w:w="90" w:type="dxa"/>
                <w:end w:w="105" w:type="dxa"/>
              </w:tcMar>
              <w:vAlign w:val="center"/>
            </w:tcPr>
            <w:vAlign w:val="center"/>
            <w:shd w:fill="DCE6EA"/>
            <w:tcMar>
              <w:top w:w="90" w:type="dxa"/>
              <w:start w:w="110" w:type="dxa"/>
              <w:bottom w:w="90" w:type="dxa"/>
              <w:end w:w="110" w:type="dxa"/>
            </w:tcMar>
          </w:tcPr>
          <w:p>
            <w:pPr>
              <w:jc w:val="left"/>
            </w:pPr>
            <w:r/>
            <w:r>
              <w:rPr>
                <w:rFonts w:ascii="Aptos" w:hAnsi="Aptos"/>
                <w:b/>
                <w:color w:val="1F4E5F"/>
                <w:sz w:val="18"/>
              </w:rPr>
              <w:t>Founder approval ID</w:t>
            </w:r>
          </w:p>
        </w:tc>
        <w:tc>
          <w:tcPr>
            <w:tcW w:type="dxa" w:w="4997"/>
            <w:tcPr>
              <w:tcW w:type="dxa" w:w="6840"/>
              <w:tcMar>
                <w:top w:w="90" w:type="dxa"/>
                <w:start w:w="105" w:type="dxa"/>
                <w:bottom w:w="90" w:type="dxa"/>
                <w:end w:w="105" w:type="dxa"/>
              </w:tcMar>
              <w:vAlign w:val="center"/>
            </w:tcPr>
            <w:vAlign w:val="center"/>
            <w:shd w:fill="F7F9FA"/>
            <w:tcMar>
              <w:top w:w="90" w:type="dxa"/>
              <w:start w:w="110" w:type="dxa"/>
              <w:bottom w:w="90" w:type="dxa"/>
              <w:end w:w="110" w:type="dxa"/>
            </w:tcMar>
          </w:tcPr>
          <w:p>
            <w:pPr>
              <w:jc w:val="left"/>
            </w:pPr>
            <w:r/>
            <w:r>
              <w:rPr>
                <w:rFonts w:ascii="Aptos" w:hAnsi="Aptos"/>
                <w:b w:val="0"/>
                <w:color w:val="1F2937"/>
                <w:sz w:val="18"/>
              </w:rPr>
              <w:t>ES-FD-CGP006-MAP-GAP-0005-CLOSURE-PLAN-V1.1.0-2026-08-01</w:t>
            </w:r>
          </w:p>
        </w:tc>
      </w:tr>
      <w:tr>
        <w:tc>
          <w:tcPr>
            <w:tcW w:type="dxa" w:w="4997"/>
            <w:tcPr>
              <w:tcW w:type="dxa" w:w="4997"/>
              <w:tcPr>
                <w:tcW w:type="dxa" w:w="2520"/>
                <w:tcMar>
                  <w:top w:w="90" w:type="dxa"/>
                  <w:start w:w="105" w:type="dxa"/>
                  <w:bottom w:w="90" w:type="dxa"/>
                  <w:end w:w="105" w:type="dxa"/>
                </w:tcMar>
                <w:vAlign w:val="center"/>
              </w:tcPr>
              <w:vAlign w:val="center"/>
              <w:shd w:fill="DCE6EA"/>
              <w:tcMar>
                <w:top w:w="90" w:type="dxa"/>
                <w:start w:w="110" w:type="dxa"/>
                <w:bottom w:w="90" w:type="dxa"/>
                <w:end w:w="110" w:type="dxa"/>
              </w:tcMar>
            </w:tcPr>
            <w:vAlign w:val="center"/>
            <w:shd w:fill="DCE6EA"/>
            <w:tcMar>
              <w:top w:w="90" w:type="dxa"/>
              <w:start w:w="110" w:type="dxa"/>
              <w:bottom w:w="90" w:type="dxa"/>
              <w:end w:w="110" w:type="dxa"/>
            </w:tcMar>
          </w:tcPr>
          <w:p>
            <w:pPr>
              <w:jc w:val="left"/>
            </w:pPr>
            <w:r/>
            <w:r>
              <w:rPr>
                <w:rFonts w:ascii="Aptos" w:hAnsi="Aptos"/>
                <w:b/>
                <w:color w:val="1F4E5F"/>
                <w:sz w:val="18"/>
              </w:rPr>
              <w:t>Approval timestamp</w:t>
            </w:r>
          </w:p>
        </w:tc>
        <w:tc>
          <w:tcPr>
            <w:tcW w:type="dxa" w:w="4997"/>
            <w:tcPr>
              <w:tcW w:type="dxa" w:w="4997"/>
              <w:tcPr>
                <w:tcW w:type="dxa" w:w="6840"/>
                <w:tcMar>
                  <w:top w:w="90" w:type="dxa"/>
                  <w:start w:w="105" w:type="dxa"/>
                  <w:bottom w:w="90" w:type="dxa"/>
                  <w:end w:w="105" w:type="dxa"/>
                </w:tcMar>
                <w:vAlign w:val="center"/>
              </w:tcPr>
              <w:vAlign w:val="center"/>
              <w:shd w:fill="F7F9FA"/>
              <w:tcMar>
                <w:top w:w="90" w:type="dxa"/>
                <w:start w:w="110" w:type="dxa"/>
                <w:bottom w:w="90" w:type="dxa"/>
                <w:end w:w="110" w:type="dxa"/>
              </w:tcMar>
            </w:tcPr>
            <w:vAlign w:val="center"/>
            <w:shd w:fill="F7F9FA"/>
            <w:tcMar>
              <w:top w:w="90" w:type="dxa"/>
              <w:start w:w="110" w:type="dxa"/>
              <w:bottom w:w="90" w:type="dxa"/>
              <w:end w:w="110" w:type="dxa"/>
            </w:tcMar>
          </w:tcPr>
          <w:p>
            <w:pPr>
              <w:jc w:val="left"/>
            </w:pPr>
            <w:r/>
            <w:r>
              <w:rPr>
                <w:rFonts w:ascii="Aptos" w:hAnsi="Aptos"/>
                <w:b w:val="0"/>
                <w:color w:val="1F2937"/>
                <w:sz w:val="18"/>
              </w:rPr>
              <w:t>2026-08-01T00:01:00-05:00</w:t>
            </w:r>
          </w:p>
        </w:tc>
      </w:tr>
      <w:tr>
        <w:tc>
          <w:tcPr>
            <w:tcW w:type="dxa" w:w="4997"/>
            <w:tcPr>
              <w:tcW w:type="dxa" w:w="4997"/>
              <w:tcPr>
                <w:tcW w:type="dxa" w:w="4997"/>
                <w:tcPr>
                  <w:tcW w:type="dxa" w:w="2520"/>
                  <w:tcMar>
                    <w:top w:w="90" w:type="dxa"/>
                    <w:start w:w="105" w:type="dxa"/>
                    <w:bottom w:w="90" w:type="dxa"/>
                    <w:end w:w="105" w:type="dxa"/>
                  </w:tcMar>
                  <w:vAlign w:val="center"/>
                </w:tcPr>
                <w:vAlign w:val="center"/>
                <w:shd w:fill="DCE6EA"/>
                <w:tcMar>
                  <w:top w:w="90" w:type="dxa"/>
                  <w:start w:w="110" w:type="dxa"/>
                  <w:bottom w:w="90" w:type="dxa"/>
                  <w:end w:w="110" w:type="dxa"/>
                </w:tcMar>
              </w:tcPr>
              <w:vAlign w:val="center"/>
              <w:shd w:fill="DCE6EA"/>
              <w:tcMar>
                <w:top w:w="90" w:type="dxa"/>
                <w:start w:w="110" w:type="dxa"/>
                <w:bottom w:w="90" w:type="dxa"/>
                <w:end w:w="110" w:type="dxa"/>
              </w:tcMar>
            </w:tcPr>
            <w:vAlign w:val="center"/>
            <w:shd w:fill="DCE6EA"/>
            <w:tcMar>
              <w:top w:w="90" w:type="dxa"/>
              <w:start w:w="110" w:type="dxa"/>
              <w:bottom w:w="90" w:type="dxa"/>
              <w:end w:w="110" w:type="dxa"/>
            </w:tcMar>
          </w:tcPr>
          <w:p>
            <w:pPr>
              <w:jc w:val="left"/>
            </w:pPr>
            <w:r/>
            <w:r>
              <w:rPr>
                <w:rFonts w:ascii="Aptos" w:hAnsi="Aptos"/>
                <w:b/>
                <w:color w:val="1F4E5F"/>
                <w:sz w:val="18"/>
              </w:rPr>
              <w:t>Approval scope</w:t>
            </w:r>
          </w:p>
        </w:tc>
        <w:tc>
          <w:tcPr>
            <w:tcW w:type="dxa" w:w="4997"/>
            <w:tcPr>
              <w:tcW w:type="dxa" w:w="4997"/>
              <w:tcPr>
                <w:tcW w:type="dxa" w:w="4997"/>
                <w:tcPr>
                  <w:tcW w:type="dxa" w:w="6840"/>
                  <w:tcMar>
                    <w:top w:w="90" w:type="dxa"/>
                    <w:start w:w="105" w:type="dxa"/>
                    <w:bottom w:w="90" w:type="dxa"/>
                    <w:end w:w="105" w:type="dxa"/>
                  </w:tcMar>
                  <w:vAlign w:val="center"/>
                </w:tcPr>
                <w:vAlign w:val="center"/>
                <w:shd w:fill="F7F9FA"/>
                <w:tcMar>
                  <w:top w:w="90" w:type="dxa"/>
                  <w:start w:w="110" w:type="dxa"/>
                  <w:bottom w:w="90" w:type="dxa"/>
                  <w:end w:w="110" w:type="dxa"/>
                </w:tcMar>
              </w:tcPr>
              <w:vAlign w:val="center"/>
              <w:shd w:fill="F7F9FA"/>
              <w:tcMar>
                <w:top w:w="90" w:type="dxa"/>
                <w:start w:w="110" w:type="dxa"/>
                <w:bottom w:w="90" w:type="dxa"/>
                <w:end w:w="110" w:type="dxa"/>
              </w:tcMar>
            </w:tcPr>
            <w:vAlign w:val="center"/>
            <w:shd w:fill="F7F9FA"/>
            <w:tcMar>
              <w:top w:w="90" w:type="dxa"/>
              <w:start w:w="110" w:type="dxa"/>
              <w:bottom w:w="90" w:type="dxa"/>
              <w:end w:w="110" w:type="dxa"/>
            </w:tcMar>
          </w:tcPr>
          <w:p>
            <w:pPr>
              <w:jc w:val="left"/>
            </w:pPr>
            <w:r/>
            <w:r>
              <w:rPr>
                <w:rFonts w:ascii="Aptos" w:hAnsi="Aptos"/>
                <w:b w:val="0"/>
                <w:color w:val="1F2937"/>
                <w:sz w:val="18"/>
              </w:rPr>
              <w:t>Documentary approval of this closure-criteria and assurance plan only; no gap closure or runtime authority</w:t>
            </w:r>
          </w:p>
        </w:tc>
      </w:tr>
    </w:tbl>
    <w:p>
      <w:pPr>
        <w:spacing w:after="20"/>
      </w:pPr>
    </w:p>
    <w:tbl>
      <w:tblPr>
        <w:tblW w:type="auto" w:w="0"/>
        <w:jc w:val="center"/>
        <w:tblLayout w:type="fixed"/>
        <w:tblLook w:firstColumn="1" w:firstRow="1" w:lastColumn="0" w:lastRow="0" w:noHBand="0" w:noVBand="1" w:val="04A0"/>
      </w:tblPr>
      <w:tblGrid>
        <w:gridCol w:w="9994"/>
      </w:tblGrid>
      <w:tr>
        <w:tc>
          <w:tcPr>
            <w:tcW w:type="dxa" w:w="9432"/>
            <w:shd w:fill="E7F3F3"/>
            <w:tcMar>
              <w:top w:w="130" w:type="dxa"/>
              <w:start w:w="160" w:type="dxa"/>
              <w:bottom w:w="130" w:type="dxa"/>
              <w:end w:w="160" w:type="dxa"/>
            </w:tcMar>
            <w:tcBorders>
              <w:left w:val="single" w:sz="18" w:color="087F83"/>
            </w:tcBorders>
          </w:tcPr>
          <w:p>
            <w:r/>
            <w:r>
              <w:rPr>
                <w:rFonts w:ascii="Aptos" w:hAnsi="Aptos"/>
                <w:b/>
                <w:color w:val="0B7F87"/>
                <w:sz w:val="20"/>
              </w:rPr>
              <w:t>FOUNDER DECISION RECORDED</w:t>
              <w:br/>
            </w:r>
            <w:r>
              <w:rPr>
                <w:rFonts w:ascii="Aptos" w:hAnsi="Aptos"/>
                <w:color w:val="23333B"/>
                <w:sz w:val="20"/>
              </w:rPr>
              <w:t>Founder approved the document classification, hierarchy, technical closure path, exact closure object, evidence gates, repository placement, and authority boundaries on August 1, 2026.</w:t>
            </w:r>
          </w:p>
        </w:tc>
      </w:tr>
    </w:tbl>
    <w:p>
      <w:pPr>
        <w:spacing w:after="20"/>
      </w:pPr>
    </w:p>
    <w:p>
      <w:pPr>
        <w:spacing w:after="20"/>
      </w:pPr>
    </w:p>
    <w:p>
      <w:pPr>
        <w:pStyle w:val="Heading1"/>
        <w:spacing w:before="280" w:after="100"/>
        <w:keepNext/>
        <w:pBdr>
          <w:bottom w:val="single" w:sz="6" w:space="4" w:color="B8CDD8"/>
        </w:pBdr>
      </w:pPr>
      <w:r>
        <w:rPr>
          <w:rFonts w:ascii="Aptos" w:hAnsi="Aptos"/>
          <w:b/>
          <w:color w:val="17324D"/>
          <w:sz w:val="30"/>
        </w:rPr>
        <w:t>Document Control and Revision Status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24D"/>
            <w:tcMar>
              <w:top w:w="100" w:type="dxa"/>
              <w:start w:w="105" w:type="dxa"/>
              <w:bottom w:w="100" w:type="dxa"/>
              <w:end w:w="105" w:type="dxa"/>
            </w:tcMar>
            <w:vAlign w:val="center"/>
          </w:tcPr>
          <w:p>
            <w:pPr>
              <w:spacing w:after="0"/>
              <w:jc w:val="center"/>
            </w:pPr>
            <w:r>
              <w:rPr>
                <w:rFonts w:ascii="Aptos" w:hAnsi="Aptos"/>
                <w:b/>
                <w:color w:val="FFFFFF"/>
                <w:sz w:val="18"/>
              </w:rPr>
              <w:t>Field</w:t>
            </w:r>
          </w:p>
        </w:tc>
        <w:tc>
          <w:tcPr>
            <w:tcW w:type="dxa" w:w="6408"/>
            <w:shd w:fill="17324D"/>
            <w:tcMar>
              <w:top w:w="100" w:type="dxa"/>
              <w:start w:w="105" w:type="dxa"/>
              <w:bottom w:w="100" w:type="dxa"/>
              <w:end w:w="105" w:type="dxa"/>
            </w:tcMar>
            <w:vAlign w:val="center"/>
          </w:tcPr>
          <w:p>
            <w:pPr>
              <w:spacing w:after="0"/>
              <w:jc w:val="center"/>
            </w:pPr>
            <w:r>
              <w:rPr>
                <w:rFonts w:ascii="Aptos" w:hAnsi="Aptos"/>
                <w:b/>
                <w:color w:val="FFFFFF"/>
                <w:sz w:val="18"/>
              </w:rPr>
              <w:t>Controlled Value</w:t>
            </w:r>
          </w:p>
        </w:tc>
      </w:tr>
      <w:tr>
        <w:trPr>
          <w:cantSplit/>
        </w:trPr>
        <w:tc>
          <w:tcPr>
            <w:tcW w:type="dxa" w:w="2952"/>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Classification</w:t>
            </w:r>
          </w:p>
        </w:tc>
        <w:tc>
          <w:tcPr>
            <w:tcW w:type="dxa" w:w="6408"/>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CGP-006 subordinate implementation-governance closure-criteria and evidence-assurance plan</w:t>
            </w:r>
          </w:p>
        </w:tc>
      </w:tr>
      <w:tr>
        <w:trPr>
          <w:cantSplit/>
        </w:trPr>
        <w:tc>
          <w:tcPr>
            <w:tcW w:type="dxa" w:w="2952"/>
            <w:tcMar>
              <w:top w:w="90" w:type="dxa"/>
              <w:start w:w="105" w:type="dxa"/>
              <w:bottom w:w="90" w:type="dxa"/>
              <w:end w:w="105" w:type="dxa"/>
            </w:tcMar>
            <w:vAlign w:val="center"/>
          </w:tcPr>
          <w:p>
            <w:pPr>
              <w:spacing w:after="0" w:line="240" w:lineRule="auto"/>
              <w:jc w:val="left"/>
            </w:pPr>
            <w:r>
              <w:rPr>
                <w:rFonts w:ascii="Aptos" w:hAnsi="Aptos"/>
                <w:color w:val="1E2A32"/>
                <w:sz w:val="17"/>
              </w:rPr>
              <w:t>Lifecycle status</w:t>
            </w:r>
          </w:p>
        </w:tc>
        <w:tc>
          <w:tcPr>
            <w:tcW w:type="dxa" w:w="6408"/>
            <w:tcMar>
              <w:top w:w="90" w:type="dxa"/>
              <w:start w:w="105" w:type="dxa"/>
              <w:bottom w:w="90" w:type="dxa"/>
              <w:end w:w="105" w:type="dxa"/>
            </w:tcMar>
            <w:vAlign w:val="center"/>
          </w:tcPr>
          <w:p>
            <w:r>
              <w:rPr>
                <w:rFonts w:ascii="Aptos" w:hAnsi="Aptos"/>
                <w:sz w:val="17"/>
              </w:rPr>
              <w:t>Founder approved; protected repository accession and custody pending; no gap closure effect</w:t>
            </w:r>
          </w:p>
        </w:tc>
      </w:tr>
      <w:tr>
        <w:trPr>
          <w:cantSplit/>
        </w:trPr>
        <w:tc>
          <w:tcPr>
            <w:tcW w:type="dxa" w:w="2952"/>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Primary closure object</w:t>
            </w:r>
          </w:p>
        </w:tc>
        <w:tc>
          <w:tcPr>
            <w:tcW w:type="dxa" w:w="6408"/>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CGP006-MAP-GAP-0005 only</w:t>
            </w:r>
          </w:p>
        </w:tc>
      </w:tr>
      <w:tr>
        <w:trPr>
          <w:cantSplit/>
        </w:trPr>
        <w:tc>
          <w:tcPr>
            <w:tcW w:type="dxa" w:w="2952"/>
            <w:tcMar>
              <w:top w:w="90" w:type="dxa"/>
              <w:start w:w="105" w:type="dxa"/>
              <w:bottom w:w="90" w:type="dxa"/>
              <w:end w:w="105" w:type="dxa"/>
            </w:tcMar>
            <w:vAlign w:val="center"/>
          </w:tcPr>
          <w:p>
            <w:pPr>
              <w:spacing w:after="0" w:line="240" w:lineRule="auto"/>
              <w:jc w:val="left"/>
            </w:pPr>
            <w:r>
              <w:rPr>
                <w:rFonts w:ascii="Aptos" w:hAnsi="Aptos"/>
                <w:color w:val="1E2A32"/>
                <w:sz w:val="17"/>
              </w:rPr>
              <w:t>Supporting PIA</w:t>
            </w:r>
          </w:p>
        </w:tc>
        <w:tc>
          <w:tcPr>
            <w:tcW w:type="dxa" w:w="6408"/>
            <w:tcMar>
              <w:top w:w="90" w:type="dxa"/>
              <w:start w:w="105" w:type="dxa"/>
              <w:bottom w:w="90" w:type="dxa"/>
              <w:end w:w="105" w:type="dxa"/>
            </w:tcMar>
            <w:vAlign w:val="center"/>
          </w:tcPr>
          <w:p>
            <w:pPr>
              <w:spacing w:after="0" w:line="240" w:lineRule="auto"/>
              <w:jc w:val="left"/>
            </w:pPr>
            <w:r>
              <w:rPr>
                <w:rFonts w:ascii="Aptos" w:hAnsi="Aptos"/>
                <w:color w:val="1E2A32"/>
                <w:sz w:val="17"/>
              </w:rPr>
              <w:t>Item 09 BPF V0.2, documentary-governance approval only</w:t>
            </w:r>
          </w:p>
        </w:tc>
      </w:tr>
      <w:tr>
        <w:trPr>
          <w:cantSplit/>
        </w:trPr>
        <w:tc>
          <w:tcPr>
            <w:tcW w:type="dxa" w:w="2952"/>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Reviewed repository reference</w:t>
            </w:r>
          </w:p>
        </w:tc>
        <w:tc>
          <w:tcPr>
            <w:tcW w:type="dxa" w:w="6408"/>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integrate-emergent-final-zip at 9996e948ede39a968b8facd8afe15c2b1a345204; reverify before accession</w:t>
            </w:r>
          </w:p>
        </w:tc>
      </w:tr>
      <w:tr>
        <w:trPr>
          <w:cantSplit/>
        </w:trPr>
        <w:tc>
          <w:tcPr>
            <w:tcW w:type="dxa" w:w="2952"/>
            <w:tcMar>
              <w:top w:w="90" w:type="dxa"/>
              <w:start w:w="105" w:type="dxa"/>
              <w:bottom w:w="90" w:type="dxa"/>
              <w:end w:w="105" w:type="dxa"/>
            </w:tcMar>
            <w:vAlign w:val="center"/>
          </w:tcPr>
          <w:p>
            <w:pPr>
              <w:spacing w:after="0" w:line="240" w:lineRule="auto"/>
              <w:jc w:val="left"/>
            </w:pPr>
            <w:r>
              <w:rPr>
                <w:rFonts w:ascii="Aptos" w:hAnsi="Aptos"/>
                <w:color w:val="1E2A32"/>
                <w:sz w:val="17"/>
              </w:rPr>
              <w:t>Proposed repository path</w:t>
            </w:r>
          </w:p>
        </w:tc>
        <w:tc>
          <w:tcPr>
            <w:tcW w:type="dxa" w:w="6408"/>
            <w:tcMar>
              <w:top w:w="90" w:type="dxa"/>
              <w:start w:w="105" w:type="dxa"/>
              <w:bottom w:w="90" w:type="dxa"/>
              <w:end w:w="105" w:type="dxa"/>
            </w:tcMar>
            <w:vAlign w:val="center"/>
          </w:tcPr>
          <w:p>
            <w:pPr>
              <w:spacing w:after="0" w:line="240" w:lineRule="auto"/>
              <w:jc w:val="left"/>
            </w:pPr>
            <w:r>
              <w:rPr>
                <w:rFonts w:ascii="Aptos" w:hAnsi="Aptos"/>
                <w:color w:val="1E2A32"/>
                <w:sz w:val="17"/>
              </w:rPr>
              <w:t>governance/implementation/code-guides/drafting/CGP-006/SAAS_SUBSCRIPTION_FINANCIAL_PROVIDER_RUNTIME_EVIDENCE_GAP_CLOSURE_CRITERIA_AND_ASSURANCE_PLAN_V1_1/</w:t>
              <w:br/>
              <w:t>CGP006_MAP_GAP_0005_CLOSURE_CRITERIA_AND_ASSURANCE_PLAN_V1_1_0.md</w:t>
            </w:r>
          </w:p>
        </w:tc>
      </w:tr>
      <w:tr>
        <w:trPr>
          <w:cantSplit/>
        </w:trPr>
        <w:tc>
          <w:tcPr>
            <w:tcW w:type="dxa" w:w="2952"/>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Supersedes</w:t>
            </w:r>
          </w:p>
        </w:tc>
        <w:tc>
          <w:tcPr>
            <w:tcW w:type="dxa" w:w="6408"/>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Local V1.0 draft only; no repository governance artifact</w:t>
            </w:r>
          </w:p>
        </w:tc>
      </w:tr>
      <w:tr>
        <w:trPr>
          <w:cantSplit/>
        </w:trPr>
        <w:tc>
          <w:tcPr>
            <w:tcW w:type="dxa" w:w="2952"/>
            <w:tcMar>
              <w:top w:w="90" w:type="dxa"/>
              <w:start w:w="105" w:type="dxa"/>
              <w:bottom w:w="90" w:type="dxa"/>
              <w:end w:w="105" w:type="dxa"/>
            </w:tcMar>
            <w:vAlign w:val="center"/>
          </w:tcPr>
          <w:p>
            <w:pPr>
              <w:spacing w:after="0" w:line="240" w:lineRule="auto"/>
              <w:jc w:val="left"/>
            </w:pPr>
            <w:r>
              <w:rPr>
                <w:rFonts w:ascii="Aptos" w:hAnsi="Aptos"/>
                <w:color w:val="1E2A32"/>
                <w:sz w:val="17"/>
              </w:rPr>
              <w:t>Closure authority</w:t>
            </w:r>
          </w:p>
        </w:tc>
        <w:tc>
          <w:tcPr>
            <w:tcW w:type="dxa" w:w="6408"/>
            <w:tcMar>
              <w:top w:w="90" w:type="dxa"/>
              <w:start w:w="105" w:type="dxa"/>
              <w:bottom w:w="90" w:type="dxa"/>
              <w:end w:w="105" w:type="dxa"/>
            </w:tcMar>
            <w:vAlign w:val="center"/>
          </w:tcPr>
          <w:p>
            <w:pPr>
              <w:spacing w:after="0" w:line="240" w:lineRule="auto"/>
              <w:jc w:val="left"/>
            </w:pPr>
            <w:r>
              <w:rPr>
                <w:rFonts w:ascii="Aptos" w:hAnsi="Aptos"/>
                <w:color w:val="1E2A32"/>
                <w:sz w:val="17"/>
              </w:rPr>
              <w:t>Founder with protected financial assurance evidence and custody</w:t>
            </w:r>
          </w:p>
        </w:tc>
      </w:tr>
      <w:tr>
        <w:trPr>
          <w:cantSplit/>
        </w:trPr>
        <w:tc>
          <w:tcPr>
            <w:tcW w:type="dxa" w:w="2952"/>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Implementation authority created</w:t>
            </w:r>
          </w:p>
        </w:tc>
        <w:tc>
          <w:tcPr>
            <w:tcW w:type="dxa" w:w="6408"/>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No</w:t>
            </w:r>
          </w:p>
        </w:tc>
      </w:tr>
      <w:tr>
        <w:trPr>
          <w:cantSplit/>
        </w:trPr>
        <w:tc>
          <w:tcPr>
            <w:tcW w:type="dxa" w:w="2952"/>
            <w:tcMar>
              <w:top w:w="90" w:type="dxa"/>
              <w:start w:w="105" w:type="dxa"/>
              <w:bottom w:w="90" w:type="dxa"/>
              <w:end w:w="105" w:type="dxa"/>
            </w:tcMar>
            <w:vAlign w:val="center"/>
          </w:tcPr>
          <w:p>
            <w:pPr>
              <w:spacing w:after="0" w:line="240" w:lineRule="auto"/>
              <w:jc w:val="left"/>
            </w:pPr>
            <w:r>
              <w:rPr>
                <w:rFonts w:ascii="Aptos" w:hAnsi="Aptos"/>
                <w:color w:val="1E2A32"/>
                <w:sz w:val="17"/>
              </w:rPr>
              <w:t>Provider/live-payment authority created</w:t>
            </w:r>
          </w:p>
        </w:tc>
        <w:tc>
          <w:tcPr>
            <w:tcW w:type="dxa" w:w="6408"/>
            <w:tcMar>
              <w:top w:w="90" w:type="dxa"/>
              <w:start w:w="105" w:type="dxa"/>
              <w:bottom w:w="90" w:type="dxa"/>
              <w:end w:w="105" w:type="dxa"/>
            </w:tcMar>
            <w:vAlign w:val="center"/>
          </w:tcPr>
          <w:p>
            <w:pPr>
              <w:spacing w:after="0" w:line="240" w:lineRule="auto"/>
              <w:jc w:val="left"/>
            </w:pPr>
            <w:r>
              <w:rPr>
                <w:rFonts w:ascii="Aptos" w:hAnsi="Aptos"/>
                <w:color w:val="1E2A32"/>
                <w:sz w:val="17"/>
              </w:rPr>
              <w:t>No</w:t>
            </w:r>
          </w:p>
        </w:tc>
      </w:tr>
      <w:tr>
        <w:trPr>
          <w:cantSplit/>
        </w:trPr>
        <w:tc>
          <w:tcPr>
            <w:tcW w:type="dxa" w:w="2952"/>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Production/release authority created</w:t>
            </w:r>
          </w:p>
        </w:tc>
        <w:tc>
          <w:tcPr>
            <w:tcW w:type="dxa" w:w="6408"/>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No</w:t>
            </w:r>
          </w:p>
        </w:tc>
      </w:tr>
    </w:tbl>
    <w:p>
      <w:pPr>
        <w:spacing w:after="20"/>
      </w:pPr>
    </w:p>
    <w:p>
      <w:pPr>
        <w:pStyle w:val="Heading1"/>
        <w:spacing w:before="280" w:after="100"/>
        <w:keepNext/>
        <w:pBdr>
          <w:bottom w:val="single" w:sz="6" w:space="4" w:color="B8CDD8"/>
        </w:pBdr>
      </w:pPr>
      <w:r>
        <w:rPr>
          <w:rFonts w:ascii="Aptos" w:hAnsi="Aptos"/>
          <w:b/>
          <w:color w:val="17324D"/>
          <w:sz w:val="30"/>
        </w:rPr>
        <w:t>Executive Disposition</w:t>
      </w:r>
    </w:p>
    <w:p>
      <w:pPr>
        <w:spacing w:before="0" w:after="100" w:line="259" w:lineRule="auto"/>
      </w:pPr>
      <w:r>
        <w:rPr>
          <w:rFonts w:ascii="Aptos" w:hAnsi="Aptos"/>
          <w:sz w:val="21"/>
        </w:rPr>
        <w:t>Founder approval of this instrument was recorded on August 1, 2026 under ES-FD-CGP006-MAP-GAP-0005-CLOSURE-PLAN-V1.1.0-2026-08-01. The approval adopts this document as the approved subordinate documentary closure-criteria and assurance plan for CGP006-MAP-GAP-0005. It does not itself close that gap, authorize implementation, approve or activate a provider, permit a live payment, establish production readiness, or amend controlling canon.</w:t>
      </w:r>
    </w:p>
    <w:p>
      <w:pPr>
        <w:spacing w:before="0" w:after="100" w:line="259" w:lineRule="auto"/>
      </w:pPr>
      <w:r>
        <w:rPr>
          <w:rFonts w:ascii="Aptos" w:hAnsi="Aptos"/>
          <w:i w:val="0"/>
          <w:color w:val="1E2A32"/>
          <w:sz w:val="21"/>
        </w:rPr>
        <w:t>The V1.0 draft required a live transaction as a universal closure gate and placed the document outside the existing CGP-006 hierarchy. V1.1.0 corrects those weaknesses and narrows every claim to the exact gap lineage.</w:t>
      </w:r>
    </w:p>
    <w:p>
      <w:pPr>
        <w:pStyle w:val="ListBullet"/>
        <w:spacing w:after="50" w:line="252" w:lineRule="auto"/>
        <w:ind w:left="317" w:hanging="216"/>
      </w:pPr>
      <w:r>
        <w:rPr>
          <w:rFonts w:ascii="Aptos" w:hAnsi="Aptos"/>
          <w:color w:val="1E2A32"/>
          <w:sz w:val="20"/>
        </w:rPr>
        <w:t>Anchors the plan to CGP006-MAP-GAP-0005, CGP006-IWP-CANDIDATE-0004, ES-CG-10, ES-CG-13, Item 09, PR #69, and PR #70.</w:t>
      </w:r>
    </w:p>
    <w:p>
      <w:pPr>
        <w:pStyle w:val="ListBullet"/>
        <w:spacing w:after="50" w:line="252" w:lineRule="auto"/>
        <w:ind w:left="317" w:hanging="216"/>
      </w:pPr>
      <w:r>
        <w:rPr>
          <w:rFonts w:ascii="Aptos" w:hAnsi="Aptos"/>
          <w:color w:val="1E2A32"/>
          <w:sz w:val="20"/>
        </w:rPr>
        <w:t>Places the package under the established governance/implementation/code-guides/drafting/CGP-006 hierarchy.</w:t>
      </w:r>
    </w:p>
    <w:p>
      <w:pPr>
        <w:pStyle w:val="ListBullet"/>
        <w:spacing w:after="50" w:line="252" w:lineRule="auto"/>
        <w:ind w:left="317" w:hanging="216"/>
      </w:pPr>
      <w:r>
        <w:rPr>
          <w:rFonts w:ascii="Aptos" w:hAnsi="Aptos"/>
          <w:color w:val="1E2A32"/>
          <w:sz w:val="20"/>
        </w:rPr>
        <w:t>Separates technical evidence-gap closure from production financial readiness.</w:t>
      </w:r>
    </w:p>
    <w:p>
      <w:pPr>
        <w:pStyle w:val="ListBullet"/>
        <w:spacing w:after="50" w:line="252" w:lineRule="auto"/>
        <w:ind w:left="317" w:hanging="216"/>
      </w:pPr>
      <w:r>
        <w:rPr>
          <w:rFonts w:ascii="Aptos" w:hAnsi="Aptos"/>
          <w:color w:val="1E2A32"/>
          <w:sz w:val="20"/>
        </w:rPr>
        <w:t>Uses provider-connected Stripe sandbox/test evidence as the ordinary technical closure path.</w:t>
      </w:r>
    </w:p>
    <w:p>
      <w:pPr>
        <w:pStyle w:val="ListBullet"/>
        <w:spacing w:after="50" w:line="252" w:lineRule="auto"/>
        <w:ind w:left="317" w:hanging="216"/>
      </w:pPr>
      <w:r>
        <w:rPr>
          <w:rFonts w:ascii="Aptos" w:hAnsi="Aptos"/>
          <w:color w:val="1E2A32"/>
          <w:sz w:val="20"/>
        </w:rPr>
        <w:t>Requires a live transaction only when separately directed or when a material control cannot otherwise be proven.</w:t>
      </w:r>
    </w:p>
    <w:p>
      <w:pPr>
        <w:pStyle w:val="ListBullet"/>
        <w:spacing w:after="50" w:line="252" w:lineRule="auto"/>
        <w:ind w:left="317" w:hanging="216"/>
      </w:pPr>
      <w:r>
        <w:rPr>
          <w:rFonts w:ascii="Aptos" w:hAnsi="Aptos"/>
          <w:color w:val="1E2A32"/>
          <w:sz w:val="20"/>
        </w:rPr>
        <w:t>Adds evidence acceptance, review integrity, contradictory-evidence, revalidation, and custody controls.</w:t>
      </w:r>
    </w:p>
    <w:tbl>
      <w:tblPr>
        <w:tblW w:type="auto" w:w="0"/>
        <w:jc w:val="center"/>
        <w:tblLayout w:type="fixed"/>
        <w:tblLook w:firstColumn="1" w:firstRow="1" w:lastColumn="0" w:lastRow="0" w:noHBand="0" w:noVBand="1" w:val="04A0"/>
      </w:tblPr>
      <w:tblGrid>
        <w:gridCol w:w="9994"/>
      </w:tblGrid>
      <w:tr>
        <w:tc>
          <w:tcPr>
            <w:tcW w:type="dxa" w:w="9432"/>
            <w:shd w:fill="F6E7C8"/>
            <w:tcMar>
              <w:top w:w="130" w:type="dxa"/>
              <w:start w:w="160" w:type="dxa"/>
              <w:bottom w:w="130" w:type="dxa"/>
              <w:end w:w="160" w:type="dxa"/>
            </w:tcMar>
            <w:tcBorders>
              <w:left w:val="single" w:sz="18" w:color="A16B13"/>
            </w:tcBorders>
          </w:tcPr>
          <w:p>
            <w:r/>
            <w:r>
              <w:rPr>
                <w:rFonts w:ascii="Aptos" w:hAnsi="Aptos"/>
                <w:b/>
                <w:color w:val="0B7F87"/>
                <w:sz w:val="20"/>
              </w:rPr>
              <w:t>FOUNDER-APPROVED PRESENT POSTURE</w:t>
              <w:br/>
            </w:r>
            <w:r>
              <w:rPr>
                <w:rFonts w:ascii="Aptos" w:hAnsi="Aptos"/>
                <w:color w:val="23333B"/>
                <w:sz w:val="20"/>
              </w:rPr>
              <w:t>The plan is approved but not yet protectedly accessioned or placed into custody. PR #69 and PR #70 remain evidence inputs only while open, draft, unmerged, or not followed by protected-head custody. Neither draft PR, alone or together, closes CGP006-MAP-GAP-0005.</w:t>
            </w:r>
          </w:p>
        </w:tc>
      </w:tr>
    </w:tbl>
    <w:p>
      <w:pPr>
        <w:spacing w:after="20"/>
      </w:pPr>
    </w:p>
    <w:p>
      <w:pPr>
        <w:pStyle w:val="Heading1"/>
        <w:spacing w:before="280" w:after="100"/>
        <w:keepNext/>
        <w:pBdr>
          <w:bottom w:val="single" w:sz="6" w:space="4" w:color="B8CDD8"/>
        </w:pBdr>
      </w:pPr>
      <w:r>
        <w:rPr>
          <w:rFonts w:ascii="Aptos" w:hAnsi="Aptos"/>
          <w:b/>
          <w:color w:val="17324D"/>
          <w:sz w:val="30"/>
        </w:rPr>
        <w:t>1. Purpose, Nature, and Normative Use</w:t>
      </w:r>
    </w:p>
    <w:p>
      <w:pPr>
        <w:pStyle w:val="Heading2"/>
        <w:spacing w:before="200" w:after="100"/>
        <w:keepNext/>
      </w:pPr>
      <w:r>
        <w:rPr>
          <w:rFonts w:ascii="Aptos" w:hAnsi="Aptos"/>
          <w:b/>
          <w:color w:val="087F83"/>
          <w:sz w:val="25"/>
        </w:rPr>
        <w:t>1.1 Purpose</w:t>
      </w:r>
    </w:p>
    <w:p>
      <w:pPr>
        <w:spacing w:before="0" w:after="100" w:line="259" w:lineRule="auto"/>
      </w:pPr>
      <w:r>
        <w:rPr>
          <w:rFonts w:ascii="Aptos" w:hAnsi="Aptos"/>
          <w:i w:val="0"/>
          <w:color w:val="1E2A32"/>
          <w:sz w:val="21"/>
        </w:rPr>
        <w:t>This plan converts distributed constitutional, PIA, Code Guide, gap-register, provider-evidence, and repository requirements into a bounded and auditable closure test for CGP006-MAP-GAP-0005.</w:t>
      </w:r>
    </w:p>
    <w:p>
      <w:pPr>
        <w:pStyle w:val="Heading2"/>
        <w:spacing w:before="200" w:after="100"/>
        <w:keepNext/>
      </w:pPr>
      <w:r>
        <w:rPr>
          <w:rFonts w:ascii="Aptos" w:hAnsi="Aptos"/>
          <w:b/>
          <w:color w:val="087F83"/>
          <w:sz w:val="25"/>
        </w:rPr>
        <w:t>1.2 Nature of the Instrument</w:t>
      </w:r>
    </w:p>
    <w:p>
      <w:pPr>
        <w:spacing w:before="0" w:after="100" w:line="259" w:lineRule="auto"/>
      </w:pPr>
      <w:r>
        <w:t>This is a Founder-approved subordinate implementation-governance assurance plan, not constitutional canon, not a PIA, not an implementation directive, not a release certificate, and not a Founder closure disposition. It becomes the repository-controlling closure checklist for this one gap only after the exact approved bytes are protectedly accessioned and required custody is complete. Existing code, a Stripe account, a provider dashboard, a passing test, a draft PR, a secret, a role label, or technical ability does not create authority to perform or approve an action.</w:t>
      </w:r>
    </w:p>
    <w:p>
      <w:pPr>
        <w:pStyle w:val="Heading2"/>
        <w:spacing w:before="200" w:after="100"/>
        <w:keepNext/>
      </w:pPr>
      <w:r>
        <w:rPr>
          <w:rFonts w:ascii="Aptos" w:hAnsi="Aptos"/>
          <w:b/>
          <w:color w:val="087F83"/>
          <w:sz w:val="25"/>
        </w:rPr>
        <w:t>1.3 Normative Terms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24D"/>
            <w:tcMar>
              <w:top w:w="100" w:type="dxa"/>
              <w:start w:w="105" w:type="dxa"/>
              <w:bottom w:w="100" w:type="dxa"/>
              <w:end w:w="105" w:type="dxa"/>
            </w:tcMar>
            <w:vAlign w:val="center"/>
          </w:tcPr>
          <w:p>
            <w:pPr>
              <w:spacing w:after="0"/>
              <w:jc w:val="center"/>
            </w:pPr>
            <w:r>
              <w:rPr>
                <w:rFonts w:ascii="Aptos" w:hAnsi="Aptos"/>
                <w:b/>
                <w:color w:val="FFFFFF"/>
                <w:sz w:val="18"/>
              </w:rPr>
              <w:t>Term</w:t>
            </w:r>
          </w:p>
        </w:tc>
        <w:tc>
          <w:tcPr>
            <w:tcW w:type="dxa" w:w="6984"/>
            <w:shd w:fill="17324D"/>
            <w:tcMar>
              <w:top w:w="100" w:type="dxa"/>
              <w:start w:w="105" w:type="dxa"/>
              <w:bottom w:w="100" w:type="dxa"/>
              <w:end w:w="105" w:type="dxa"/>
            </w:tcMar>
            <w:vAlign w:val="center"/>
          </w:tcPr>
          <w:p>
            <w:pPr>
              <w:spacing w:after="0"/>
              <w:jc w:val="center"/>
            </w:pPr>
            <w:r>
              <w:rPr>
                <w:rFonts w:ascii="Aptos" w:hAnsi="Aptos"/>
                <w:b/>
                <w:color w:val="FFFFFF"/>
                <w:sz w:val="18"/>
              </w:rPr>
              <w:t>Meaning</w:t>
            </w:r>
          </w:p>
        </w:tc>
      </w:tr>
      <w:tr>
        <w:trPr>
          <w:cantSplit/>
        </w:trPr>
        <w:tc>
          <w:tcPr>
            <w:tcW w:type="dxa" w:w="2376"/>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MUST / SHALL</w:t>
            </w:r>
          </w:p>
        </w:tc>
        <w:tc>
          <w:tcPr>
            <w:tcW w:type="dxa" w:w="6984"/>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Mandatory condition for the determination claimed.</w:t>
            </w:r>
          </w:p>
        </w:tc>
      </w:tr>
      <w:tr>
        <w:trPr>
          <w:cantSplit/>
        </w:trPr>
        <w:tc>
          <w:tcPr>
            <w:tcW w:type="dxa" w:w="2376"/>
            <w:tcMar>
              <w:top w:w="90" w:type="dxa"/>
              <w:start w:w="105" w:type="dxa"/>
              <w:bottom w:w="90" w:type="dxa"/>
              <w:end w:w="105" w:type="dxa"/>
            </w:tcMar>
            <w:vAlign w:val="center"/>
          </w:tcPr>
          <w:p>
            <w:pPr>
              <w:spacing w:after="0" w:line="240" w:lineRule="auto"/>
              <w:jc w:val="left"/>
            </w:pPr>
            <w:r>
              <w:rPr>
                <w:rFonts w:ascii="Aptos" w:hAnsi="Aptos"/>
                <w:color w:val="1E2A32"/>
                <w:sz w:val="18"/>
              </w:rPr>
              <w:t>MUST NOT / SHALL NOT</w:t>
            </w:r>
          </w:p>
        </w:tc>
        <w:tc>
          <w:tcPr>
            <w:tcW w:type="dxa" w:w="6984"/>
            <w:tcMar>
              <w:top w:w="90" w:type="dxa"/>
              <w:start w:w="105" w:type="dxa"/>
              <w:bottom w:w="90" w:type="dxa"/>
              <w:end w:w="105" w:type="dxa"/>
            </w:tcMar>
            <w:vAlign w:val="center"/>
          </w:tcPr>
          <w:p>
            <w:pPr>
              <w:spacing w:after="0" w:line="240" w:lineRule="auto"/>
              <w:jc w:val="left"/>
            </w:pPr>
            <w:r>
              <w:rPr>
                <w:rFonts w:ascii="Aptos" w:hAnsi="Aptos"/>
                <w:color w:val="1E2A32"/>
                <w:sz w:val="18"/>
              </w:rPr>
              <w:t>Prohibited claim or action.</w:t>
            </w:r>
          </w:p>
        </w:tc>
      </w:tr>
      <w:tr>
        <w:trPr>
          <w:cantSplit/>
        </w:trPr>
        <w:tc>
          <w:tcPr>
            <w:tcW w:type="dxa" w:w="2376"/>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SHOULD</w:t>
            </w:r>
          </w:p>
        </w:tc>
        <w:tc>
          <w:tcPr>
            <w:tcW w:type="dxa" w:w="6984"/>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Strong assurance expectation; variance requires recorded rationale.</w:t>
            </w:r>
          </w:p>
        </w:tc>
      </w:tr>
      <w:tr>
        <w:trPr>
          <w:cantSplit/>
        </w:trPr>
        <w:tc>
          <w:tcPr>
            <w:tcW w:type="dxa" w:w="2376"/>
            <w:tcMar>
              <w:top w:w="90" w:type="dxa"/>
              <w:start w:w="105" w:type="dxa"/>
              <w:bottom w:w="90" w:type="dxa"/>
              <w:end w:w="105" w:type="dxa"/>
            </w:tcMar>
            <w:vAlign w:val="center"/>
          </w:tcPr>
          <w:p>
            <w:pPr>
              <w:spacing w:after="0" w:line="240" w:lineRule="auto"/>
              <w:jc w:val="left"/>
            </w:pPr>
            <w:r>
              <w:rPr>
                <w:rFonts w:ascii="Aptos" w:hAnsi="Aptos"/>
                <w:color w:val="1E2A32"/>
                <w:sz w:val="18"/>
              </w:rPr>
              <w:t>MAY</w:t>
            </w:r>
          </w:p>
        </w:tc>
        <w:tc>
          <w:tcPr>
            <w:tcW w:type="dxa" w:w="6984"/>
            <w:tcMar>
              <w:top w:w="90" w:type="dxa"/>
              <w:start w:w="105" w:type="dxa"/>
              <w:bottom w:w="90" w:type="dxa"/>
              <w:end w:w="105" w:type="dxa"/>
            </w:tcMar>
            <w:vAlign w:val="center"/>
          </w:tcPr>
          <w:p>
            <w:pPr>
              <w:spacing w:after="0" w:line="240" w:lineRule="auto"/>
              <w:jc w:val="left"/>
            </w:pPr>
            <w:r>
              <w:rPr>
                <w:rFonts w:ascii="Aptos" w:hAnsi="Aptos"/>
                <w:color w:val="1E2A32"/>
                <w:sz w:val="18"/>
              </w:rPr>
              <w:t>Permitted approach that does not broaden authority.</w:t>
            </w:r>
          </w:p>
        </w:tc>
      </w:tr>
    </w:tbl>
    <w:p>
      <w:pPr>
        <w:spacing w:after="20"/>
      </w:pPr>
    </w:p>
    <w:p>
      <w:r>
        <w:br w:type="page"/>
      </w:r>
    </w:p>
    <w:p>
      <w:pPr>
        <w:pStyle w:val="Heading1"/>
        <w:spacing w:before="280" w:after="100"/>
        <w:keepNext/>
        <w:pBdr>
          <w:bottom w:val="single" w:sz="6" w:space="4" w:color="B8CDD8"/>
        </w:pBdr>
      </w:pPr>
      <w:r>
        <w:rPr>
          <w:rFonts w:ascii="Aptos" w:hAnsi="Aptos"/>
          <w:b/>
          <w:color w:val="17324D"/>
          <w:sz w:val="30"/>
        </w:rPr>
        <w:t>2. Governance Hierarchy and Precedence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17324D"/>
            <w:tcMar>
              <w:top w:w="100" w:type="dxa"/>
              <w:start w:w="105" w:type="dxa"/>
              <w:bottom w:w="100" w:type="dxa"/>
              <w:end w:w="105" w:type="dxa"/>
            </w:tcMar>
            <w:vAlign w:val="center"/>
          </w:tcPr>
          <w:p>
            <w:pPr>
              <w:spacing w:after="0"/>
              <w:jc w:val="center"/>
            </w:pPr>
            <w:r>
              <w:rPr>
                <w:rFonts w:ascii="Aptos" w:hAnsi="Aptos"/>
                <w:b/>
                <w:color w:val="FFFFFF"/>
                <w:sz w:val="18"/>
              </w:rPr>
              <w:t>Layer</w:t>
            </w:r>
          </w:p>
        </w:tc>
        <w:tc>
          <w:tcPr>
            <w:tcW w:type="dxa" w:w="3384"/>
            <w:shd w:fill="17324D"/>
            <w:tcMar>
              <w:top w:w="100" w:type="dxa"/>
              <w:start w:w="105" w:type="dxa"/>
              <w:bottom w:w="100" w:type="dxa"/>
              <w:end w:w="105" w:type="dxa"/>
            </w:tcMar>
            <w:vAlign w:val="center"/>
          </w:tcPr>
          <w:p>
            <w:pPr>
              <w:spacing w:after="0"/>
              <w:jc w:val="center"/>
            </w:pPr>
            <w:r>
              <w:rPr>
                <w:rFonts w:ascii="Aptos" w:hAnsi="Aptos"/>
                <w:b/>
                <w:color w:val="FFFFFF"/>
                <w:sz w:val="18"/>
              </w:rPr>
              <w:t>Authority / Artifact</w:t>
            </w:r>
          </w:p>
        </w:tc>
        <w:tc>
          <w:tcPr>
            <w:tcW w:type="dxa" w:w="5184"/>
            <w:shd w:fill="17324D"/>
            <w:tcMar>
              <w:top w:w="100" w:type="dxa"/>
              <w:start w:w="105" w:type="dxa"/>
              <w:bottom w:w="100" w:type="dxa"/>
              <w:end w:w="105" w:type="dxa"/>
            </w:tcMar>
            <w:vAlign w:val="center"/>
          </w:tcPr>
          <w:p>
            <w:pPr>
              <w:spacing w:after="0"/>
              <w:jc w:val="center"/>
            </w:pPr>
            <w:r>
              <w:rPr>
                <w:rFonts w:ascii="Aptos" w:hAnsi="Aptos"/>
                <w:b/>
                <w:color w:val="FFFFFF"/>
                <w:sz w:val="18"/>
              </w:rPr>
              <w:t>Role and Effect</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1</w:t>
            </w:r>
          </w:p>
        </w:tc>
        <w:tc>
          <w:tcPr>
            <w:tcW w:type="dxa" w:w="33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Law, regulation, court orders, processor rules</w:t>
            </w:r>
          </w:p>
        </w:tc>
        <w:tc>
          <w:tcPr>
            <w:tcW w:type="dxa" w:w="51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Highest external constraints; unresolved material ambiguity blocks the affected action or claim.</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6"/>
              </w:rPr>
              <w:t>2</w:t>
            </w:r>
          </w:p>
        </w:tc>
        <w:tc>
          <w:tcPr>
            <w:tcW w:type="dxa" w:w="3384"/>
            <w:tcMar>
              <w:top w:w="90" w:type="dxa"/>
              <w:start w:w="105" w:type="dxa"/>
              <w:bottom w:w="90" w:type="dxa"/>
              <w:end w:w="105" w:type="dxa"/>
            </w:tcMar>
            <w:vAlign w:val="center"/>
          </w:tcPr>
          <w:p>
            <w:pPr>
              <w:spacing w:after="0" w:line="240" w:lineRule="auto"/>
              <w:jc w:val="left"/>
            </w:pPr>
            <w:r>
              <w:rPr>
                <w:rFonts w:ascii="Aptos" w:hAnsi="Aptos"/>
                <w:color w:val="1E2A32"/>
                <w:sz w:val="16"/>
              </w:rPr>
              <w:t>Founder directives, lifecycle decisions, implementation/production/closure grants</w:t>
            </w:r>
          </w:p>
        </w:tc>
        <w:tc>
          <w:tcPr>
            <w:tcW w:type="dxa" w:w="5184"/>
            <w:tcMar>
              <w:top w:w="90" w:type="dxa"/>
              <w:start w:w="105" w:type="dxa"/>
              <w:bottom w:w="90" w:type="dxa"/>
              <w:end w:w="105" w:type="dxa"/>
            </w:tcMar>
            <w:vAlign w:val="center"/>
          </w:tcPr>
          <w:p>
            <w:pPr>
              <w:spacing w:after="0" w:line="240" w:lineRule="auto"/>
              <w:jc w:val="left"/>
            </w:pPr>
            <w:r>
              <w:rPr>
                <w:rFonts w:ascii="Aptos" w:hAnsi="Aptos"/>
                <w:color w:val="1E2A32"/>
                <w:sz w:val="16"/>
              </w:rPr>
              <w:t>Only explicit Founder authority may authorize implementation, live mutation, production use, or final closure.</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3</w:t>
            </w:r>
          </w:p>
        </w:tc>
        <w:tc>
          <w:tcPr>
            <w:tcW w:type="dxa" w:w="33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Master Product Vision and Ecosystem Model</w:t>
            </w:r>
          </w:p>
        </w:tc>
        <w:tc>
          <w:tcPr>
            <w:tcW w:type="dxa" w:w="51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Apex purpose and structural authority.</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6"/>
              </w:rPr>
              <w:t>4</w:t>
            </w:r>
          </w:p>
        </w:tc>
        <w:tc>
          <w:tcPr>
            <w:tcW w:type="dxa" w:w="3384"/>
            <w:tcMar>
              <w:top w:w="90" w:type="dxa"/>
              <w:start w:w="105" w:type="dxa"/>
              <w:bottom w:w="90" w:type="dxa"/>
              <w:end w:w="105" w:type="dxa"/>
            </w:tcMar>
            <w:vAlign w:val="center"/>
          </w:tcPr>
          <w:p>
            <w:pPr>
              <w:spacing w:after="0" w:line="240" w:lineRule="auto"/>
              <w:jc w:val="left"/>
            </w:pPr>
            <w:r>
              <w:rPr>
                <w:rFonts w:ascii="Aptos" w:hAnsi="Aptos"/>
                <w:color w:val="1E2A32"/>
                <w:sz w:val="16"/>
              </w:rPr>
              <w:t>Financial Truth Model V2.1</w:t>
            </w:r>
          </w:p>
        </w:tc>
        <w:tc>
          <w:tcPr>
            <w:tcW w:type="dxa" w:w="5184"/>
            <w:tcMar>
              <w:top w:w="90" w:type="dxa"/>
              <w:start w:w="105" w:type="dxa"/>
              <w:bottom w:w="90" w:type="dxa"/>
              <w:end w:w="105" w:type="dxa"/>
            </w:tcMar>
            <w:vAlign w:val="center"/>
          </w:tcPr>
          <w:p>
            <w:pPr>
              <w:spacing w:after="0" w:line="240" w:lineRule="auto"/>
              <w:jc w:val="left"/>
            </w:pPr>
            <w:r>
              <w:rPr>
                <w:rFonts w:ascii="Aptos" w:hAnsi="Aptos"/>
                <w:color w:val="1E2A32"/>
                <w:sz w:val="16"/>
              </w:rPr>
              <w:t>Primary substantive owner of financial programs, states, reconciliation, evidence, and authority.</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4</w:t>
            </w:r>
          </w:p>
        </w:tc>
        <w:tc>
          <w:tcPr>
            <w:tcW w:type="dxa" w:w="33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External Architecture Model V2.0</w:t>
            </w:r>
          </w:p>
        </w:tc>
        <w:tc>
          <w:tcPr>
            <w:tcW w:type="dxa" w:w="51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Primary provider-boundary owner: provider neutrality, explicit side effects, authentication, retry, secrets, portability.</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6"/>
              </w:rPr>
              <w:t>4</w:t>
            </w:r>
          </w:p>
        </w:tc>
        <w:tc>
          <w:tcPr>
            <w:tcW w:type="dxa" w:w="3384"/>
            <w:tcMar>
              <w:top w:w="90" w:type="dxa"/>
              <w:start w:w="105" w:type="dxa"/>
              <w:bottom w:w="90" w:type="dxa"/>
              <w:end w:w="105" w:type="dxa"/>
            </w:tcMar>
            <w:vAlign w:val="center"/>
          </w:tcPr>
          <w:p>
            <w:pPr>
              <w:spacing w:after="0" w:line="240" w:lineRule="auto"/>
              <w:jc w:val="left"/>
            </w:pPr>
            <w:r>
              <w:rPr>
                <w:rFonts w:ascii="Aptos" w:hAnsi="Aptos"/>
                <w:color w:val="1E2A32"/>
                <w:sz w:val="16"/>
              </w:rPr>
              <w:t>Platform Operations, Audit, Privacy, Security, Key, Configuration, Reporting, Permission, Records, Vendor canons</w:t>
            </w:r>
          </w:p>
        </w:tc>
        <w:tc>
          <w:tcPr>
            <w:tcW w:type="dxa" w:w="5184"/>
            <w:tcMar>
              <w:top w:w="90" w:type="dxa"/>
              <w:start w:w="105" w:type="dxa"/>
              <w:bottom w:w="90" w:type="dxa"/>
              <w:end w:w="105" w:type="dxa"/>
            </w:tcMar>
            <w:vAlign w:val="center"/>
          </w:tcPr>
          <w:p>
            <w:pPr>
              <w:spacing w:after="0" w:line="240" w:lineRule="auto"/>
              <w:jc w:val="left"/>
            </w:pPr>
            <w:r>
              <w:rPr>
                <w:rFonts w:ascii="Aptos" w:hAnsi="Aptos"/>
                <w:color w:val="1E2A32"/>
                <w:sz w:val="16"/>
              </w:rPr>
              <w:t>Cross-cutting release, evidence, data, access, secret, reporting, and vendor boundaries.</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5</w:t>
            </w:r>
          </w:p>
        </w:tc>
        <w:tc>
          <w:tcPr>
            <w:tcW w:type="dxa" w:w="33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Item 09 BPF PIA V0.2 and executed disposition</w:t>
            </w:r>
          </w:p>
        </w:tc>
        <w:tc>
          <w:tcPr>
            <w:tcW w:type="dxa" w:w="51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Documentary design input only; no implementation or financial activation authority.</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6"/>
              </w:rPr>
              <w:t>6</w:t>
            </w:r>
          </w:p>
        </w:tc>
        <w:tc>
          <w:tcPr>
            <w:tcW w:type="dxa" w:w="3384"/>
            <w:tcMar>
              <w:top w:w="90" w:type="dxa"/>
              <w:start w:w="105" w:type="dxa"/>
              <w:bottom w:w="90" w:type="dxa"/>
              <w:end w:w="105" w:type="dxa"/>
            </w:tcMar>
            <w:vAlign w:val="center"/>
          </w:tcPr>
          <w:p>
            <w:pPr>
              <w:spacing w:after="0" w:line="240" w:lineRule="auto"/>
              <w:jc w:val="left"/>
            </w:pPr>
            <w:r>
              <w:rPr>
                <w:rFonts w:ascii="Aptos" w:hAnsi="Aptos"/>
                <w:color w:val="1E2A32"/>
                <w:sz w:val="16"/>
              </w:rPr>
              <w:t>Code Guide Program Plan V1.1; ES-CG-10; ES-CG-13</w:t>
            </w:r>
          </w:p>
        </w:tc>
        <w:tc>
          <w:tcPr>
            <w:tcW w:type="dxa" w:w="5184"/>
            <w:tcMar>
              <w:top w:w="90" w:type="dxa"/>
              <w:start w:w="105" w:type="dxa"/>
              <w:bottom w:w="90" w:type="dxa"/>
              <w:end w:w="105" w:type="dxa"/>
            </w:tcMar>
            <w:vAlign w:val="center"/>
          </w:tcPr>
          <w:p>
            <w:pPr>
              <w:spacing w:after="0" w:line="240" w:lineRule="auto"/>
              <w:jc w:val="left"/>
            </w:pPr>
            <w:r>
              <w:rPr>
                <w:rFonts w:ascii="Aptos" w:hAnsi="Aptos"/>
                <w:color w:val="1E2A32"/>
                <w:sz w:val="16"/>
              </w:rPr>
              <w:t>Active for planning reference, implementation control, and PR review only.</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7</w:t>
            </w:r>
          </w:p>
        </w:tc>
        <w:tc>
          <w:tcPr>
            <w:tcW w:type="dxa" w:w="33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CGP-006 gap register and IWP candidate backlog</w:t>
            </w:r>
          </w:p>
        </w:tc>
        <w:tc>
          <w:tcPr>
            <w:tcW w:type="dxa" w:w="51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Direct gap lineage, closure evidence, severity, candidate work package, and closure authority.</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6"/>
              </w:rPr>
              <w:t>8</w:t>
            </w:r>
          </w:p>
        </w:tc>
        <w:tc>
          <w:tcPr>
            <w:tcW w:type="dxa" w:w="3384"/>
            <w:tcMar>
              <w:top w:w="90" w:type="dxa"/>
              <w:start w:w="105" w:type="dxa"/>
              <w:bottom w:w="90" w:type="dxa"/>
              <w:end w:w="105" w:type="dxa"/>
            </w:tcMar>
            <w:vAlign w:val="center"/>
          </w:tcPr>
          <w:p>
            <w:pPr>
              <w:spacing w:after="0" w:line="240" w:lineRule="auto"/>
              <w:jc w:val="left"/>
            </w:pPr>
            <w:r>
              <w:rPr>
                <w:rFonts w:ascii="Aptos" w:hAnsi="Aptos"/>
                <w:color w:val="1E2A32"/>
                <w:sz w:val="16"/>
              </w:rPr>
              <w:t>PR #69 and PR #70</w:t>
            </w:r>
          </w:p>
        </w:tc>
        <w:tc>
          <w:tcPr>
            <w:tcW w:type="dxa" w:w="5184"/>
            <w:tcMar>
              <w:top w:w="90" w:type="dxa"/>
              <w:start w:w="105" w:type="dxa"/>
              <w:bottom w:w="90" w:type="dxa"/>
              <w:end w:w="105" w:type="dxa"/>
            </w:tcMar>
            <w:vAlign w:val="center"/>
          </w:tcPr>
          <w:p>
            <w:pPr>
              <w:spacing w:after="0" w:line="240" w:lineRule="auto"/>
              <w:jc w:val="left"/>
            </w:pPr>
            <w:r>
              <w:rPr>
                <w:rFonts w:ascii="Aptos" w:hAnsi="Aptos"/>
                <w:color w:val="1E2A32"/>
                <w:sz w:val="16"/>
              </w:rPr>
              <w:t>Evidence candidates; no closure effect until protected integration and custody.</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9</w:t>
            </w:r>
          </w:p>
        </w:tc>
        <w:tc>
          <w:tcPr>
            <w:tcW w:type="dxa" w:w="33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This V1.1.0 plan</w:t>
            </w:r>
          </w:p>
        </w:tc>
        <w:tc>
          <w:tcPr>
            <w:tcW w:type="dxa" w:w="518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Organizes and tests superior requirements; cannot amend them.</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6"/>
              </w:rPr>
              <w:t>10</w:t>
            </w:r>
          </w:p>
        </w:tc>
        <w:tc>
          <w:tcPr>
            <w:tcW w:type="dxa" w:w="3384"/>
            <w:tcMar>
              <w:top w:w="90" w:type="dxa"/>
              <w:start w:w="105" w:type="dxa"/>
              <w:bottom w:w="90" w:type="dxa"/>
              <w:end w:w="105" w:type="dxa"/>
            </w:tcMar>
            <w:vAlign w:val="center"/>
          </w:tcPr>
          <w:p>
            <w:pPr>
              <w:spacing w:after="0" w:line="240" w:lineRule="auto"/>
              <w:jc w:val="left"/>
            </w:pPr>
            <w:r>
              <w:rPr>
                <w:rFonts w:ascii="Aptos" w:hAnsi="Aptos"/>
                <w:color w:val="1E2A32"/>
                <w:sz w:val="16"/>
              </w:rPr>
              <w:t>Code, tests, runtime logs, Stripe/provider state</w:t>
            </w:r>
          </w:p>
        </w:tc>
        <w:tc>
          <w:tcPr>
            <w:tcW w:type="dxa" w:w="5184"/>
            <w:tcMar>
              <w:top w:w="90" w:type="dxa"/>
              <w:start w:w="105" w:type="dxa"/>
              <w:bottom w:w="90" w:type="dxa"/>
              <w:end w:w="105" w:type="dxa"/>
            </w:tcMar>
            <w:vAlign w:val="center"/>
          </w:tcPr>
          <w:p>
            <w:pPr>
              <w:spacing w:after="0" w:line="240" w:lineRule="auto"/>
              <w:jc w:val="left"/>
            </w:pPr>
            <w:r>
              <w:rPr>
                <w:rFonts w:ascii="Aptos" w:hAnsi="Aptos"/>
                <w:color w:val="1E2A32"/>
                <w:sz w:val="16"/>
              </w:rPr>
              <w:t>Implementation and evidence; proves only observed, reproducible behavior.</w:t>
            </w:r>
          </w:p>
        </w:tc>
      </w:tr>
    </w:tbl>
    <w:p>
      <w:pPr>
        <w:spacing w:after="20"/>
      </w:pPr>
    </w:p>
    <w:p>
      <w:pPr>
        <w:pStyle w:val="Heading2"/>
        <w:spacing w:before="200" w:after="100"/>
        <w:keepNext/>
      </w:pPr>
      <w:r>
        <w:rPr>
          <w:rFonts w:ascii="Aptos" w:hAnsi="Aptos"/>
          <w:b/>
          <w:color w:val="087F83"/>
          <w:sz w:val="25"/>
        </w:rPr>
        <w:t>2.1 Lifecycle Resolution Rule</w:t>
      </w:r>
    </w:p>
    <w:p>
      <w:pPr>
        <w:spacing w:before="0" w:after="100" w:line="259" w:lineRule="auto"/>
      </w:pPr>
      <w:r>
        <w:rPr>
          <w:rFonts w:ascii="Aptos" w:hAnsi="Aptos"/>
          <w:i w:val="0"/>
          <w:color w:val="1E2A32"/>
          <w:sz w:val="21"/>
        </w:rPr>
        <w:t>Where a source file contains a stale internal lifecycle label, the controlled Canon Index, Founder decision evidence, protected accession records, and custody records govern the current lifecycle posture. A title, version number, path, or in-file status line is not independently conclusive.</w:t>
      </w:r>
    </w:p>
    <w:p>
      <w:pPr>
        <w:pStyle w:val="Heading2"/>
        <w:spacing w:before="200" w:after="100"/>
        <w:keepNext/>
      </w:pPr>
      <w:r>
        <w:rPr>
          <w:rFonts w:ascii="Aptos" w:hAnsi="Aptos"/>
          <w:b/>
          <w:color w:val="087F83"/>
          <w:sz w:val="25"/>
        </w:rPr>
        <w:t>2.2 Conflict and Stop Rule</w:t>
      </w:r>
    </w:p>
    <w:p>
      <w:pPr>
        <w:spacing w:before="0" w:after="100" w:line="259" w:lineRule="auto"/>
      </w:pPr>
      <w:r>
        <w:rPr>
          <w:rFonts w:ascii="Aptos" w:hAnsi="Aptos"/>
          <w:i w:val="0"/>
          <w:color w:val="1E2A32"/>
          <w:sz w:val="21"/>
        </w:rPr>
        <w:t>A lower-order artifact may implement or evidence a higher-order requirement but may not amend, waive, contradict, narrow below the required protection, or broaden it. Any material conflict affecting money movement, financial truth, tax, secrets, access, privacy, evidence, or production status must be recorded and blocks the affected determination until resolved by the proper authority.</w:t>
      </w:r>
    </w:p>
    <w:p>
      <w:pPr>
        <w:pStyle w:val="Heading2"/>
        <w:spacing w:before="200" w:after="100"/>
        <w:keepNext/>
      </w:pPr>
      <w:r>
        <w:rPr>
          <w:rFonts w:ascii="Aptos" w:hAnsi="Aptos"/>
          <w:b/>
          <w:color w:val="087F83"/>
          <w:sz w:val="25"/>
        </w:rPr>
        <w:t>2.3 Item 09 Authority Limitation</w:t>
      </w:r>
    </w:p>
    <w:tbl>
      <w:tblPr>
        <w:tblW w:type="auto" w:w="0"/>
        <w:jc w:val="center"/>
        <w:tblLayout w:type="fixed"/>
        <w:tblLook w:firstColumn="1" w:firstRow="1" w:lastColumn="0" w:lastRow="0" w:noHBand="0" w:noVBand="1" w:val="04A0"/>
      </w:tblPr>
      <w:tblGrid>
        <w:gridCol w:w="9994"/>
      </w:tblGrid>
      <w:tr>
        <w:tc>
          <w:tcPr>
            <w:tcW w:type="dxa" w:w="9432"/>
            <w:shd w:fill="F6E7C8"/>
            <w:tcMar>
              <w:top w:w="130" w:type="dxa"/>
              <w:start w:w="160" w:type="dxa"/>
              <w:bottom w:w="130" w:type="dxa"/>
              <w:end w:w="160" w:type="dxa"/>
            </w:tcMar>
            <w:tcBorders>
              <w:left w:val="single" w:sz="18" w:color="A16B13"/>
            </w:tcBorders>
          </w:tcPr>
          <w:p>
            <w:pPr>
              <w:spacing w:after="60"/>
            </w:pPr>
            <w:r>
              <w:rPr>
                <w:rFonts w:ascii="Aptos" w:hAnsi="Aptos"/>
                <w:b/>
                <w:color w:val="A16B13"/>
                <w:sz w:val="19"/>
              </w:rPr>
              <w:t>DOCUMENTARY-ONLY AUTHORITY</w:t>
            </w:r>
          </w:p>
          <w:p>
            <w:pPr>
              <w:spacing w:after="0" w:line="252" w:lineRule="auto"/>
            </w:pPr>
            <w:r>
              <w:rPr>
                <w:rFonts w:ascii="Aptos" w:hAnsi="Aptos"/>
                <w:color w:val="1E2A32"/>
                <w:sz w:val="20"/>
              </w:rPr>
              <w:t>The executed Item 09 Founder disposition approves the V0.2 PIA package for documentary governance remediation purposes only. It does not establish adoption, lock, implementation authority, production readiness, financial activation, provider activation, refunds, accounting postings, or operational readiness.</w:t>
            </w:r>
          </w:p>
        </w:tc>
      </w:tr>
    </w:tbl>
    <w:p>
      <w:pPr>
        <w:spacing w:after="20"/>
      </w:pPr>
    </w:p>
    <w:p>
      <w:pPr>
        <w:pStyle w:val="Heading2"/>
        <w:spacing w:before="200" w:after="100"/>
        <w:keepNext/>
      </w:pPr>
      <w:r>
        <w:rPr>
          <w:rFonts w:ascii="Aptos" w:hAnsi="Aptos"/>
          <w:b/>
          <w:color w:val="087F83"/>
          <w:sz w:val="25"/>
        </w:rPr>
        <w:t>2.4 Repository Status Reconciliation</w:t>
      </w:r>
    </w:p>
    <w:p>
      <w:pPr>
        <w:spacing w:before="0" w:after="100" w:line="259" w:lineRule="auto"/>
      </w:pPr>
      <w:r>
        <w:rPr>
          <w:rFonts w:ascii="Aptos" w:hAnsi="Aptos"/>
          <w:i w:val="0"/>
          <w:color w:val="1E2A32"/>
          <w:sz w:val="21"/>
        </w:rPr>
        <w:t>The reviewed PROGRAM_STATUS.md retains a broad statement that repository-specific implementation mapping is not authorized. Later, more specific protected PR #62 and PR #63 records establish that the documentary repository-mapping baseline was approved, merged, and placed into custody, while all 18 gaps remain open, all candidate IWPs remain unauthorized, and runtime implementation remains unauthorized. The specific later custody record controls the documentary mapping package within its scope; it does not grant Stripe testing, product-code change, or implementation authority. This plan relies on that baseline only as an accessioned gap inventory.</w:t>
      </w:r>
    </w:p>
    <w:p>
      <w:pPr>
        <w:pStyle w:val="Heading1"/>
        <w:spacing w:before="280" w:after="100"/>
        <w:keepNext/>
        <w:pBdr>
          <w:bottom w:val="single" w:sz="6" w:space="4" w:color="B8CDD8"/>
        </w:pBdr>
      </w:pPr>
      <w:r>
        <w:rPr>
          <w:rFonts w:ascii="Aptos" w:hAnsi="Aptos"/>
          <w:b/>
          <w:color w:val="17324D"/>
          <w:sz w:val="30"/>
        </w:rPr>
        <w:t>3. Exact Lineage and Closure Object</w:t>
      </w:r>
    </w:p>
    <w:p>
      <w:pPr>
        <w:pStyle w:val="Heading2"/>
        <w:spacing w:before="200" w:after="100"/>
        <w:keepNext/>
      </w:pPr>
      <w:r>
        <w:rPr>
          <w:rFonts w:ascii="Aptos" w:hAnsi="Aptos"/>
          <w:b/>
          <w:color w:val="087F83"/>
          <w:sz w:val="25"/>
        </w:rPr>
        <w:t>3.1 Controlling Gap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24D"/>
            <w:tcMar>
              <w:top w:w="100" w:type="dxa"/>
              <w:start w:w="105" w:type="dxa"/>
              <w:bottom w:w="100" w:type="dxa"/>
              <w:end w:w="105" w:type="dxa"/>
            </w:tcMar>
            <w:vAlign w:val="center"/>
          </w:tcPr>
          <w:p>
            <w:pPr>
              <w:spacing w:after="0"/>
              <w:jc w:val="center"/>
            </w:pPr>
            <w:r>
              <w:rPr>
                <w:rFonts w:ascii="Aptos" w:hAnsi="Aptos"/>
                <w:b/>
                <w:color w:val="FFFFFF"/>
                <w:sz w:val="18"/>
              </w:rPr>
              <w:t>Field</w:t>
            </w:r>
          </w:p>
        </w:tc>
        <w:tc>
          <w:tcPr>
            <w:tcW w:type="dxa" w:w="6480"/>
            <w:shd w:fill="17324D"/>
            <w:tcMar>
              <w:top w:w="100" w:type="dxa"/>
              <w:start w:w="105" w:type="dxa"/>
              <w:bottom w:w="100" w:type="dxa"/>
              <w:end w:w="105" w:type="dxa"/>
            </w:tcMar>
            <w:vAlign w:val="center"/>
          </w:tcPr>
          <w:p>
            <w:pPr>
              <w:spacing w:after="0"/>
              <w:jc w:val="center"/>
            </w:pPr>
            <w:r>
              <w:rPr>
                <w:rFonts w:ascii="Aptos" w:hAnsi="Aptos"/>
                <w:b/>
                <w:color w:val="FFFFFF"/>
                <w:sz w:val="18"/>
              </w:rPr>
              <w:t>Gap Record</w:t>
            </w:r>
          </w:p>
        </w:tc>
      </w:tr>
      <w:tr>
        <w:trPr>
          <w:cantSplit/>
        </w:trPr>
        <w:tc>
          <w:tcPr>
            <w:tcW w:type="dxa" w:w="288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Gap ID</w:t>
            </w:r>
          </w:p>
        </w:tc>
        <w:tc>
          <w:tcPr>
            <w:tcW w:type="dxa" w:w="648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CGP006-MAP-GAP-0005</w:t>
            </w:r>
          </w:p>
        </w:tc>
      </w:tr>
      <w:tr>
        <w:trPr>
          <w:cantSplit/>
        </w:trPr>
        <w:tc>
          <w:tcPr>
            <w:tcW w:type="dxa" w:w="2880"/>
            <w:tcMar>
              <w:top w:w="90" w:type="dxa"/>
              <w:start w:w="105" w:type="dxa"/>
              <w:bottom w:w="90" w:type="dxa"/>
              <w:end w:w="105" w:type="dxa"/>
            </w:tcMar>
            <w:vAlign w:val="center"/>
          </w:tcPr>
          <w:p>
            <w:pPr>
              <w:spacing w:after="0" w:line="240" w:lineRule="auto"/>
              <w:jc w:val="left"/>
            </w:pPr>
            <w:r>
              <w:rPr>
                <w:rFonts w:ascii="Aptos" w:hAnsi="Aptos"/>
                <w:color w:val="1E2A32"/>
                <w:sz w:val="18"/>
              </w:rPr>
              <w:t>Title</w:t>
            </w:r>
          </w:p>
        </w:tc>
        <w:tc>
          <w:tcPr>
            <w:tcW w:type="dxa" w:w="6480"/>
            <w:tcMar>
              <w:top w:w="90" w:type="dxa"/>
              <w:start w:w="105" w:type="dxa"/>
              <w:bottom w:w="90" w:type="dxa"/>
              <w:end w:w="105" w:type="dxa"/>
            </w:tcMar>
            <w:vAlign w:val="center"/>
          </w:tcPr>
          <w:p>
            <w:pPr>
              <w:spacing w:after="0" w:line="240" w:lineRule="auto"/>
              <w:jc w:val="left"/>
            </w:pPr>
            <w:r>
              <w:rPr>
                <w:rFonts w:ascii="Aptos" w:hAnsi="Aptos"/>
                <w:color w:val="1E2A32"/>
                <w:sz w:val="18"/>
              </w:rPr>
              <w:t>Financial/provider runtime evidence is absent</w:t>
            </w:r>
          </w:p>
        </w:tc>
      </w:tr>
      <w:tr>
        <w:trPr>
          <w:cantSplit/>
        </w:trPr>
        <w:tc>
          <w:tcPr>
            <w:tcW w:type="dxa" w:w="288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Affected guides</w:t>
            </w:r>
          </w:p>
        </w:tc>
        <w:tc>
          <w:tcPr>
            <w:tcW w:type="dxa" w:w="648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ES-CG-10; ES-CG-13</w:t>
            </w:r>
          </w:p>
        </w:tc>
      </w:tr>
      <w:tr>
        <w:trPr>
          <w:cantSplit/>
        </w:trPr>
        <w:tc>
          <w:tcPr>
            <w:tcW w:type="dxa" w:w="2880"/>
            <w:tcMar>
              <w:top w:w="90" w:type="dxa"/>
              <w:start w:w="105" w:type="dxa"/>
              <w:bottom w:w="90" w:type="dxa"/>
              <w:end w:w="105" w:type="dxa"/>
            </w:tcMar>
            <w:vAlign w:val="center"/>
          </w:tcPr>
          <w:p>
            <w:pPr>
              <w:spacing w:after="0" w:line="240" w:lineRule="auto"/>
              <w:jc w:val="left"/>
            </w:pPr>
            <w:r>
              <w:rPr>
                <w:rFonts w:ascii="Aptos" w:hAnsi="Aptos"/>
                <w:color w:val="1E2A32"/>
                <w:sz w:val="18"/>
              </w:rPr>
              <w:t>Classification</w:t>
            </w:r>
          </w:p>
        </w:tc>
        <w:tc>
          <w:tcPr>
            <w:tcW w:type="dxa" w:w="6480"/>
            <w:tcMar>
              <w:top w:w="90" w:type="dxa"/>
              <w:start w:w="105" w:type="dxa"/>
              <w:bottom w:w="90" w:type="dxa"/>
              <w:end w:w="105" w:type="dxa"/>
            </w:tcMar>
            <w:vAlign w:val="center"/>
          </w:tcPr>
          <w:p>
            <w:pPr>
              <w:spacing w:after="0" w:line="240" w:lineRule="auto"/>
              <w:jc w:val="left"/>
            </w:pPr>
            <w:r>
              <w:rPr>
                <w:rFonts w:ascii="Aptos" w:hAnsi="Aptos"/>
                <w:color w:val="1E2A32"/>
                <w:sz w:val="18"/>
              </w:rPr>
              <w:t>IMPLEMENTED_WITH_INCOMPLETE_EVIDENCE</w:t>
            </w:r>
          </w:p>
        </w:tc>
      </w:tr>
      <w:tr>
        <w:trPr>
          <w:cantSplit/>
        </w:trPr>
        <w:tc>
          <w:tcPr>
            <w:tcW w:type="dxa" w:w="288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Severity / likelihood</w:t>
            </w:r>
          </w:p>
        </w:tc>
        <w:tc>
          <w:tcPr>
            <w:tcW w:type="dxa" w:w="648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P1_HIGH / LIKELY</w:t>
            </w:r>
          </w:p>
        </w:tc>
      </w:tr>
      <w:tr>
        <w:trPr>
          <w:cantSplit/>
        </w:trPr>
        <w:tc>
          <w:tcPr>
            <w:tcW w:type="dxa" w:w="2880"/>
            <w:tcMar>
              <w:top w:w="90" w:type="dxa"/>
              <w:start w:w="105" w:type="dxa"/>
              <w:bottom w:w="90" w:type="dxa"/>
              <w:end w:w="105" w:type="dxa"/>
            </w:tcMar>
            <w:vAlign w:val="center"/>
          </w:tcPr>
          <w:p>
            <w:pPr>
              <w:spacing w:after="0" w:line="240" w:lineRule="auto"/>
              <w:jc w:val="left"/>
            </w:pPr>
            <w:r>
              <w:rPr>
                <w:rFonts w:ascii="Aptos" w:hAnsi="Aptos"/>
                <w:color w:val="1E2A32"/>
                <w:sz w:val="18"/>
              </w:rPr>
              <w:t>Required closure evidence</w:t>
            </w:r>
          </w:p>
        </w:tc>
        <w:tc>
          <w:tcPr>
            <w:tcW w:type="dxa" w:w="6480"/>
            <w:tcMar>
              <w:top w:w="90" w:type="dxa"/>
              <w:start w:w="105" w:type="dxa"/>
              <w:bottom w:w="90" w:type="dxa"/>
              <w:end w:w="105" w:type="dxa"/>
            </w:tcMar>
            <w:vAlign w:val="center"/>
          </w:tcPr>
          <w:p>
            <w:pPr>
              <w:spacing w:after="0" w:line="240" w:lineRule="auto"/>
              <w:jc w:val="left"/>
            </w:pPr>
            <w:r>
              <w:rPr>
                <w:rFonts w:ascii="Aptos" w:hAnsi="Aptos"/>
                <w:color w:val="1E2A32"/>
                <w:sz w:val="18"/>
              </w:rPr>
              <w:t>Signed webhook tests; replay/idempotency; provider reconciliation; financial export verification</w:t>
            </w:r>
          </w:p>
        </w:tc>
      </w:tr>
      <w:tr>
        <w:trPr>
          <w:cantSplit/>
        </w:trPr>
        <w:tc>
          <w:tcPr>
            <w:tcW w:type="dxa" w:w="288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Closure authority</w:t>
            </w:r>
          </w:p>
        </w:tc>
        <w:tc>
          <w:tcPr>
            <w:tcW w:type="dxa" w:w="6480"/>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Founder with financial assurance evidence</w:t>
            </w:r>
          </w:p>
        </w:tc>
      </w:tr>
      <w:tr>
        <w:trPr>
          <w:cantSplit/>
        </w:trPr>
        <w:tc>
          <w:tcPr>
            <w:tcW w:type="dxa" w:w="2880"/>
            <w:tcMar>
              <w:top w:w="90" w:type="dxa"/>
              <w:start w:w="105" w:type="dxa"/>
              <w:bottom w:w="90" w:type="dxa"/>
              <w:end w:w="105" w:type="dxa"/>
            </w:tcMar>
            <w:vAlign w:val="center"/>
          </w:tcPr>
          <w:p>
            <w:pPr>
              <w:spacing w:after="0" w:line="240" w:lineRule="auto"/>
              <w:jc w:val="left"/>
            </w:pPr>
            <w:r>
              <w:rPr>
                <w:rFonts w:ascii="Aptos" w:hAnsi="Aptos"/>
                <w:color w:val="1E2A32"/>
                <w:sz w:val="18"/>
              </w:rPr>
              <w:t>Candidate work package</w:t>
            </w:r>
          </w:p>
        </w:tc>
        <w:tc>
          <w:tcPr>
            <w:tcW w:type="dxa" w:w="6480"/>
            <w:tcMar>
              <w:top w:w="90" w:type="dxa"/>
              <w:start w:w="105" w:type="dxa"/>
              <w:bottom w:w="90" w:type="dxa"/>
              <w:end w:w="105" w:type="dxa"/>
            </w:tcMar>
            <w:vAlign w:val="center"/>
          </w:tcPr>
          <w:p>
            <w:pPr>
              <w:spacing w:after="0" w:line="240" w:lineRule="auto"/>
              <w:jc w:val="left"/>
            </w:pPr>
            <w:r>
              <w:rPr>
                <w:rFonts w:ascii="Aptos" w:hAnsi="Aptos"/>
                <w:color w:val="1E2A32"/>
                <w:sz w:val="18"/>
              </w:rPr>
              <w:t>CGP006-IWP-CANDIDATE-0004</w:t>
            </w:r>
          </w:p>
        </w:tc>
      </w:tr>
    </w:tbl>
    <w:p>
      <w:pPr>
        <w:spacing w:after="20"/>
      </w:pPr>
    </w:p>
    <w:p>
      <w:pPr>
        <w:pStyle w:val="Heading2"/>
        <w:spacing w:before="200" w:after="100"/>
        <w:keepNext/>
      </w:pPr>
      <w:r>
        <w:rPr>
          <w:rFonts w:ascii="Aptos" w:hAnsi="Aptos"/>
          <w:b/>
          <w:color w:val="087F83"/>
          <w:sz w:val="25"/>
        </w:rPr>
        <w:t>3.2 Exact Closure Effect</w:t>
      </w:r>
    </w:p>
    <w:p>
      <w:pPr>
        <w:spacing w:before="0" w:after="100" w:line="259" w:lineRule="auto"/>
      </w:pPr>
      <w:r>
        <w:rPr>
          <w:rFonts w:ascii="Aptos" w:hAnsi="Aptos"/>
          <w:i w:val="0"/>
          <w:color w:val="1E2A32"/>
          <w:sz w:val="21"/>
        </w:rPr>
        <w:t>A successful determination closes only the absence of sufficient provider-connected runtime and reconciliation evidence for the EquineSync SaaS subscription billing slice mapped to CGP006-MAP-GAP-0005.</w:t>
      </w:r>
    </w:p>
    <w:p>
      <w:pPr>
        <w:pStyle w:val="Heading2"/>
        <w:spacing w:before="200" w:after="100"/>
        <w:keepNext/>
      </w:pPr>
      <w:r>
        <w:rPr>
          <w:rFonts w:ascii="Aptos" w:hAnsi="Aptos"/>
          <w:b/>
          <w:color w:val="087F83"/>
          <w:sz w:val="25"/>
        </w:rPr>
        <w:t>3.3 Express Non-Closure</w:t>
      </w:r>
    </w:p>
    <w:p>
      <w:pPr>
        <w:pStyle w:val="ListBullet"/>
        <w:spacing w:after="50" w:line="252" w:lineRule="auto"/>
        <w:ind w:left="317" w:hanging="216"/>
      </w:pPr>
      <w:r>
        <w:rPr>
          <w:rFonts w:ascii="Aptos" w:hAnsi="Aptos"/>
          <w:color w:val="1E2A32"/>
          <w:sz w:val="20"/>
        </w:rPr>
        <w:t>CGP005-TA-APP-GAP-0004 or general implementation-evidence readiness.</w:t>
      </w:r>
    </w:p>
    <w:p>
      <w:pPr>
        <w:pStyle w:val="ListBullet"/>
        <w:spacing w:after="50" w:line="252" w:lineRule="auto"/>
        <w:ind w:left="317" w:hanging="216"/>
      </w:pPr>
      <w:r>
        <w:rPr>
          <w:rFonts w:ascii="Aptos" w:hAnsi="Aptos"/>
          <w:color w:val="1E2A32"/>
          <w:sz w:val="20"/>
        </w:rPr>
        <w:t>CGP006-MAP-GAP-0012, document-signature provider lifecycle evidence.</w:t>
      </w:r>
    </w:p>
    <w:p>
      <w:pPr>
        <w:pStyle w:val="ListBullet"/>
        <w:spacing w:after="50" w:line="252" w:lineRule="auto"/>
        <w:ind w:left="317" w:hanging="216"/>
      </w:pPr>
      <w:r>
        <w:rPr>
          <w:rFonts w:ascii="Aptos" w:hAnsi="Aptos"/>
          <w:color w:val="1E2A32"/>
          <w:sz w:val="20"/>
        </w:rPr>
        <w:t>The whole of CGP006-IWP-CANDIDATE-0004, which also includes document-signature evidence.</w:t>
      </w:r>
    </w:p>
    <w:p>
      <w:pPr>
        <w:pStyle w:val="ListBullet"/>
        <w:spacing w:after="50" w:line="252" w:lineRule="auto"/>
        <w:ind w:left="317" w:hanging="216"/>
      </w:pPr>
      <w:r>
        <w:rPr>
          <w:rFonts w:ascii="Aptos" w:hAnsi="Aptos"/>
          <w:color w:val="1E2A32"/>
          <w:sz w:val="20"/>
        </w:rPr>
        <w:t>Barn/facility invoices, provider billing, customer-to-barn collection, connected accounts, marketplace transfers, reserves, or payouts.</w:t>
      </w:r>
    </w:p>
    <w:p>
      <w:pPr>
        <w:pStyle w:val="ListBullet"/>
        <w:spacing w:after="50" w:line="252" w:lineRule="auto"/>
        <w:ind w:left="317" w:hanging="216"/>
      </w:pPr>
      <w:r>
        <w:rPr>
          <w:rFonts w:ascii="Aptos" w:hAnsi="Aptos"/>
          <w:color w:val="1E2A32"/>
          <w:sz w:val="20"/>
        </w:rPr>
        <w:t>Accounting synchronization, authoritative general-ledger operation, tax filing/remittance, or jurisdiction-wide tax compliance.</w:t>
      </w:r>
    </w:p>
    <w:p>
      <w:pPr>
        <w:pStyle w:val="ListBullet"/>
        <w:spacing w:after="50" w:line="252" w:lineRule="auto"/>
        <w:ind w:left="317" w:hanging="216"/>
      </w:pPr>
      <w:r>
        <w:rPr>
          <w:rFonts w:ascii="Aptos" w:hAnsi="Aptos"/>
          <w:color w:val="1E2A32"/>
          <w:sz w:val="20"/>
        </w:rPr>
        <w:t>Deployment, pilot, production financial readiness, customer onboarding, public launch, legal compliance certification, or independent assurance.</w:t>
      </w:r>
    </w:p>
    <w:p>
      <w:pPr>
        <w:pStyle w:val="Heading1"/>
        <w:spacing w:before="280" w:after="100"/>
        <w:keepNext/>
        <w:pBdr>
          <w:bottom w:val="single" w:sz="6" w:space="4" w:color="B8CDD8"/>
        </w:pBdr>
      </w:pPr>
      <w:r>
        <w:rPr>
          <w:rFonts w:ascii="Aptos" w:hAnsi="Aptos"/>
          <w:b/>
          <w:color w:val="17324D"/>
          <w:sz w:val="30"/>
        </w:rPr>
        <w:t>4. Controlling and Supporting Source Register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17324D"/>
            <w:tcMar>
              <w:top w:w="100" w:type="dxa"/>
              <w:start w:w="105" w:type="dxa"/>
              <w:bottom w:w="100" w:type="dxa"/>
              <w:end w:w="105" w:type="dxa"/>
            </w:tcMar>
            <w:vAlign w:val="center"/>
          </w:tcPr>
          <w:p>
            <w:pPr>
              <w:spacing w:after="0"/>
              <w:jc w:val="center"/>
            </w:pPr>
            <w:r>
              <w:rPr>
                <w:rFonts w:ascii="Aptos" w:hAnsi="Aptos"/>
                <w:b/>
                <w:color w:val="FFFFFF"/>
                <w:sz w:val="18"/>
              </w:rPr>
              <w:t>Source</w:t>
            </w:r>
          </w:p>
        </w:tc>
        <w:tc>
          <w:tcPr>
            <w:tcW w:type="dxa" w:w="1944"/>
            <w:shd w:fill="17324D"/>
            <w:tcMar>
              <w:top w:w="100" w:type="dxa"/>
              <w:start w:w="105" w:type="dxa"/>
              <w:bottom w:w="100" w:type="dxa"/>
              <w:end w:w="105" w:type="dxa"/>
            </w:tcMar>
            <w:vAlign w:val="center"/>
          </w:tcPr>
          <w:p>
            <w:pPr>
              <w:spacing w:after="0"/>
              <w:jc w:val="center"/>
            </w:pPr>
            <w:r>
              <w:rPr>
                <w:rFonts w:ascii="Aptos" w:hAnsi="Aptos"/>
                <w:b/>
                <w:color w:val="FFFFFF"/>
                <w:sz w:val="18"/>
              </w:rPr>
              <w:t>Role</w:t>
            </w:r>
          </w:p>
        </w:tc>
        <w:tc>
          <w:tcPr>
            <w:tcW w:type="dxa" w:w="3240"/>
            <w:shd w:fill="17324D"/>
            <w:tcMar>
              <w:top w:w="100" w:type="dxa"/>
              <w:start w:w="105" w:type="dxa"/>
              <w:bottom w:w="100" w:type="dxa"/>
              <w:end w:w="105" w:type="dxa"/>
            </w:tcMar>
            <w:vAlign w:val="center"/>
          </w:tcPr>
          <w:p>
            <w:pPr>
              <w:spacing w:after="0"/>
              <w:jc w:val="center"/>
            </w:pPr>
            <w:r>
              <w:rPr>
                <w:rFonts w:ascii="Aptos" w:hAnsi="Aptos"/>
                <w:b/>
                <w:color w:val="FFFFFF"/>
                <w:sz w:val="18"/>
              </w:rPr>
              <w:t>Requirements Consumed</w:t>
            </w:r>
          </w:p>
        </w:tc>
        <w:tc>
          <w:tcPr>
            <w:tcW w:type="dxa" w:w="1944"/>
            <w:shd w:fill="17324D"/>
            <w:tcMar>
              <w:top w:w="100" w:type="dxa"/>
              <w:start w:w="105" w:type="dxa"/>
              <w:bottom w:w="100" w:type="dxa"/>
              <w:end w:w="105" w:type="dxa"/>
            </w:tcMar>
            <w:vAlign w:val="center"/>
          </w:tcPr>
          <w:p>
            <w:pPr>
              <w:spacing w:after="0"/>
              <w:jc w:val="center"/>
            </w:pPr>
            <w:r>
              <w:rPr>
                <w:rFonts w:ascii="Aptos" w:hAnsi="Aptos"/>
                <w:b/>
                <w:color w:val="FFFFFF"/>
                <w:sz w:val="18"/>
              </w:rPr>
              <w:t>Authority Limit</w:t>
            </w:r>
          </w:p>
        </w:tc>
      </w:tr>
      <w:tr>
        <w:trPr>
          <w:cantSplit/>
        </w:trPr>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Authority Matrix and Canon Index</w:t>
            </w:r>
          </w:p>
        </w:tc>
        <w:tc>
          <w:tcPr>
            <w:tcW w:type="dxa" w:w="194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Hierarchy and lifecycle navigation</w:t>
            </w:r>
          </w:p>
        </w:tc>
        <w:tc>
          <w:tcPr>
            <w:tcW w:type="dxa" w:w="324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Precedence; lifecycle resolution; distinct implementation and production authority</w:t>
            </w:r>
          </w:p>
        </w:tc>
        <w:tc>
          <w:tcPr>
            <w:tcW w:type="dxa" w:w="194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Navigational; no substantive or operational grant</w:t>
            </w:r>
          </w:p>
        </w:tc>
      </w:tr>
      <w:tr>
        <w:trPr>
          <w:cantSplit/>
        </w:trPr>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Financial Truth Model V2.1</w:t>
            </w:r>
          </w:p>
        </w:tc>
        <w:tc>
          <w:tcPr>
            <w:tcW w:type="dxa" w:w="1944"/>
            <w:tcMar>
              <w:top w:w="90" w:type="dxa"/>
              <w:start w:w="105" w:type="dxa"/>
              <w:bottom w:w="90" w:type="dxa"/>
              <w:end w:w="105" w:type="dxa"/>
            </w:tcMar>
            <w:vAlign w:val="center"/>
          </w:tcPr>
          <w:p>
            <w:pPr>
              <w:spacing w:after="0" w:line="240" w:lineRule="auto"/>
              <w:jc w:val="left"/>
            </w:pPr>
            <w:r>
              <w:rPr>
                <w:rFonts w:ascii="Aptos" w:hAnsi="Aptos"/>
                <w:color w:val="1E2A32"/>
                <w:sz w:val="15"/>
              </w:rPr>
              <w:t>Primary financial canon</w:t>
            </w:r>
          </w:p>
        </w:tc>
        <w:tc>
          <w:tcPr>
            <w:tcW w:type="dxa" w:w="3240"/>
            <w:tcMar>
              <w:top w:w="90" w:type="dxa"/>
              <w:start w:w="105" w:type="dxa"/>
              <w:bottom w:w="90" w:type="dxa"/>
              <w:end w:w="105" w:type="dxa"/>
            </w:tcMar>
            <w:vAlign w:val="center"/>
          </w:tcPr>
          <w:p>
            <w:pPr>
              <w:spacing w:after="0" w:line="240" w:lineRule="auto"/>
              <w:jc w:val="left"/>
            </w:pPr>
            <w:r>
              <w:rPr>
                <w:rFonts w:ascii="Aptos" w:hAnsi="Aptos"/>
                <w:color w:val="1E2A32"/>
                <w:sz w:val="15"/>
              </w:rPr>
              <w:t>Program separation; states; idempotency; processor evidence; reconciliation; refunds; disputes; audit; SaaS billing</w:t>
            </w:r>
          </w:p>
        </w:tc>
        <w:tc>
          <w:tcPr>
            <w:tcW w:type="dxa" w:w="1944"/>
            <w:tcMar>
              <w:top w:w="90" w:type="dxa"/>
              <w:start w:w="105" w:type="dxa"/>
              <w:bottom w:w="90" w:type="dxa"/>
              <w:end w:w="105" w:type="dxa"/>
            </w:tcMar>
            <w:vAlign w:val="center"/>
          </w:tcPr>
          <w:p>
            <w:pPr>
              <w:spacing w:after="0" w:line="240" w:lineRule="auto"/>
              <w:jc w:val="left"/>
            </w:pPr>
            <w:r>
              <w:rPr>
                <w:rFonts w:ascii="Aptos" w:hAnsi="Aptos"/>
                <w:color w:val="1E2A32"/>
                <w:sz w:val="15"/>
              </w:rPr>
              <w:t>No implementation or production authority</w:t>
            </w:r>
          </w:p>
        </w:tc>
      </w:tr>
      <w:tr>
        <w:trPr>
          <w:cantSplit/>
        </w:trPr>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External Architecture Model V2.0</w:t>
            </w:r>
          </w:p>
        </w:tc>
        <w:tc>
          <w:tcPr>
            <w:tcW w:type="dxa" w:w="194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Provider-boundary canon</w:t>
            </w:r>
          </w:p>
        </w:tc>
        <w:tc>
          <w:tcPr>
            <w:tcW w:type="dxa" w:w="324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Provider neutrality; explicit side effects; authentication; secrets; retry; failure; portability</w:t>
            </w:r>
          </w:p>
        </w:tc>
        <w:tc>
          <w:tcPr>
            <w:tcW w:type="dxa" w:w="194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No provider activation or production mutation</w:t>
            </w:r>
          </w:p>
        </w:tc>
      </w:tr>
      <w:tr>
        <w:trPr>
          <w:cantSplit/>
        </w:trPr>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Platform Ops / Audit / Records</w:t>
            </w:r>
          </w:p>
        </w:tc>
        <w:tc>
          <w:tcPr>
            <w:tcW w:type="dxa" w:w="1944"/>
            <w:tcMar>
              <w:top w:w="90" w:type="dxa"/>
              <w:start w:w="105" w:type="dxa"/>
              <w:bottom w:w="90" w:type="dxa"/>
              <w:end w:w="105" w:type="dxa"/>
            </w:tcMar>
            <w:vAlign w:val="center"/>
          </w:tcPr>
          <w:p>
            <w:pPr>
              <w:spacing w:after="0" w:line="240" w:lineRule="auto"/>
              <w:jc w:val="left"/>
            </w:pPr>
            <w:r>
              <w:rPr>
                <w:rFonts w:ascii="Aptos" w:hAnsi="Aptos"/>
                <w:color w:val="1E2A32"/>
                <w:sz w:val="15"/>
              </w:rPr>
              <w:t>Release and evidence boundaries</w:t>
            </w:r>
          </w:p>
        </w:tc>
        <w:tc>
          <w:tcPr>
            <w:tcW w:type="dxa" w:w="3240"/>
            <w:tcMar>
              <w:top w:w="90" w:type="dxa"/>
              <w:start w:w="105" w:type="dxa"/>
              <w:bottom w:w="90" w:type="dxa"/>
              <w:end w:w="105" w:type="dxa"/>
            </w:tcMar>
            <w:vAlign w:val="center"/>
          </w:tcPr>
          <w:p>
            <w:pPr>
              <w:spacing w:after="0" w:line="240" w:lineRule="auto"/>
              <w:jc w:val="left"/>
            </w:pPr>
            <w:r>
              <w:rPr>
                <w:rFonts w:ascii="Aptos" w:hAnsi="Aptos"/>
                <w:color w:val="1E2A32"/>
                <w:sz w:val="15"/>
              </w:rPr>
              <w:t>Test environment, release evidence, rollback, attribution, integrity, retention, reproduction</w:t>
            </w:r>
          </w:p>
        </w:tc>
        <w:tc>
          <w:tcPr>
            <w:tcW w:type="dxa" w:w="1944"/>
            <w:tcMar>
              <w:top w:w="90" w:type="dxa"/>
              <w:start w:w="105" w:type="dxa"/>
              <w:bottom w:w="90" w:type="dxa"/>
              <w:end w:w="105" w:type="dxa"/>
            </w:tcMar>
            <w:vAlign w:val="center"/>
          </w:tcPr>
          <w:p>
            <w:pPr>
              <w:spacing w:after="0" w:line="240" w:lineRule="auto"/>
              <w:jc w:val="left"/>
            </w:pPr>
            <w:r>
              <w:rPr>
                <w:rFonts w:ascii="Aptos" w:hAnsi="Aptos"/>
                <w:color w:val="1E2A32"/>
                <w:sz w:val="15"/>
              </w:rPr>
              <w:t>Evidence does not create authority</w:t>
            </w:r>
          </w:p>
        </w:tc>
      </w:tr>
      <w:tr>
        <w:trPr>
          <w:cantSplit/>
        </w:trPr>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Privacy / Security / Key / Config / Vendor / Permission / Reporting</w:t>
            </w:r>
          </w:p>
        </w:tc>
        <w:tc>
          <w:tcPr>
            <w:tcW w:type="dxa" w:w="194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Cross-cutting controls</w:t>
            </w:r>
          </w:p>
        </w:tc>
        <w:tc>
          <w:tcPr>
            <w:tcW w:type="dxa" w:w="324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Minimization, secrets, access, configuration, vendor risk, reporting truth</w:t>
            </w:r>
          </w:p>
        </w:tc>
        <w:tc>
          <w:tcPr>
            <w:tcW w:type="dxa" w:w="194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Controls only assigned domains</w:t>
            </w:r>
          </w:p>
        </w:tc>
      </w:tr>
      <w:tr>
        <w:trPr>
          <w:cantSplit/>
        </w:trPr>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Item 09 BPF V0.2</w:t>
            </w:r>
          </w:p>
        </w:tc>
        <w:tc>
          <w:tcPr>
            <w:tcW w:type="dxa" w:w="1944"/>
            <w:tcMar>
              <w:top w:w="90" w:type="dxa"/>
              <w:start w:w="105" w:type="dxa"/>
              <w:bottom w:w="90" w:type="dxa"/>
              <w:end w:w="105" w:type="dxa"/>
            </w:tcMar>
            <w:vAlign w:val="center"/>
          </w:tcPr>
          <w:p>
            <w:pPr>
              <w:spacing w:after="0" w:line="240" w:lineRule="auto"/>
              <w:jc w:val="left"/>
            </w:pPr>
            <w:r>
              <w:rPr>
                <w:rFonts w:ascii="Aptos" w:hAnsi="Aptos"/>
                <w:color w:val="1E2A32"/>
                <w:sz w:val="15"/>
              </w:rPr>
              <w:t>Documentary design input</w:t>
            </w:r>
          </w:p>
        </w:tc>
        <w:tc>
          <w:tcPr>
            <w:tcW w:type="dxa" w:w="3240"/>
            <w:tcMar>
              <w:top w:w="90" w:type="dxa"/>
              <w:start w:w="105" w:type="dxa"/>
              <w:bottom w:w="90" w:type="dxa"/>
              <w:end w:w="105" w:type="dxa"/>
            </w:tcMar>
            <w:vAlign w:val="center"/>
          </w:tcPr>
          <w:p>
            <w:pPr>
              <w:spacing w:after="0" w:line="240" w:lineRule="auto"/>
              <w:jc w:val="left"/>
            </w:pPr>
            <w:r>
              <w:rPr>
                <w:rFonts w:ascii="Aptos" w:hAnsi="Aptos"/>
                <w:color w:val="1E2A32"/>
                <w:sz w:val="15"/>
              </w:rPr>
              <w:t>Billing/payment design and BPF-FD-001..025</w:t>
            </w:r>
          </w:p>
        </w:tc>
        <w:tc>
          <w:tcPr>
            <w:tcW w:type="dxa" w:w="1944"/>
            <w:tcMar>
              <w:top w:w="90" w:type="dxa"/>
              <w:start w:w="105" w:type="dxa"/>
              <w:bottom w:w="90" w:type="dxa"/>
              <w:end w:w="105" w:type="dxa"/>
            </w:tcMar>
            <w:vAlign w:val="center"/>
          </w:tcPr>
          <w:p>
            <w:pPr>
              <w:spacing w:after="0" w:line="240" w:lineRule="auto"/>
              <w:jc w:val="left"/>
            </w:pPr>
            <w:r>
              <w:rPr>
                <w:rFonts w:ascii="Aptos" w:hAnsi="Aptos"/>
                <w:color w:val="1E2A32"/>
                <w:sz w:val="15"/>
              </w:rPr>
              <w:t>Documentary remediation only</w:t>
            </w:r>
          </w:p>
        </w:tc>
      </w:tr>
      <w:tr>
        <w:trPr>
          <w:cantSplit/>
        </w:trPr>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Code Guide Program; ES-CG-10/13</w:t>
            </w:r>
          </w:p>
        </w:tc>
        <w:tc>
          <w:tcPr>
            <w:tcW w:type="dxa" w:w="194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Implementation governance</w:t>
            </w:r>
          </w:p>
        </w:tc>
        <w:tc>
          <w:tcPr>
            <w:tcW w:type="dxa" w:w="324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Evidence rigor, testing, integration, safety, PR review</w:t>
            </w:r>
          </w:p>
        </w:tc>
        <w:tc>
          <w:tcPr>
            <w:tcW w:type="dxa" w:w="194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Limited active scopes; merge/release/operations inactive</w:t>
            </w:r>
          </w:p>
        </w:tc>
      </w:tr>
      <w:tr>
        <w:trPr>
          <w:cantSplit/>
        </w:trPr>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PR #62 gap and IWP registers</w:t>
            </w:r>
          </w:p>
        </w:tc>
        <w:tc>
          <w:tcPr>
            <w:tcW w:type="dxa" w:w="1944"/>
            <w:tcMar>
              <w:top w:w="90" w:type="dxa"/>
              <w:start w:w="105" w:type="dxa"/>
              <w:bottom w:w="90" w:type="dxa"/>
              <w:end w:w="105" w:type="dxa"/>
            </w:tcMar>
            <w:vAlign w:val="center"/>
          </w:tcPr>
          <w:p>
            <w:pPr>
              <w:spacing w:after="0" w:line="240" w:lineRule="auto"/>
              <w:jc w:val="left"/>
            </w:pPr>
            <w:r>
              <w:rPr>
                <w:rFonts w:ascii="Aptos" w:hAnsi="Aptos"/>
                <w:color w:val="1E2A32"/>
                <w:sz w:val="15"/>
              </w:rPr>
              <w:t>Direct gap authority</w:t>
            </w:r>
          </w:p>
        </w:tc>
        <w:tc>
          <w:tcPr>
            <w:tcW w:type="dxa" w:w="3240"/>
            <w:tcMar>
              <w:top w:w="90" w:type="dxa"/>
              <w:start w:w="105" w:type="dxa"/>
              <w:bottom w:w="90" w:type="dxa"/>
              <w:end w:w="105" w:type="dxa"/>
            </w:tcMar>
            <w:vAlign w:val="center"/>
          </w:tcPr>
          <w:p>
            <w:pPr>
              <w:spacing w:after="0" w:line="240" w:lineRule="auto"/>
              <w:jc w:val="left"/>
            </w:pPr>
            <w:r>
              <w:rPr>
                <w:rFonts w:ascii="Aptos" w:hAnsi="Aptos"/>
                <w:color w:val="1E2A32"/>
                <w:sz w:val="15"/>
              </w:rPr>
              <w:t>Exact closure object, evidence, authority, work package</w:t>
            </w:r>
          </w:p>
        </w:tc>
        <w:tc>
          <w:tcPr>
            <w:tcW w:type="dxa" w:w="1944"/>
            <w:tcMar>
              <w:top w:w="90" w:type="dxa"/>
              <w:start w:w="105" w:type="dxa"/>
              <w:bottom w:w="90" w:type="dxa"/>
              <w:end w:w="105" w:type="dxa"/>
            </w:tcMar>
            <w:vAlign w:val="center"/>
          </w:tcPr>
          <w:p>
            <w:pPr>
              <w:spacing w:after="0" w:line="240" w:lineRule="auto"/>
              <w:jc w:val="left"/>
            </w:pPr>
            <w:r>
              <w:rPr>
                <w:rFonts w:ascii="Aptos" w:hAnsi="Aptos"/>
                <w:color w:val="1E2A32"/>
                <w:sz w:val="15"/>
              </w:rPr>
              <w:t>No implementation authority by itself</w:t>
            </w:r>
          </w:p>
        </w:tc>
      </w:tr>
      <w:tr>
        <w:trPr>
          <w:cantSplit/>
        </w:trPr>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 #69</w:t>
            </w:r>
          </w:p>
        </w:tc>
        <w:tc>
          <w:tcPr>
            <w:tcW w:type="dxa" w:w="194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Read-only live evidence candidate</w:t>
            </w:r>
          </w:p>
        </w:tc>
        <w:tc>
          <w:tcPr>
            <w:tcW w:type="dxa" w:w="324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Account, live catalogue, tax posture, missing runtime dataset</w:t>
            </w:r>
          </w:p>
        </w:tc>
        <w:tc>
          <w:tcPr>
            <w:tcW w:type="dxa" w:w="194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Draft/unmerged; no closure effect</w:t>
            </w:r>
          </w:p>
        </w:tc>
      </w:tr>
      <w:tr>
        <w:trPr>
          <w:cantSplit/>
        </w:trPr>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PR #70</w:t>
            </w:r>
          </w:p>
        </w:tc>
        <w:tc>
          <w:tcPr>
            <w:tcW w:type="dxa" w:w="1944"/>
            <w:tcMar>
              <w:top w:w="90" w:type="dxa"/>
              <w:start w:w="105" w:type="dxa"/>
              <w:bottom w:w="90" w:type="dxa"/>
              <w:end w:w="105" w:type="dxa"/>
            </w:tcMar>
            <w:vAlign w:val="center"/>
          </w:tcPr>
          <w:p>
            <w:pPr>
              <w:spacing w:after="0" w:line="240" w:lineRule="auto"/>
              <w:jc w:val="left"/>
            </w:pPr>
            <w:r>
              <w:rPr>
                <w:rFonts w:ascii="Aptos" w:hAnsi="Aptos"/>
                <w:color w:val="1E2A32"/>
                <w:sz w:val="15"/>
              </w:rPr>
              <w:t>Sandbox evidence candidate</w:t>
            </w:r>
          </w:p>
        </w:tc>
        <w:tc>
          <w:tcPr>
            <w:tcW w:type="dxa" w:w="3240"/>
            <w:tcMar>
              <w:top w:w="90" w:type="dxa"/>
              <w:start w:w="105" w:type="dxa"/>
              <w:bottom w:w="90" w:type="dxa"/>
              <w:end w:w="105" w:type="dxa"/>
            </w:tcMar>
            <w:vAlign w:val="center"/>
          </w:tcPr>
          <w:p>
            <w:pPr>
              <w:spacing w:after="0" w:line="240" w:lineRule="auto"/>
              <w:jc w:val="left"/>
            </w:pPr>
            <w:r>
              <w:rPr>
                <w:rFonts w:ascii="Aptos" w:hAnsi="Aptos"/>
                <w:color w:val="1E2A32"/>
                <w:sz w:val="15"/>
              </w:rPr>
              <w:t>Test catalogue, idempotent sync, backend checkout, environment-safe code</w:t>
            </w:r>
          </w:p>
        </w:tc>
        <w:tc>
          <w:tcPr>
            <w:tcW w:type="dxa" w:w="1944"/>
            <w:tcMar>
              <w:top w:w="90" w:type="dxa"/>
              <w:start w:w="105" w:type="dxa"/>
              <w:bottom w:w="90" w:type="dxa"/>
              <w:end w:w="105" w:type="dxa"/>
            </w:tcMar>
            <w:vAlign w:val="center"/>
          </w:tcPr>
          <w:p>
            <w:pPr>
              <w:spacing w:after="0" w:line="240" w:lineRule="auto"/>
              <w:jc w:val="left"/>
            </w:pPr>
            <w:r>
              <w:rPr>
                <w:rFonts w:ascii="Aptos" w:hAnsi="Aptos"/>
                <w:color w:val="1E2A32"/>
                <w:sz w:val="15"/>
              </w:rPr>
              <w:t>Draft/unmerged; no closure effect</w:t>
            </w:r>
          </w:p>
        </w:tc>
      </w:tr>
    </w:tbl>
    <w:p>
      <w:pPr>
        <w:spacing w:after="20"/>
      </w:pPr>
    </w:p>
    <w:p>
      <w:pPr>
        <w:pStyle w:val="Heading1"/>
        <w:spacing w:before="280" w:after="100"/>
        <w:keepNext/>
        <w:pBdr>
          <w:bottom w:val="single" w:sz="6" w:space="4" w:color="B8CDD8"/>
        </w:pBdr>
      </w:pPr>
      <w:r>
        <w:rPr>
          <w:rFonts w:ascii="Aptos" w:hAnsi="Aptos"/>
          <w:b/>
          <w:color w:val="17324D"/>
          <w:sz w:val="30"/>
        </w:rPr>
        <w:t>5. Current Evidence Posture</w:t>
      </w:r>
    </w:p>
    <w:p>
      <w:pPr>
        <w:pStyle w:val="Heading2"/>
        <w:spacing w:before="200" w:after="100"/>
        <w:keepNext/>
      </w:pPr>
      <w:r>
        <w:rPr>
          <w:rFonts w:ascii="Aptos" w:hAnsi="Aptos"/>
          <w:b/>
          <w:color w:val="087F83"/>
          <w:sz w:val="25"/>
        </w:rPr>
        <w:t>5.1 Draft Evidence Inputs</w:t>
      </w:r>
    </w:p>
    <w:p>
      <w:pPr>
        <w:spacing w:before="0" w:after="100" w:line="259" w:lineRule="auto"/>
      </w:pPr>
      <w:r>
        <w:rPr>
          <w:rFonts w:ascii="Aptos" w:hAnsi="Aptos"/>
          <w:i w:val="0"/>
          <w:color w:val="1E2A32"/>
          <w:sz w:val="21"/>
        </w:rPr>
        <w:t>PR #69 documents read-only inspection of the live Equine Sync Stripe account. It identifies a live product/price catalogue and active Missouri Stripe Tax registration, but no webhook endpoint, Checkout Sessions, subscriptions, PaymentIntents, charges, refunds, or provider-delivered event dataset. Its truthful determination is partial evidence with the gap remaining open.</w:t>
      </w:r>
    </w:p>
    <w:p>
      <w:pPr>
        <w:spacing w:before="0" w:after="100" w:line="259" w:lineRule="auto"/>
      </w:pPr>
      <w:r>
        <w:rPr>
          <w:rFonts w:ascii="Aptos" w:hAnsi="Aptos"/>
          <w:i w:val="0"/>
          <w:color w:val="1E2A32"/>
          <w:sz w:val="21"/>
        </w:rPr>
        <w:t>PR #70 documents an environment-safe Stripe sandbox catalogue, 23 Products, 30 Prices, idempotent second application, sandbox Mongo readiness, and a backend-created test-mode Checkout Session. It does not prove provider-delivered signed webhooks, the broader subscription lifecycle, refunds, tax calculation, financial control totals, or production readiness.</w:t>
      </w:r>
    </w:p>
    <w:tbl>
      <w:tblPr>
        <w:tblW w:type="auto" w:w="0"/>
        <w:jc w:val="center"/>
        <w:tblLayout w:type="fixed"/>
        <w:tblLook w:firstColumn="1" w:firstRow="1" w:lastColumn="0" w:lastRow="0" w:noHBand="0" w:noVBand="1" w:val="04A0"/>
      </w:tblPr>
      <w:tblGrid>
        <w:gridCol w:w="9994"/>
      </w:tblGrid>
      <w:tr>
        <w:tc>
          <w:tcPr>
            <w:tcW w:type="dxa" w:w="9432"/>
            <w:shd w:fill="EAF1F7"/>
            <w:tcMar>
              <w:top w:w="130" w:type="dxa"/>
              <w:start w:w="160" w:type="dxa"/>
              <w:bottom w:w="130" w:type="dxa"/>
              <w:end w:w="160" w:type="dxa"/>
            </w:tcMar>
            <w:tcBorders>
              <w:left w:val="single" w:sz="18" w:color="17324D"/>
            </w:tcBorders>
          </w:tcPr>
          <w:p>
            <w:pPr>
              <w:spacing w:after="60"/>
            </w:pPr>
            <w:r>
              <w:rPr>
                <w:rFonts w:ascii="Aptos" w:hAnsi="Aptos"/>
                <w:b/>
                <w:color w:val="17324D"/>
                <w:sz w:val="19"/>
              </w:rPr>
              <w:t>EVIDENCE STATE AND BASELINE RULE</w:t>
            </w:r>
          </w:p>
          <w:p>
            <w:pPr>
              <w:spacing w:after="0" w:line="252" w:lineRule="auto"/>
            </w:pPr>
            <w:r>
              <w:rPr>
                <w:rFonts w:ascii="Aptos" w:hAnsi="Aptos"/>
                <w:color w:val="1E2A32"/>
                <w:sz w:val="20"/>
              </w:rPr>
              <w:t>Evidence on an open or unmerged branch must be labeled CANDIDATE_EVIDENCE_PENDING_PROTECTED_ACCESSION. PR #69 and PR #70 begin from different protected baselines and must not be silently combined. PR #69 must be rebased and reverified, or its still-valid evidence must be carried into a successor package tied to the current protected head.</w:t>
            </w:r>
          </w:p>
        </w:tc>
      </w:tr>
    </w:tbl>
    <w:p>
      <w:pPr>
        <w:spacing w:after="20"/>
      </w:pP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80"/>
            <w:shd w:fill="17324D"/>
            <w:tcMar>
              <w:top w:w="100" w:type="dxa"/>
              <w:start w:w="105" w:type="dxa"/>
              <w:bottom w:w="100" w:type="dxa"/>
              <w:end w:w="105" w:type="dxa"/>
            </w:tcMar>
            <w:vAlign w:val="center"/>
          </w:tcPr>
          <w:p>
            <w:pPr>
              <w:spacing w:after="0"/>
              <w:jc w:val="center"/>
            </w:pPr>
            <w:r>
              <w:rPr>
                <w:rFonts w:ascii="Aptos" w:hAnsi="Aptos"/>
                <w:b/>
                <w:color w:val="FFFFFF"/>
                <w:sz w:val="18"/>
              </w:rPr>
              <w:t>ID</w:t>
            </w:r>
          </w:p>
        </w:tc>
        <w:tc>
          <w:tcPr>
            <w:tcW w:type="dxa" w:w="3672"/>
            <w:shd w:fill="17324D"/>
            <w:tcMar>
              <w:top w:w="100" w:type="dxa"/>
              <w:start w:w="105" w:type="dxa"/>
              <w:bottom w:w="100" w:type="dxa"/>
              <w:end w:w="105" w:type="dxa"/>
            </w:tcMar>
            <w:vAlign w:val="center"/>
          </w:tcPr>
          <w:p>
            <w:pPr>
              <w:spacing w:after="0"/>
              <w:jc w:val="center"/>
            </w:pPr>
            <w:r>
              <w:rPr>
                <w:rFonts w:ascii="Aptos" w:hAnsi="Aptos"/>
                <w:b/>
                <w:color w:val="FFFFFF"/>
                <w:sz w:val="18"/>
              </w:rPr>
              <w:t>Control</w:t>
            </w:r>
          </w:p>
        </w:tc>
        <w:tc>
          <w:tcPr>
            <w:tcW w:type="dxa" w:w="3024"/>
            <w:shd w:fill="17324D"/>
            <w:tcMar>
              <w:top w:w="100" w:type="dxa"/>
              <w:start w:w="105" w:type="dxa"/>
              <w:bottom w:w="100" w:type="dxa"/>
              <w:end w:w="105" w:type="dxa"/>
            </w:tcMar>
            <w:vAlign w:val="center"/>
          </w:tcPr>
          <w:p>
            <w:pPr>
              <w:spacing w:after="0"/>
              <w:jc w:val="center"/>
            </w:pPr>
            <w:r>
              <w:rPr>
                <w:rFonts w:ascii="Aptos" w:hAnsi="Aptos"/>
                <w:b/>
                <w:color w:val="FFFFFF"/>
                <w:sz w:val="18"/>
              </w:rPr>
              <w:t>Current Evidence</w:t>
            </w:r>
          </w:p>
        </w:tc>
        <w:tc>
          <w:tcPr>
            <w:tcW w:type="dxa" w:w="1584"/>
            <w:shd w:fill="17324D"/>
            <w:tcMar>
              <w:top w:w="100" w:type="dxa"/>
              <w:start w:w="105" w:type="dxa"/>
              <w:bottom w:w="100" w:type="dxa"/>
              <w:end w:w="105" w:type="dxa"/>
            </w:tcMar>
            <w:vAlign w:val="center"/>
          </w:tcPr>
          <w:p>
            <w:pPr>
              <w:spacing w:after="0"/>
              <w:jc w:val="center"/>
            </w:pPr>
            <w:r>
              <w:rPr>
                <w:rFonts w:ascii="Aptos" w:hAnsi="Aptos"/>
                <w:b/>
                <w:color w:val="FFFFFF"/>
                <w:sz w:val="18"/>
              </w:rPr>
              <w:t>Status</w:t>
            </w:r>
          </w:p>
        </w:tc>
      </w:tr>
      <w:tr>
        <w:trPr>
          <w:cantSplit/>
        </w:trPr>
        <w:tc>
          <w:tcPr>
            <w:tcW w:type="dxa" w:w="108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FIN-001</w:t>
            </w:r>
          </w:p>
        </w:tc>
        <w:tc>
          <w:tcPr>
            <w:tcW w:type="dxa" w:w="367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Account identity</w:t>
            </w:r>
          </w:p>
        </w:tc>
        <w:tc>
          <w:tcPr>
            <w:tcW w:type="dxa" w:w="30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 #69 candidate</w:t>
            </w:r>
          </w:p>
        </w:tc>
        <w:tc>
          <w:tcPr>
            <w:tcW w:type="dxa" w:w="158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CANDIDATE_SATISFIED_PENDING_ACCESSION</w:t>
            </w:r>
          </w:p>
        </w:tc>
      </w:tr>
      <w:tr>
        <w:trPr>
          <w:cantSplit/>
        </w:trPr>
        <w:tc>
          <w:tcPr>
            <w:tcW w:type="dxa" w:w="1080"/>
            <w:tcMar>
              <w:top w:w="90" w:type="dxa"/>
              <w:start w:w="105" w:type="dxa"/>
              <w:bottom w:w="90" w:type="dxa"/>
              <w:end w:w="105" w:type="dxa"/>
            </w:tcMar>
            <w:vAlign w:val="center"/>
          </w:tcPr>
          <w:p>
            <w:pPr>
              <w:spacing w:after="0" w:line="240" w:lineRule="auto"/>
              <w:jc w:val="left"/>
            </w:pPr>
            <w:r>
              <w:rPr>
                <w:rFonts w:ascii="Aptos" w:hAnsi="Aptos"/>
                <w:color w:val="1E2A32"/>
                <w:sz w:val="15"/>
              </w:rPr>
              <w:t>FIN-002</w:t>
            </w:r>
          </w:p>
        </w:tc>
        <w:tc>
          <w:tcPr>
            <w:tcW w:type="dxa" w:w="3672"/>
            <w:tcMar>
              <w:top w:w="90" w:type="dxa"/>
              <w:start w:w="105" w:type="dxa"/>
              <w:bottom w:w="90" w:type="dxa"/>
              <w:end w:w="105" w:type="dxa"/>
            </w:tcMar>
            <w:vAlign w:val="center"/>
          </w:tcPr>
          <w:p>
            <w:pPr>
              <w:spacing w:after="0" w:line="240" w:lineRule="auto"/>
              <w:jc w:val="left"/>
            </w:pPr>
            <w:r>
              <w:rPr>
                <w:rFonts w:ascii="Aptos" w:hAnsi="Aptos"/>
                <w:color w:val="1E2A32"/>
                <w:sz w:val="15"/>
              </w:rPr>
              <w:t>Catalogue parity and environment separation</w:t>
            </w:r>
          </w:p>
        </w:tc>
        <w:tc>
          <w:tcPr>
            <w:tcW w:type="dxa" w:w="3024"/>
            <w:tcMar>
              <w:top w:w="90" w:type="dxa"/>
              <w:start w:w="105" w:type="dxa"/>
              <w:bottom w:w="90" w:type="dxa"/>
              <w:end w:w="105" w:type="dxa"/>
            </w:tcMar>
            <w:vAlign w:val="center"/>
          </w:tcPr>
          <w:p>
            <w:pPr>
              <w:spacing w:after="0" w:line="240" w:lineRule="auto"/>
              <w:jc w:val="left"/>
            </w:pPr>
            <w:r>
              <w:rPr>
                <w:rFonts w:ascii="Aptos" w:hAnsi="Aptos"/>
                <w:color w:val="1E2A32"/>
                <w:sz w:val="15"/>
              </w:rPr>
              <w:t>PR #69 partial live; PR #70 complete sandbox</w:t>
            </w:r>
          </w:p>
        </w:tc>
        <w:tc>
          <w:tcPr>
            <w:tcW w:type="dxa" w:w="1584"/>
            <w:tcMar>
              <w:top w:w="90" w:type="dxa"/>
              <w:start w:w="105" w:type="dxa"/>
              <w:bottom w:w="90" w:type="dxa"/>
              <w:end w:w="105" w:type="dxa"/>
            </w:tcMar>
            <w:vAlign w:val="center"/>
          </w:tcPr>
          <w:p>
            <w:pPr>
              <w:spacing w:after="0" w:line="240" w:lineRule="auto"/>
              <w:jc w:val="left"/>
            </w:pPr>
            <w:r>
              <w:rPr>
                <w:rFonts w:ascii="Aptos" w:hAnsi="Aptos"/>
                <w:color w:val="1E2A32"/>
                <w:sz w:val="15"/>
              </w:rPr>
              <w:t>PARTIAL_PENDING_ACCESSION</w:t>
            </w:r>
          </w:p>
        </w:tc>
      </w:tr>
      <w:tr>
        <w:trPr>
          <w:cantSplit/>
        </w:trPr>
        <w:tc>
          <w:tcPr>
            <w:tcW w:type="dxa" w:w="108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FIN-003</w:t>
            </w:r>
          </w:p>
        </w:tc>
        <w:tc>
          <w:tcPr>
            <w:tcW w:type="dxa" w:w="367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Tax configuration plus completed calculation</w:t>
            </w:r>
          </w:p>
        </w:tc>
        <w:tc>
          <w:tcPr>
            <w:tcW w:type="dxa" w:w="30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 #69 configuration only</w:t>
            </w:r>
          </w:p>
        </w:tc>
        <w:tc>
          <w:tcPr>
            <w:tcW w:type="dxa" w:w="158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PARTIAL</w:t>
            </w:r>
          </w:p>
        </w:tc>
      </w:tr>
      <w:tr>
        <w:trPr>
          <w:cantSplit/>
        </w:trPr>
        <w:tc>
          <w:tcPr>
            <w:tcW w:type="dxa" w:w="1080"/>
            <w:tcMar>
              <w:top w:w="90" w:type="dxa"/>
              <w:start w:w="105" w:type="dxa"/>
              <w:bottom w:w="90" w:type="dxa"/>
              <w:end w:w="105" w:type="dxa"/>
            </w:tcMar>
            <w:vAlign w:val="center"/>
          </w:tcPr>
          <w:p>
            <w:pPr>
              <w:spacing w:after="0" w:line="240" w:lineRule="auto"/>
              <w:jc w:val="left"/>
            </w:pPr>
            <w:r>
              <w:rPr>
                <w:rFonts w:ascii="Aptos" w:hAnsi="Aptos"/>
                <w:color w:val="1E2A32"/>
                <w:sz w:val="15"/>
              </w:rPr>
              <w:t>FIN-004</w:t>
            </w:r>
          </w:p>
        </w:tc>
        <w:tc>
          <w:tcPr>
            <w:tcW w:type="dxa" w:w="3672"/>
            <w:tcMar>
              <w:top w:w="90" w:type="dxa"/>
              <w:start w:w="105" w:type="dxa"/>
              <w:bottom w:w="90" w:type="dxa"/>
              <w:end w:w="105" w:type="dxa"/>
            </w:tcMar>
            <w:vAlign w:val="center"/>
          </w:tcPr>
          <w:p>
            <w:pPr>
              <w:spacing w:after="0" w:line="240" w:lineRule="auto"/>
              <w:jc w:val="left"/>
            </w:pPr>
            <w:r>
              <w:rPr>
                <w:rFonts w:ascii="Aptos" w:hAnsi="Aptos"/>
                <w:color w:val="1E2A32"/>
                <w:sz w:val="15"/>
              </w:rPr>
              <w:t>Backend/provider Checkout</w:t>
            </w:r>
          </w:p>
        </w:tc>
        <w:tc>
          <w:tcPr>
            <w:tcW w:type="dxa" w:w="3024"/>
            <w:tcMar>
              <w:top w:w="90" w:type="dxa"/>
              <w:start w:w="105" w:type="dxa"/>
              <w:bottom w:w="90" w:type="dxa"/>
              <w:end w:w="105" w:type="dxa"/>
            </w:tcMar>
            <w:vAlign w:val="center"/>
          </w:tcPr>
          <w:p>
            <w:pPr>
              <w:spacing w:after="0" w:line="240" w:lineRule="auto"/>
              <w:jc w:val="left"/>
            </w:pPr>
            <w:r>
              <w:rPr>
                <w:rFonts w:ascii="Aptos" w:hAnsi="Aptos"/>
                <w:color w:val="1E2A32"/>
                <w:sz w:val="15"/>
              </w:rPr>
              <w:t>PR #70 candidate</w:t>
            </w:r>
          </w:p>
        </w:tc>
        <w:tc>
          <w:tcPr>
            <w:tcW w:type="dxa" w:w="1584"/>
            <w:tcMar>
              <w:top w:w="90" w:type="dxa"/>
              <w:start w:w="105" w:type="dxa"/>
              <w:bottom w:w="90" w:type="dxa"/>
              <w:end w:w="105" w:type="dxa"/>
            </w:tcMar>
            <w:vAlign w:val="center"/>
          </w:tcPr>
          <w:p>
            <w:pPr>
              <w:spacing w:after="0" w:line="240" w:lineRule="auto"/>
              <w:jc w:val="left"/>
            </w:pPr>
            <w:r>
              <w:rPr>
                <w:rFonts w:ascii="Aptos" w:hAnsi="Aptos"/>
                <w:color w:val="1E2A32"/>
                <w:sz w:val="15"/>
              </w:rPr>
              <w:t>CANDIDATE_SATISFIED_PENDING_ACCESSION</w:t>
            </w:r>
          </w:p>
        </w:tc>
      </w:tr>
      <w:tr>
        <w:trPr>
          <w:cantSplit/>
        </w:trPr>
        <w:tc>
          <w:tcPr>
            <w:tcW w:type="dxa" w:w="108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FIN-005</w:t>
            </w:r>
          </w:p>
        </w:tc>
        <w:tc>
          <w:tcPr>
            <w:tcW w:type="dxa" w:w="367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Provider-connected subscription lifecycle</w:t>
            </w:r>
          </w:p>
        </w:tc>
        <w:tc>
          <w:tcPr>
            <w:tcW w:type="dxa" w:w="30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Code and synthetic tests only</w:t>
            </w:r>
          </w:p>
        </w:tc>
        <w:tc>
          <w:tcPr>
            <w:tcW w:type="dxa" w:w="158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OPEN</w:t>
            </w:r>
          </w:p>
        </w:tc>
      </w:tr>
      <w:tr>
        <w:trPr>
          <w:cantSplit/>
        </w:trPr>
        <w:tc>
          <w:tcPr>
            <w:tcW w:type="dxa" w:w="1080"/>
            <w:tcMar>
              <w:top w:w="90" w:type="dxa"/>
              <w:start w:w="105" w:type="dxa"/>
              <w:bottom w:w="90" w:type="dxa"/>
              <w:end w:w="105" w:type="dxa"/>
            </w:tcMar>
            <w:vAlign w:val="center"/>
          </w:tcPr>
          <w:p>
            <w:pPr>
              <w:spacing w:after="0" w:line="240" w:lineRule="auto"/>
              <w:jc w:val="left"/>
            </w:pPr>
            <w:r>
              <w:rPr>
                <w:rFonts w:ascii="Aptos" w:hAnsi="Aptos"/>
                <w:color w:val="1E2A32"/>
                <w:sz w:val="15"/>
              </w:rPr>
              <w:t>FIN-006</w:t>
            </w:r>
          </w:p>
        </w:tc>
        <w:tc>
          <w:tcPr>
            <w:tcW w:type="dxa" w:w="3672"/>
            <w:tcMar>
              <w:top w:w="90" w:type="dxa"/>
              <w:start w:w="105" w:type="dxa"/>
              <w:bottom w:w="90" w:type="dxa"/>
              <w:end w:w="105" w:type="dxa"/>
            </w:tcMar>
            <w:vAlign w:val="center"/>
          </w:tcPr>
          <w:p>
            <w:pPr>
              <w:spacing w:after="0" w:line="240" w:lineRule="auto"/>
              <w:jc w:val="left"/>
            </w:pPr>
            <w:r>
              <w:rPr>
                <w:rFonts w:ascii="Aptos" w:hAnsi="Aptos"/>
                <w:color w:val="1E2A32"/>
                <w:sz w:val="15"/>
              </w:rPr>
              <w:t>Authorized test webhook endpoint/forwarding</w:t>
            </w:r>
          </w:p>
        </w:tc>
        <w:tc>
          <w:tcPr>
            <w:tcW w:type="dxa" w:w="3024"/>
            <w:tcMar>
              <w:top w:w="90" w:type="dxa"/>
              <w:start w:w="105" w:type="dxa"/>
              <w:bottom w:w="90" w:type="dxa"/>
              <w:end w:w="105" w:type="dxa"/>
            </w:tcMar>
            <w:vAlign w:val="center"/>
          </w:tcPr>
          <w:p>
            <w:pPr>
              <w:spacing w:after="0" w:line="240" w:lineRule="auto"/>
              <w:jc w:val="left"/>
            </w:pPr>
            <w:r>
              <w:rPr>
                <w:rFonts w:ascii="Aptos" w:hAnsi="Aptos"/>
                <w:color w:val="1E2A32"/>
                <w:sz w:val="15"/>
              </w:rPr>
              <w:t>None observed</w:t>
            </w:r>
          </w:p>
        </w:tc>
        <w:tc>
          <w:tcPr>
            <w:tcW w:type="dxa" w:w="1584"/>
            <w:tcMar>
              <w:top w:w="90" w:type="dxa"/>
              <w:start w:w="105" w:type="dxa"/>
              <w:bottom w:w="90" w:type="dxa"/>
              <w:end w:w="105" w:type="dxa"/>
            </w:tcMar>
            <w:vAlign w:val="center"/>
          </w:tcPr>
          <w:p>
            <w:pPr>
              <w:spacing w:after="0" w:line="240" w:lineRule="auto"/>
              <w:jc w:val="left"/>
            </w:pPr>
            <w:r>
              <w:rPr>
                <w:rFonts w:ascii="Aptos" w:hAnsi="Aptos"/>
                <w:color w:val="1E2A32"/>
                <w:sz w:val="15"/>
              </w:rPr>
              <w:t>OPEN</w:t>
            </w:r>
          </w:p>
        </w:tc>
      </w:tr>
      <w:tr>
        <w:trPr>
          <w:cantSplit/>
        </w:trPr>
        <w:tc>
          <w:tcPr>
            <w:tcW w:type="dxa" w:w="108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FIN-007</w:t>
            </w:r>
          </w:p>
        </w:tc>
        <w:tc>
          <w:tcPr>
            <w:tcW w:type="dxa" w:w="367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Signed event accepted; invalid rejected</w:t>
            </w:r>
          </w:p>
        </w:tc>
        <w:tc>
          <w:tcPr>
            <w:tcW w:type="dxa" w:w="30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Code only</w:t>
            </w:r>
          </w:p>
        </w:tc>
        <w:tc>
          <w:tcPr>
            <w:tcW w:type="dxa" w:w="158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OPEN</w:t>
            </w:r>
          </w:p>
        </w:tc>
      </w:tr>
      <w:tr>
        <w:trPr>
          <w:cantSplit/>
        </w:trPr>
        <w:tc>
          <w:tcPr>
            <w:tcW w:type="dxa" w:w="1080"/>
            <w:tcMar>
              <w:top w:w="90" w:type="dxa"/>
              <w:start w:w="105" w:type="dxa"/>
              <w:bottom w:w="90" w:type="dxa"/>
              <w:end w:w="105" w:type="dxa"/>
            </w:tcMar>
            <w:vAlign w:val="center"/>
          </w:tcPr>
          <w:p>
            <w:pPr>
              <w:spacing w:after="0" w:line="240" w:lineRule="auto"/>
              <w:jc w:val="left"/>
            </w:pPr>
            <w:r>
              <w:rPr>
                <w:rFonts w:ascii="Aptos" w:hAnsi="Aptos"/>
                <w:color w:val="1E2A32"/>
                <w:sz w:val="15"/>
              </w:rPr>
              <w:t>FIN-008</w:t>
            </w:r>
          </w:p>
        </w:tc>
        <w:tc>
          <w:tcPr>
            <w:tcW w:type="dxa" w:w="3672"/>
            <w:tcMar>
              <w:top w:w="90" w:type="dxa"/>
              <w:start w:w="105" w:type="dxa"/>
              <w:bottom w:w="90" w:type="dxa"/>
              <w:end w:w="105" w:type="dxa"/>
            </w:tcMar>
            <w:vAlign w:val="center"/>
          </w:tcPr>
          <w:p>
            <w:pPr>
              <w:spacing w:after="0" w:line="240" w:lineRule="auto"/>
              <w:jc w:val="left"/>
            </w:pPr>
            <w:r>
              <w:rPr>
                <w:rFonts w:ascii="Aptos" w:hAnsi="Aptos"/>
                <w:color w:val="1E2A32"/>
                <w:sz w:val="15"/>
              </w:rPr>
              <w:t>Provider duplicate replay: one effect</w:t>
            </w:r>
          </w:p>
        </w:tc>
        <w:tc>
          <w:tcPr>
            <w:tcW w:type="dxa" w:w="3024"/>
            <w:tcMar>
              <w:top w:w="90" w:type="dxa"/>
              <w:start w:w="105" w:type="dxa"/>
              <w:bottom w:w="90" w:type="dxa"/>
              <w:end w:w="105" w:type="dxa"/>
            </w:tcMar>
            <w:vAlign w:val="center"/>
          </w:tcPr>
          <w:p>
            <w:pPr>
              <w:spacing w:after="0" w:line="240" w:lineRule="auto"/>
              <w:jc w:val="left"/>
            </w:pPr>
            <w:r>
              <w:rPr>
                <w:rFonts w:ascii="Aptos" w:hAnsi="Aptos"/>
                <w:color w:val="1E2A32"/>
                <w:sz w:val="15"/>
              </w:rPr>
              <w:t>Synthetic/local tests</w:t>
            </w:r>
          </w:p>
        </w:tc>
        <w:tc>
          <w:tcPr>
            <w:tcW w:type="dxa" w:w="1584"/>
            <w:tcMar>
              <w:top w:w="90" w:type="dxa"/>
              <w:start w:w="105" w:type="dxa"/>
              <w:bottom w:w="90" w:type="dxa"/>
              <w:end w:w="105" w:type="dxa"/>
            </w:tcMar>
            <w:vAlign w:val="center"/>
          </w:tcPr>
          <w:p>
            <w:pPr>
              <w:spacing w:after="0" w:line="240" w:lineRule="auto"/>
              <w:jc w:val="left"/>
            </w:pPr>
            <w:r>
              <w:rPr>
                <w:rFonts w:ascii="Aptos" w:hAnsi="Aptos"/>
                <w:color w:val="1E2A32"/>
                <w:sz w:val="15"/>
              </w:rPr>
              <w:t>PARTIAL</w:t>
            </w:r>
          </w:p>
        </w:tc>
      </w:tr>
      <w:tr>
        <w:trPr>
          <w:cantSplit/>
        </w:trPr>
        <w:tc>
          <w:tcPr>
            <w:tcW w:type="dxa" w:w="108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FIN-009</w:t>
            </w:r>
          </w:p>
        </w:tc>
        <w:tc>
          <w:tcPr>
            <w:tcW w:type="dxa" w:w="367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Provider out-of-order resilience</w:t>
            </w:r>
          </w:p>
        </w:tc>
        <w:tc>
          <w:tcPr>
            <w:tcW w:type="dxa" w:w="30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Synthetic/local tests</w:t>
            </w:r>
          </w:p>
        </w:tc>
        <w:tc>
          <w:tcPr>
            <w:tcW w:type="dxa" w:w="158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PARTIAL</w:t>
            </w:r>
          </w:p>
        </w:tc>
      </w:tr>
      <w:tr>
        <w:trPr>
          <w:cantSplit/>
        </w:trPr>
        <w:tc>
          <w:tcPr>
            <w:tcW w:type="dxa" w:w="1080"/>
            <w:tcMar>
              <w:top w:w="90" w:type="dxa"/>
              <w:start w:w="105" w:type="dxa"/>
              <w:bottom w:w="90" w:type="dxa"/>
              <w:end w:w="105" w:type="dxa"/>
            </w:tcMar>
            <w:vAlign w:val="center"/>
          </w:tcPr>
          <w:p>
            <w:pPr>
              <w:spacing w:after="0" w:line="240" w:lineRule="auto"/>
              <w:jc w:val="left"/>
            </w:pPr>
            <w:r>
              <w:rPr>
                <w:rFonts w:ascii="Aptos" w:hAnsi="Aptos"/>
                <w:color w:val="1E2A32"/>
                <w:sz w:val="15"/>
              </w:rPr>
              <w:t>FIN-010</w:t>
            </w:r>
          </w:p>
        </w:tc>
        <w:tc>
          <w:tcPr>
            <w:tcW w:type="dxa" w:w="3672"/>
            <w:tcMar>
              <w:top w:w="90" w:type="dxa"/>
              <w:start w:w="105" w:type="dxa"/>
              <w:bottom w:w="90" w:type="dxa"/>
              <w:end w:w="105" w:type="dxa"/>
            </w:tcMar>
            <w:vAlign w:val="center"/>
          </w:tcPr>
          <w:p>
            <w:pPr>
              <w:spacing w:after="0" w:line="240" w:lineRule="auto"/>
              <w:jc w:val="left"/>
            </w:pPr>
            <w:r>
              <w:rPr>
                <w:rFonts w:ascii="Aptos" w:hAnsi="Aptos"/>
                <w:color w:val="1E2A32"/>
                <w:sz w:val="15"/>
              </w:rPr>
              <w:t>Invoice lifecycle mirror</w:t>
            </w:r>
          </w:p>
        </w:tc>
        <w:tc>
          <w:tcPr>
            <w:tcW w:type="dxa" w:w="3024"/>
            <w:tcMar>
              <w:top w:w="90" w:type="dxa"/>
              <w:start w:w="105" w:type="dxa"/>
              <w:bottom w:w="90" w:type="dxa"/>
              <w:end w:w="105" w:type="dxa"/>
            </w:tcMar>
            <w:vAlign w:val="center"/>
          </w:tcPr>
          <w:p>
            <w:pPr>
              <w:spacing w:after="0" w:line="240" w:lineRule="auto"/>
              <w:jc w:val="left"/>
            </w:pPr>
            <w:r>
              <w:rPr>
                <w:rFonts w:ascii="Aptos" w:hAnsi="Aptos"/>
                <w:color w:val="1E2A32"/>
                <w:sz w:val="15"/>
              </w:rPr>
              <w:t>No qualifying transaction dataset</w:t>
            </w:r>
          </w:p>
        </w:tc>
        <w:tc>
          <w:tcPr>
            <w:tcW w:type="dxa" w:w="1584"/>
            <w:tcMar>
              <w:top w:w="90" w:type="dxa"/>
              <w:start w:w="105" w:type="dxa"/>
              <w:bottom w:w="90" w:type="dxa"/>
              <w:end w:w="105" w:type="dxa"/>
            </w:tcMar>
            <w:vAlign w:val="center"/>
          </w:tcPr>
          <w:p>
            <w:pPr>
              <w:spacing w:after="0" w:line="240" w:lineRule="auto"/>
              <w:jc w:val="left"/>
            </w:pPr>
            <w:r>
              <w:rPr>
                <w:rFonts w:ascii="Aptos" w:hAnsi="Aptos"/>
                <w:color w:val="1E2A32"/>
                <w:sz w:val="15"/>
              </w:rPr>
              <w:t>OPEN</w:t>
            </w:r>
          </w:p>
        </w:tc>
      </w:tr>
      <w:tr>
        <w:trPr>
          <w:cantSplit/>
        </w:trPr>
        <w:tc>
          <w:tcPr>
            <w:tcW w:type="dxa" w:w="108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FIN-011</w:t>
            </w:r>
          </w:p>
        </w:tc>
        <w:tc>
          <w:tcPr>
            <w:tcW w:type="dxa" w:w="367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PaymentIntent success/failure mirror</w:t>
            </w:r>
          </w:p>
        </w:tc>
        <w:tc>
          <w:tcPr>
            <w:tcW w:type="dxa" w:w="30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No qualifying transaction dataset</w:t>
            </w:r>
          </w:p>
        </w:tc>
        <w:tc>
          <w:tcPr>
            <w:tcW w:type="dxa" w:w="158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OPEN</w:t>
            </w:r>
          </w:p>
        </w:tc>
      </w:tr>
      <w:tr>
        <w:trPr>
          <w:cantSplit/>
        </w:trPr>
        <w:tc>
          <w:tcPr>
            <w:tcW w:type="dxa" w:w="1080"/>
            <w:tcMar>
              <w:top w:w="90" w:type="dxa"/>
              <w:start w:w="105" w:type="dxa"/>
              <w:bottom w:w="90" w:type="dxa"/>
              <w:end w:w="105" w:type="dxa"/>
            </w:tcMar>
            <w:vAlign w:val="center"/>
          </w:tcPr>
          <w:p>
            <w:pPr>
              <w:spacing w:after="0" w:line="240" w:lineRule="auto"/>
              <w:jc w:val="left"/>
            </w:pPr>
            <w:r>
              <w:rPr>
                <w:rFonts w:ascii="Aptos" w:hAnsi="Aptos"/>
                <w:color w:val="1E2A32"/>
                <w:sz w:val="15"/>
              </w:rPr>
              <w:t>FIN-012</w:t>
            </w:r>
          </w:p>
        </w:tc>
        <w:tc>
          <w:tcPr>
            <w:tcW w:type="dxa" w:w="3672"/>
            <w:tcMar>
              <w:top w:w="90" w:type="dxa"/>
              <w:start w:w="105" w:type="dxa"/>
              <w:bottom w:w="90" w:type="dxa"/>
              <w:end w:w="105" w:type="dxa"/>
            </w:tcMar>
            <w:vAlign w:val="center"/>
          </w:tcPr>
          <w:p>
            <w:pPr>
              <w:spacing w:after="0" w:line="240" w:lineRule="auto"/>
              <w:jc w:val="left"/>
            </w:pPr>
            <w:r>
              <w:rPr>
                <w:rFonts w:ascii="Aptos" w:hAnsi="Aptos"/>
                <w:color w:val="1E2A32"/>
                <w:sz w:val="15"/>
              </w:rPr>
              <w:t>Transaction reconciliation</w:t>
            </w:r>
          </w:p>
        </w:tc>
        <w:tc>
          <w:tcPr>
            <w:tcW w:type="dxa" w:w="3024"/>
            <w:tcMar>
              <w:top w:w="90" w:type="dxa"/>
              <w:start w:w="105" w:type="dxa"/>
              <w:bottom w:w="90" w:type="dxa"/>
              <w:end w:w="105" w:type="dxa"/>
            </w:tcMar>
            <w:vAlign w:val="center"/>
          </w:tcPr>
          <w:p>
            <w:pPr>
              <w:spacing w:after="0" w:line="240" w:lineRule="auto"/>
              <w:jc w:val="left"/>
            </w:pPr>
            <w:r>
              <w:rPr>
                <w:rFonts w:ascii="Aptos" w:hAnsi="Aptos"/>
                <w:color w:val="1E2A32"/>
                <w:sz w:val="15"/>
              </w:rPr>
              <w:t>No provider/local transaction crosswalk</w:t>
            </w:r>
          </w:p>
        </w:tc>
        <w:tc>
          <w:tcPr>
            <w:tcW w:type="dxa" w:w="1584"/>
            <w:tcMar>
              <w:top w:w="90" w:type="dxa"/>
              <w:start w:w="105" w:type="dxa"/>
              <w:bottom w:w="90" w:type="dxa"/>
              <w:end w:w="105" w:type="dxa"/>
            </w:tcMar>
            <w:vAlign w:val="center"/>
          </w:tcPr>
          <w:p>
            <w:pPr>
              <w:spacing w:after="0" w:line="240" w:lineRule="auto"/>
              <w:jc w:val="left"/>
            </w:pPr>
            <w:r>
              <w:rPr>
                <w:rFonts w:ascii="Aptos" w:hAnsi="Aptos"/>
                <w:color w:val="1E2A32"/>
                <w:sz w:val="15"/>
              </w:rPr>
              <w:t>OPEN</w:t>
            </w:r>
          </w:p>
        </w:tc>
      </w:tr>
      <w:tr>
        <w:trPr>
          <w:cantSplit/>
        </w:trPr>
        <w:tc>
          <w:tcPr>
            <w:tcW w:type="dxa" w:w="108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FIN-013</w:t>
            </w:r>
          </w:p>
        </w:tc>
        <w:tc>
          <w:tcPr>
            <w:tcW w:type="dxa" w:w="367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Refund or credit treatment</w:t>
            </w:r>
          </w:p>
        </w:tc>
        <w:tc>
          <w:tcPr>
            <w:tcW w:type="dxa" w:w="30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Absent</w:t>
            </w:r>
          </w:p>
        </w:tc>
        <w:tc>
          <w:tcPr>
            <w:tcW w:type="dxa" w:w="158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OPEN</w:t>
            </w:r>
          </w:p>
        </w:tc>
      </w:tr>
      <w:tr>
        <w:trPr>
          <w:cantSplit/>
        </w:trPr>
        <w:tc>
          <w:tcPr>
            <w:tcW w:type="dxa" w:w="1080"/>
            <w:tcMar>
              <w:top w:w="90" w:type="dxa"/>
              <w:start w:w="105" w:type="dxa"/>
              <w:bottom w:w="90" w:type="dxa"/>
              <w:end w:w="105" w:type="dxa"/>
            </w:tcMar>
            <w:vAlign w:val="center"/>
          </w:tcPr>
          <w:p>
            <w:pPr>
              <w:spacing w:after="0" w:line="240" w:lineRule="auto"/>
              <w:jc w:val="left"/>
            </w:pPr>
            <w:r>
              <w:rPr>
                <w:rFonts w:ascii="Aptos" w:hAnsi="Aptos"/>
                <w:color w:val="1E2A32"/>
                <w:sz w:val="15"/>
              </w:rPr>
              <w:t>FIN-014</w:t>
            </w:r>
          </w:p>
        </w:tc>
        <w:tc>
          <w:tcPr>
            <w:tcW w:type="dxa" w:w="3672"/>
            <w:tcMar>
              <w:top w:w="90" w:type="dxa"/>
              <w:start w:w="105" w:type="dxa"/>
              <w:bottom w:w="90" w:type="dxa"/>
              <w:end w:w="105" w:type="dxa"/>
            </w:tcMar>
            <w:vAlign w:val="center"/>
          </w:tcPr>
          <w:p>
            <w:pPr>
              <w:spacing w:after="0" w:line="240" w:lineRule="auto"/>
              <w:jc w:val="left"/>
            </w:pPr>
            <w:r>
              <w:rPr>
                <w:rFonts w:ascii="Aptos" w:hAnsi="Aptos"/>
                <w:color w:val="1E2A32"/>
                <w:sz w:val="15"/>
              </w:rPr>
              <w:t>Financial report/control totals</w:t>
            </w:r>
          </w:p>
        </w:tc>
        <w:tc>
          <w:tcPr>
            <w:tcW w:type="dxa" w:w="3024"/>
            <w:tcMar>
              <w:top w:w="90" w:type="dxa"/>
              <w:start w:w="105" w:type="dxa"/>
              <w:bottom w:w="90" w:type="dxa"/>
              <w:end w:w="105" w:type="dxa"/>
            </w:tcMar>
            <w:vAlign w:val="center"/>
          </w:tcPr>
          <w:p>
            <w:pPr>
              <w:spacing w:after="0" w:line="240" w:lineRule="auto"/>
              <w:jc w:val="left"/>
            </w:pPr>
            <w:r>
              <w:rPr>
                <w:rFonts w:ascii="Aptos" w:hAnsi="Aptos"/>
                <w:color w:val="1E2A32"/>
                <w:sz w:val="15"/>
              </w:rPr>
              <w:t>Absent</w:t>
            </w:r>
          </w:p>
        </w:tc>
        <w:tc>
          <w:tcPr>
            <w:tcW w:type="dxa" w:w="1584"/>
            <w:tcMar>
              <w:top w:w="90" w:type="dxa"/>
              <w:start w:w="105" w:type="dxa"/>
              <w:bottom w:w="90" w:type="dxa"/>
              <w:end w:w="105" w:type="dxa"/>
            </w:tcMar>
            <w:vAlign w:val="center"/>
          </w:tcPr>
          <w:p>
            <w:pPr>
              <w:spacing w:after="0" w:line="240" w:lineRule="auto"/>
              <w:jc w:val="left"/>
            </w:pPr>
            <w:r>
              <w:rPr>
                <w:rFonts w:ascii="Aptos" w:hAnsi="Aptos"/>
                <w:color w:val="1E2A32"/>
                <w:sz w:val="15"/>
              </w:rPr>
              <w:t>OPEN</w:t>
            </w:r>
          </w:p>
        </w:tc>
      </w:tr>
      <w:tr>
        <w:trPr>
          <w:cantSplit/>
        </w:trPr>
        <w:tc>
          <w:tcPr>
            <w:tcW w:type="dxa" w:w="108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FIN-015</w:t>
            </w:r>
          </w:p>
        </w:tc>
        <w:tc>
          <w:tcPr>
            <w:tcW w:type="dxa" w:w="367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Payload minimization</w:t>
            </w:r>
          </w:p>
        </w:tc>
        <w:tc>
          <w:tcPr>
            <w:tcW w:type="dxa" w:w="30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Code/tests and reports partial</w:t>
            </w:r>
          </w:p>
        </w:tc>
        <w:tc>
          <w:tcPr>
            <w:tcW w:type="dxa" w:w="158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PARTIAL</w:t>
            </w:r>
          </w:p>
        </w:tc>
      </w:tr>
      <w:tr>
        <w:trPr>
          <w:cantSplit/>
        </w:trPr>
        <w:tc>
          <w:tcPr>
            <w:tcW w:type="dxa" w:w="1080"/>
            <w:tcMar>
              <w:top w:w="90" w:type="dxa"/>
              <w:start w:w="105" w:type="dxa"/>
              <w:bottom w:w="90" w:type="dxa"/>
              <w:end w:w="105" w:type="dxa"/>
            </w:tcMar>
            <w:vAlign w:val="center"/>
          </w:tcPr>
          <w:p>
            <w:pPr>
              <w:spacing w:after="0" w:line="240" w:lineRule="auto"/>
              <w:jc w:val="left"/>
            </w:pPr>
            <w:r>
              <w:rPr>
                <w:rFonts w:ascii="Aptos" w:hAnsi="Aptos"/>
                <w:color w:val="1E2A32"/>
                <w:sz w:val="15"/>
              </w:rPr>
              <w:t>FIN-016</w:t>
            </w:r>
          </w:p>
        </w:tc>
        <w:tc>
          <w:tcPr>
            <w:tcW w:type="dxa" w:w="3672"/>
            <w:tcMar>
              <w:top w:w="90" w:type="dxa"/>
              <w:start w:w="105" w:type="dxa"/>
              <w:bottom w:w="90" w:type="dxa"/>
              <w:end w:w="105" w:type="dxa"/>
            </w:tcMar>
            <w:vAlign w:val="center"/>
          </w:tcPr>
          <w:p>
            <w:pPr>
              <w:spacing w:after="0" w:line="240" w:lineRule="auto"/>
              <w:jc w:val="left"/>
            </w:pPr>
            <w:r>
              <w:rPr>
                <w:rFonts w:ascii="Aptos" w:hAnsi="Aptos"/>
                <w:color w:val="1E2A32"/>
                <w:sz w:val="15"/>
              </w:rPr>
              <w:t>Provider-connected failure/retry</w:t>
            </w:r>
          </w:p>
        </w:tc>
        <w:tc>
          <w:tcPr>
            <w:tcW w:type="dxa" w:w="3024"/>
            <w:tcMar>
              <w:top w:w="90" w:type="dxa"/>
              <w:start w:w="105" w:type="dxa"/>
              <w:bottom w:w="90" w:type="dxa"/>
              <w:end w:w="105" w:type="dxa"/>
            </w:tcMar>
            <w:vAlign w:val="center"/>
          </w:tcPr>
          <w:p>
            <w:pPr>
              <w:spacing w:after="0" w:line="240" w:lineRule="auto"/>
              <w:jc w:val="left"/>
            </w:pPr>
            <w:r>
              <w:rPr>
                <w:rFonts w:ascii="Aptos" w:hAnsi="Aptos"/>
                <w:color w:val="1E2A32"/>
                <w:sz w:val="15"/>
              </w:rPr>
              <w:t>Synthetic/local tests</w:t>
            </w:r>
          </w:p>
        </w:tc>
        <w:tc>
          <w:tcPr>
            <w:tcW w:type="dxa" w:w="1584"/>
            <w:tcMar>
              <w:top w:w="90" w:type="dxa"/>
              <w:start w:w="105" w:type="dxa"/>
              <w:bottom w:w="90" w:type="dxa"/>
              <w:end w:w="105" w:type="dxa"/>
            </w:tcMar>
            <w:vAlign w:val="center"/>
          </w:tcPr>
          <w:p>
            <w:pPr>
              <w:spacing w:after="0" w:line="240" w:lineRule="auto"/>
              <w:jc w:val="left"/>
            </w:pPr>
            <w:r>
              <w:rPr>
                <w:rFonts w:ascii="Aptos" w:hAnsi="Aptos"/>
                <w:color w:val="1E2A32"/>
                <w:sz w:val="15"/>
              </w:rPr>
              <w:t>PARTIAL</w:t>
            </w:r>
          </w:p>
        </w:tc>
      </w:tr>
      <w:tr>
        <w:trPr>
          <w:cantSplit/>
        </w:trPr>
        <w:tc>
          <w:tcPr>
            <w:tcW w:type="dxa" w:w="108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FIN-017</w:t>
            </w:r>
          </w:p>
        </w:tc>
        <w:tc>
          <w:tcPr>
            <w:tcW w:type="dxa" w:w="367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Customer location and tax result</w:t>
            </w:r>
          </w:p>
        </w:tc>
        <w:tc>
          <w:tcPr>
            <w:tcW w:type="dxa" w:w="30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Absent</w:t>
            </w:r>
          </w:p>
        </w:tc>
        <w:tc>
          <w:tcPr>
            <w:tcW w:type="dxa" w:w="158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OPEN</w:t>
            </w:r>
          </w:p>
        </w:tc>
      </w:tr>
      <w:tr>
        <w:trPr>
          <w:cantSplit/>
        </w:trPr>
        <w:tc>
          <w:tcPr>
            <w:tcW w:type="dxa" w:w="1080"/>
            <w:tcMar>
              <w:top w:w="90" w:type="dxa"/>
              <w:start w:w="105" w:type="dxa"/>
              <w:bottom w:w="90" w:type="dxa"/>
              <w:end w:w="105" w:type="dxa"/>
            </w:tcMar>
            <w:vAlign w:val="center"/>
          </w:tcPr>
          <w:p>
            <w:pPr>
              <w:spacing w:after="0" w:line="240" w:lineRule="auto"/>
              <w:jc w:val="left"/>
            </w:pPr>
            <w:r>
              <w:rPr>
                <w:rFonts w:ascii="Aptos" w:hAnsi="Aptos"/>
                <w:color w:val="1E2A32"/>
                <w:sz w:val="15"/>
              </w:rPr>
              <w:t>FIN-018</w:t>
            </w:r>
          </w:p>
        </w:tc>
        <w:tc>
          <w:tcPr>
            <w:tcW w:type="dxa" w:w="3672"/>
            <w:tcMar>
              <w:top w:w="90" w:type="dxa"/>
              <w:start w:w="105" w:type="dxa"/>
              <w:bottom w:w="90" w:type="dxa"/>
              <w:end w:w="105" w:type="dxa"/>
            </w:tcMar>
            <w:vAlign w:val="center"/>
          </w:tcPr>
          <w:p>
            <w:pPr>
              <w:spacing w:after="0" w:line="240" w:lineRule="auto"/>
              <w:jc w:val="left"/>
            </w:pPr>
            <w:r>
              <w:rPr>
                <w:rFonts w:ascii="Aptos" w:hAnsi="Aptos"/>
                <w:color w:val="1E2A32"/>
                <w:sz w:val="15"/>
              </w:rPr>
              <w:t>Founder closure disposition</w:t>
            </w:r>
          </w:p>
        </w:tc>
        <w:tc>
          <w:tcPr>
            <w:tcW w:type="dxa" w:w="3024"/>
            <w:tcMar>
              <w:top w:w="90" w:type="dxa"/>
              <w:start w:w="105" w:type="dxa"/>
              <w:bottom w:w="90" w:type="dxa"/>
              <w:end w:w="105" w:type="dxa"/>
            </w:tcMar>
            <w:vAlign w:val="center"/>
          </w:tcPr>
          <w:p>
            <w:pPr>
              <w:spacing w:after="0" w:line="240" w:lineRule="auto"/>
              <w:jc w:val="left"/>
            </w:pPr>
            <w:r>
              <w:rPr>
                <w:rFonts w:ascii="Aptos" w:hAnsi="Aptos"/>
                <w:color w:val="1E2A32"/>
                <w:sz w:val="15"/>
              </w:rPr>
              <w:t>Absent</w:t>
            </w:r>
          </w:p>
        </w:tc>
        <w:tc>
          <w:tcPr>
            <w:tcW w:type="dxa" w:w="1584"/>
            <w:tcMar>
              <w:top w:w="90" w:type="dxa"/>
              <w:start w:w="105" w:type="dxa"/>
              <w:bottom w:w="90" w:type="dxa"/>
              <w:end w:w="105" w:type="dxa"/>
            </w:tcMar>
            <w:vAlign w:val="center"/>
          </w:tcPr>
          <w:p>
            <w:pPr>
              <w:spacing w:after="0" w:line="240" w:lineRule="auto"/>
              <w:jc w:val="left"/>
            </w:pPr>
            <w:r>
              <w:rPr>
                <w:rFonts w:ascii="Aptos" w:hAnsi="Aptos"/>
                <w:color w:val="1E2A32"/>
                <w:sz w:val="15"/>
              </w:rPr>
              <w:t>OPEN</w:t>
            </w:r>
          </w:p>
        </w:tc>
      </w:tr>
    </w:tbl>
    <w:p>
      <w:pPr>
        <w:spacing w:after="20"/>
      </w:pPr>
    </w:p>
    <w:p>
      <w:pPr>
        <w:pStyle w:val="Heading1"/>
        <w:spacing w:before="280" w:after="100"/>
        <w:keepNext/>
        <w:pBdr>
          <w:bottom w:val="single" w:sz="6" w:space="4" w:color="B8CDD8"/>
        </w:pBdr>
      </w:pPr>
      <w:r>
        <w:rPr>
          <w:rFonts w:ascii="Aptos" w:hAnsi="Aptos"/>
          <w:b/>
          <w:color w:val="17324D"/>
          <w:sz w:val="30"/>
        </w:rPr>
        <w:t>6. Closure Principles and Invariants</w:t>
      </w:r>
    </w:p>
    <w:p>
      <w:pPr>
        <w:spacing w:after="50" w:line="252" w:lineRule="auto"/>
        <w:ind w:left="461" w:hanging="360"/>
      </w:pPr>
      <w:r>
        <w:rPr>
          <w:rFonts w:ascii="Aptos" w:hAnsi="Aptos"/>
          <w:color w:val="1E2A32"/>
          <w:sz w:val="20"/>
        </w:rPr>
        <w:t>1.  Internal status is not proof of external settlement.</w:t>
      </w:r>
    </w:p>
    <w:p>
      <w:pPr>
        <w:spacing w:after="50" w:line="252" w:lineRule="auto"/>
        <w:ind w:left="461" w:hanging="360"/>
      </w:pPr>
      <w:r>
        <w:rPr>
          <w:rFonts w:ascii="Aptos" w:hAnsi="Aptos"/>
          <w:color w:val="1E2A32"/>
          <w:sz w:val="20"/>
        </w:rPr>
        <w:t>2.  A Checkout Session proves initiation, not payment, settlement, refund, or reconciliation.</w:t>
      </w:r>
    </w:p>
    <w:p>
      <w:pPr>
        <w:spacing w:after="50" w:line="252" w:lineRule="auto"/>
        <w:ind w:left="461" w:hanging="360"/>
      </w:pPr>
      <w:r>
        <w:rPr>
          <w:rFonts w:ascii="Aptos" w:hAnsi="Aptos"/>
          <w:color w:val="1E2A32"/>
          <w:sz w:val="20"/>
        </w:rPr>
        <w:t>3.  Provider events are scoped evidence and must map to canonical EquineSync states.</w:t>
      </w:r>
    </w:p>
    <w:p>
      <w:pPr>
        <w:spacing w:after="50" w:line="252" w:lineRule="auto"/>
        <w:ind w:left="461" w:hanging="360"/>
      </w:pPr>
      <w:r>
        <w:rPr>
          <w:rFonts w:ascii="Aptos" w:hAnsi="Aptos"/>
          <w:color w:val="1E2A32"/>
          <w:sz w:val="20"/>
        </w:rPr>
        <w:t>4.  Sandbox and live credentials, objects, numbering, data, webhooks, logs, and receipts must remain separated.</w:t>
      </w:r>
    </w:p>
    <w:p>
      <w:pPr>
        <w:spacing w:after="50" w:line="252" w:lineRule="auto"/>
        <w:ind w:left="461" w:hanging="360"/>
      </w:pPr>
      <w:r>
        <w:rPr>
          <w:rFonts w:ascii="Aptos" w:hAnsi="Aptos"/>
          <w:color w:val="1E2A32"/>
          <w:sz w:val="20"/>
        </w:rPr>
        <w:t>5.  Every external mutation must use stable provider-appropriate idempotency.</w:t>
      </w:r>
    </w:p>
    <w:p>
      <w:pPr>
        <w:spacing w:after="50" w:line="252" w:lineRule="auto"/>
        <w:ind w:left="461" w:hanging="360"/>
      </w:pPr>
      <w:r>
        <w:rPr>
          <w:rFonts w:ascii="Aptos" w:hAnsi="Aptos"/>
          <w:color w:val="1E2A32"/>
          <w:sz w:val="20"/>
        </w:rPr>
        <w:t>6.  A retry after an uncertain result must first reconcile the prior provider result.</w:t>
      </w:r>
    </w:p>
    <w:p>
      <w:pPr>
        <w:spacing w:after="50" w:line="252" w:lineRule="auto"/>
        <w:ind w:left="461" w:hanging="360"/>
      </w:pPr>
      <w:r>
        <w:rPr>
          <w:rFonts w:ascii="Aptos" w:hAnsi="Aptos"/>
          <w:color w:val="1E2A32"/>
          <w:sz w:val="20"/>
        </w:rPr>
        <w:t>7.  Duplicate, delayed, replayed, and out-of-order events must not create duplicate financial or entitlement effects.</w:t>
      </w:r>
    </w:p>
    <w:p>
      <w:pPr>
        <w:spacing w:after="50" w:line="252" w:lineRule="auto"/>
        <w:ind w:left="461" w:hanging="360"/>
      </w:pPr>
      <w:r>
        <w:rPr>
          <w:rFonts w:ascii="Aptos" w:hAnsi="Aptos"/>
          <w:color w:val="1E2A32"/>
          <w:sz w:val="20"/>
        </w:rPr>
        <w:t>8.  Corrections preserve history through refund, credit, cancellation, reversal, adjustment, or supersession.</w:t>
      </w:r>
    </w:p>
    <w:p>
      <w:pPr>
        <w:spacing w:after="50" w:line="252" w:lineRule="auto"/>
        <w:ind w:left="461" w:hanging="360"/>
      </w:pPr>
      <w:r>
        <w:rPr>
          <w:rFonts w:ascii="Aptos" w:hAnsi="Aptos"/>
          <w:color w:val="1E2A32"/>
          <w:sz w:val="20"/>
        </w:rPr>
        <w:t>9.  Entitlement is distinct from settlement and follows approved product policy.</w:t>
      </w:r>
    </w:p>
    <w:p>
      <w:pPr>
        <w:spacing w:after="50" w:line="252" w:lineRule="auto"/>
        <w:ind w:left="461" w:hanging="360"/>
      </w:pPr>
      <w:r>
        <w:rPr>
          <w:rFonts w:ascii="Aptos" w:hAnsi="Aptos"/>
          <w:color w:val="1E2A32"/>
          <w:sz w:val="20"/>
        </w:rPr>
        <w:t>10.  Reconciliation compares configuration, internal records, provider objects/events, and entitlement state.</w:t>
      </w:r>
    </w:p>
    <w:p>
      <w:pPr>
        <w:spacing w:after="50" w:line="252" w:lineRule="auto"/>
        <w:ind w:left="461" w:hanging="360"/>
      </w:pPr>
      <w:r>
        <w:rPr>
          <w:rFonts w:ascii="Aptos" w:hAnsi="Aptos"/>
          <w:color w:val="1E2A32"/>
          <w:sz w:val="20"/>
        </w:rPr>
        <w:t>11.  Test and production financial truth cannot mix.</w:t>
      </w:r>
    </w:p>
    <w:p>
      <w:pPr>
        <w:spacing w:after="50" w:line="252" w:lineRule="auto"/>
        <w:ind w:left="461" w:hanging="360"/>
      </w:pPr>
      <w:r>
        <w:rPr>
          <w:rFonts w:ascii="Aptos" w:hAnsi="Aptos"/>
          <w:color w:val="1E2A32"/>
          <w:sz w:val="20"/>
        </w:rPr>
        <w:t>12.  Evidence is reproducible, sanitized, environment-scoped, and linked to an exact code commit.</w:t>
      </w:r>
    </w:p>
    <w:p>
      <w:pPr>
        <w:spacing w:after="50" w:line="252" w:lineRule="auto"/>
        <w:ind w:left="461" w:hanging="360"/>
      </w:pPr>
      <w:r>
        <w:rPr>
          <w:rFonts w:ascii="Aptos" w:hAnsi="Aptos"/>
          <w:color w:val="1E2A32"/>
          <w:sz w:val="20"/>
        </w:rPr>
        <w:t>13.  Passing tests prove only tested behavior and cannot cure missing authority or provider evidence.</w:t>
      </w:r>
    </w:p>
    <w:p>
      <w:pPr>
        <w:spacing w:after="50" w:line="252" w:lineRule="auto"/>
        <w:ind w:left="461" w:hanging="360"/>
      </w:pPr>
      <w:r>
        <w:rPr>
          <w:rFonts w:ascii="Aptos" w:hAnsi="Aptos"/>
          <w:color w:val="1E2A32"/>
          <w:sz w:val="20"/>
        </w:rPr>
        <w:t>14.  Dashboard screenshots do not replace auditable objects, events, and reconciliation.</w:t>
      </w:r>
    </w:p>
    <w:p>
      <w:pPr>
        <w:spacing w:after="50" w:line="252" w:lineRule="auto"/>
        <w:ind w:left="461" w:hanging="360"/>
      </w:pPr>
      <w:r>
        <w:rPr>
          <w:rFonts w:ascii="Aptos" w:hAnsi="Aptos"/>
          <w:color w:val="1E2A32"/>
          <w:sz w:val="20"/>
        </w:rPr>
        <w:t>15.  No label or risk acceptance may fabricate missing evidence.</w:t>
      </w:r>
    </w:p>
    <w:p>
      <w:pPr>
        <w:pStyle w:val="Heading1"/>
        <w:spacing w:before="280" w:after="100"/>
        <w:keepNext/>
        <w:pBdr>
          <w:bottom w:val="single" w:sz="6" w:space="4" w:color="B8CDD8"/>
        </w:pBdr>
      </w:pPr>
      <w:r>
        <w:rPr>
          <w:rFonts w:ascii="Aptos" w:hAnsi="Aptos"/>
          <w:b/>
          <w:color w:val="17324D"/>
          <w:sz w:val="30"/>
        </w:rPr>
        <w:t>7. Mandatory Closure Gates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835"/>
            <w:shd w:fill="17324D"/>
            <w:tcMar>
              <w:top w:w="100" w:type="dxa"/>
              <w:start w:w="105" w:type="dxa"/>
              <w:bottom w:w="100" w:type="dxa"/>
              <w:end w:w="105" w:type="dxa"/>
            </w:tcMar>
            <w:vAlign w:val="center"/>
          </w:tcPr>
          <w:p>
            <w:pPr>
              <w:spacing w:after="0"/>
              <w:jc w:val="center"/>
            </w:pPr>
            <w:r>
              <w:rPr>
                <w:rFonts w:ascii="Aptos" w:hAnsi="Aptos"/>
                <w:b/>
                <w:color w:val="FFFFFF"/>
                <w:sz w:val="18"/>
              </w:rPr>
              <w:t>Gate</w:t>
            </w:r>
          </w:p>
        </w:tc>
        <w:tc>
          <w:tcPr>
            <w:tcW w:type="dxa" w:w="2448"/>
            <w:shd w:fill="17324D"/>
            <w:tcMar>
              <w:top w:w="100" w:type="dxa"/>
              <w:start w:w="105" w:type="dxa"/>
              <w:bottom w:w="100" w:type="dxa"/>
              <w:end w:w="105" w:type="dxa"/>
            </w:tcMar>
            <w:vAlign w:val="center"/>
          </w:tcPr>
          <w:p>
            <w:pPr>
              <w:spacing w:after="0"/>
              <w:jc w:val="center"/>
            </w:pPr>
            <w:r>
              <w:rPr>
                <w:rFonts w:ascii="Aptos" w:hAnsi="Aptos"/>
                <w:b/>
                <w:color w:val="FFFFFF"/>
                <w:sz w:val="18"/>
              </w:rPr>
              <w:t>Condition</w:t>
            </w:r>
          </w:p>
        </w:tc>
        <w:tc>
          <w:tcPr>
            <w:tcW w:type="dxa" w:w="3816"/>
            <w:shd w:fill="17324D"/>
            <w:tcMar>
              <w:top w:w="100" w:type="dxa"/>
              <w:start w:w="105" w:type="dxa"/>
              <w:bottom w:w="100" w:type="dxa"/>
              <w:end w:w="105" w:type="dxa"/>
            </w:tcMar>
            <w:vAlign w:val="center"/>
          </w:tcPr>
          <w:p>
            <w:pPr>
              <w:spacing w:after="0"/>
              <w:jc w:val="center"/>
            </w:pPr>
            <w:r>
              <w:rPr>
                <w:rFonts w:ascii="Aptos" w:hAnsi="Aptos"/>
                <w:b/>
                <w:color w:val="FFFFFF"/>
                <w:sz w:val="18"/>
              </w:rPr>
              <w:t>Acceptance Evidence</w:t>
            </w:r>
          </w:p>
        </w:tc>
        <w:tc>
          <w:tcPr>
            <w:tcW w:type="dxa" w:w="2261"/>
            <w:shd w:fill="17324D"/>
            <w:tcMar>
              <w:top w:w="100" w:type="dxa"/>
              <w:start w:w="105" w:type="dxa"/>
              <w:bottom w:w="100" w:type="dxa"/>
              <w:end w:w="105" w:type="dxa"/>
            </w:tcMar>
            <w:vAlign w:val="center"/>
          </w:tcPr>
          <w:p>
            <w:pPr>
              <w:spacing w:after="0"/>
              <w:jc w:val="center"/>
            </w:pPr>
            <w:r>
              <w:rPr>
                <w:rFonts w:ascii="Aptos" w:hAnsi="Aptos"/>
                <w:b/>
                <w:color w:val="FFFFFF"/>
                <w:sz w:val="18"/>
              </w:rPr>
              <w:t>Blocks Closure</w:t>
            </w:r>
          </w:p>
        </w:tc>
      </w:tr>
      <w:tr>
        <w:trPr>
          <w:cantSplit/>
        </w:trPr>
        <w:tc>
          <w:tcPr>
            <w:tcW w:type="dxa" w:w="835"/>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G-01</w:t>
            </w:r>
          </w:p>
        </w:tc>
        <w:tc>
          <w:tcPr>
            <w:tcW w:type="dxa" w:w="2448"/>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Authority and scope</w:t>
            </w:r>
          </w:p>
        </w:tc>
        <w:tc>
          <w:tcPr>
            <w:tcW w:type="dxa" w:w="381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Exact authority, operators, environment, allowed/prohibited actions</w:t>
            </w:r>
          </w:p>
        </w:tc>
        <w:tc>
          <w:tcPr>
            <w:tcW w:type="dxa" w:w="2261"/>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Missing/ambiguous authority; unauthorized live mutation</w:t>
            </w:r>
          </w:p>
        </w:tc>
      </w:tr>
      <w:tr>
        <w:trPr>
          <w:cantSplit/>
        </w:trPr>
        <w:tc>
          <w:tcPr>
            <w:tcW w:type="dxa" w:w="835"/>
            <w:tcMar>
              <w:top w:w="90" w:type="dxa"/>
              <w:start w:w="105" w:type="dxa"/>
              <w:bottom w:w="90" w:type="dxa"/>
              <w:end w:w="105" w:type="dxa"/>
            </w:tcMar>
            <w:vAlign w:val="center"/>
          </w:tcPr>
          <w:p>
            <w:pPr>
              <w:spacing w:after="0" w:line="240" w:lineRule="auto"/>
              <w:jc w:val="left"/>
            </w:pPr>
            <w:r>
              <w:rPr>
                <w:rFonts w:ascii="Aptos" w:hAnsi="Aptos"/>
                <w:color w:val="1E2A32"/>
                <w:sz w:val="15"/>
              </w:rPr>
              <w:t>G-02</w:t>
            </w:r>
          </w:p>
        </w:tc>
        <w:tc>
          <w:tcPr>
            <w:tcW w:type="dxa" w:w="2448"/>
            <w:tcMar>
              <w:top w:w="90" w:type="dxa"/>
              <w:start w:w="105" w:type="dxa"/>
              <w:bottom w:w="90" w:type="dxa"/>
              <w:end w:w="105" w:type="dxa"/>
            </w:tcMar>
            <w:vAlign w:val="center"/>
          </w:tcPr>
          <w:p>
            <w:pPr>
              <w:spacing w:after="0" w:line="240" w:lineRule="auto"/>
              <w:jc w:val="left"/>
            </w:pPr>
            <w:r>
              <w:rPr>
                <w:rFonts w:ascii="Aptos" w:hAnsi="Aptos"/>
                <w:color w:val="1E2A32"/>
                <w:sz w:val="15"/>
              </w:rPr>
              <w:t>Protected lineage</w:t>
            </w:r>
          </w:p>
        </w:tc>
        <w:tc>
          <w:tcPr>
            <w:tcW w:type="dxa" w:w="3816"/>
            <w:tcMar>
              <w:top w:w="90" w:type="dxa"/>
              <w:start w:w="105" w:type="dxa"/>
              <w:bottom w:w="90" w:type="dxa"/>
              <w:end w:w="105" w:type="dxa"/>
            </w:tcMar>
            <w:vAlign w:val="center"/>
          </w:tcPr>
          <w:p>
            <w:pPr>
              <w:spacing w:after="0" w:line="240" w:lineRule="auto"/>
              <w:jc w:val="left"/>
            </w:pPr>
            <w:r>
              <w:rPr>
                <w:rFonts w:ascii="Aptos" w:hAnsi="Aptos"/>
                <w:color w:val="1E2A32"/>
                <w:sz w:val="15"/>
              </w:rPr>
              <w:t>Source freeze, manifests, commit identities, authorized-path report</w:t>
            </w:r>
          </w:p>
        </w:tc>
        <w:tc>
          <w:tcPr>
            <w:tcW w:type="dxa" w:w="2261"/>
            <w:tcMar>
              <w:top w:w="90" w:type="dxa"/>
              <w:start w:w="105" w:type="dxa"/>
              <w:bottom w:w="90" w:type="dxa"/>
              <w:end w:w="105" w:type="dxa"/>
            </w:tcMar>
            <w:vAlign w:val="center"/>
          </w:tcPr>
          <w:p>
            <w:pPr>
              <w:spacing w:after="0" w:line="240" w:lineRule="auto"/>
              <w:jc w:val="left"/>
            </w:pPr>
            <w:r>
              <w:rPr>
                <w:rFonts w:ascii="Aptos" w:hAnsi="Aptos"/>
                <w:color w:val="1E2A32"/>
                <w:sz w:val="15"/>
              </w:rPr>
              <w:t>Stale base; moving head; unreviewed evidence change</w:t>
            </w:r>
          </w:p>
        </w:tc>
      </w:tr>
      <w:tr>
        <w:trPr>
          <w:cantSplit/>
        </w:trPr>
        <w:tc>
          <w:tcPr>
            <w:tcW w:type="dxa" w:w="835"/>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G-03</w:t>
            </w:r>
          </w:p>
        </w:tc>
        <w:tc>
          <w:tcPr>
            <w:tcW w:type="dxa" w:w="2448"/>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Catalogue and environment</w:t>
            </w:r>
          </w:p>
        </w:tc>
        <w:tc>
          <w:tcPr>
            <w:tcW w:type="dxa" w:w="381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Provider/local parity; no live IDs in sandbox; idempotent sync</w:t>
            </w:r>
          </w:p>
        </w:tc>
        <w:tc>
          <w:tcPr>
            <w:tcW w:type="dxa" w:w="2261"/>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Mixed environment; unexplained mismatch; inactive required object</w:t>
            </w:r>
          </w:p>
        </w:tc>
      </w:tr>
      <w:tr>
        <w:trPr>
          <w:cantSplit/>
        </w:trPr>
        <w:tc>
          <w:tcPr>
            <w:tcW w:type="dxa" w:w="835"/>
            <w:tcMar>
              <w:top w:w="90" w:type="dxa"/>
              <w:start w:w="105" w:type="dxa"/>
              <w:bottom w:w="90" w:type="dxa"/>
              <w:end w:w="105" w:type="dxa"/>
            </w:tcMar>
            <w:vAlign w:val="center"/>
          </w:tcPr>
          <w:p>
            <w:pPr>
              <w:spacing w:after="0" w:line="240" w:lineRule="auto"/>
              <w:jc w:val="left"/>
            </w:pPr>
            <w:r>
              <w:rPr>
                <w:rFonts w:ascii="Aptos" w:hAnsi="Aptos"/>
                <w:color w:val="1E2A32"/>
                <w:sz w:val="15"/>
              </w:rPr>
              <w:t>G-04</w:t>
            </w:r>
          </w:p>
        </w:tc>
        <w:tc>
          <w:tcPr>
            <w:tcW w:type="dxa" w:w="2448"/>
            <w:tcMar>
              <w:top w:w="90" w:type="dxa"/>
              <w:start w:w="105" w:type="dxa"/>
              <w:bottom w:w="90" w:type="dxa"/>
              <w:end w:w="105" w:type="dxa"/>
            </w:tcMar>
            <w:vAlign w:val="center"/>
          </w:tcPr>
          <w:p>
            <w:pPr>
              <w:spacing w:after="0" w:line="240" w:lineRule="auto"/>
              <w:jc w:val="left"/>
            </w:pPr>
            <w:r>
              <w:rPr>
                <w:rFonts w:ascii="Aptos" w:hAnsi="Aptos"/>
                <w:color w:val="1E2A32"/>
                <w:sz w:val="15"/>
              </w:rPr>
              <w:t>Backend checkout</w:t>
            </w:r>
          </w:p>
        </w:tc>
        <w:tc>
          <w:tcPr>
            <w:tcW w:type="dxa" w:w="3816"/>
            <w:tcMar>
              <w:top w:w="90" w:type="dxa"/>
              <w:start w:w="105" w:type="dxa"/>
              <w:bottom w:w="90" w:type="dxa"/>
              <w:end w:w="105" w:type="dxa"/>
            </w:tcMar>
            <w:vAlign w:val="center"/>
          </w:tcPr>
          <w:p>
            <w:pPr>
              <w:spacing w:after="0" w:line="240" w:lineRule="auto"/>
              <w:jc w:val="left"/>
            </w:pPr>
            <w:r>
              <w:rPr>
                <w:rFonts w:ascii="Aptos" w:hAnsi="Aptos"/>
                <w:color w:val="1E2A32"/>
                <w:sz w:val="15"/>
              </w:rPr>
              <w:t>Actual backend creates test Checkout with safe correlation</w:t>
            </w:r>
          </w:p>
        </w:tc>
        <w:tc>
          <w:tcPr>
            <w:tcW w:type="dxa" w:w="2261"/>
            <w:tcMar>
              <w:top w:w="90" w:type="dxa"/>
              <w:start w:w="105" w:type="dxa"/>
              <w:bottom w:w="90" w:type="dxa"/>
              <w:end w:w="105" w:type="dxa"/>
            </w:tcMar>
            <w:vAlign w:val="center"/>
          </w:tcPr>
          <w:p>
            <w:pPr>
              <w:spacing w:after="0" w:line="240" w:lineRule="auto"/>
              <w:jc w:val="left"/>
            </w:pPr>
            <w:r>
              <w:rPr>
                <w:rFonts w:ascii="Aptos" w:hAnsi="Aptos"/>
                <w:color w:val="1E2A32"/>
                <w:sz w:val="15"/>
              </w:rPr>
              <w:t>Mocked-only proof; wrong Price/env; false entitlement</w:t>
            </w:r>
          </w:p>
        </w:tc>
      </w:tr>
      <w:tr>
        <w:trPr>
          <w:cantSplit/>
        </w:trPr>
        <w:tc>
          <w:tcPr>
            <w:tcW w:type="dxa" w:w="835"/>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G-05</w:t>
            </w:r>
          </w:p>
        </w:tc>
        <w:tc>
          <w:tcPr>
            <w:tcW w:type="dxa" w:w="2448"/>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Authenticated webhook</w:t>
            </w:r>
          </w:p>
        </w:tc>
        <w:tc>
          <w:tcPr>
            <w:tcW w:type="dxa" w:w="381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Actual Stripe test event; valid accepted; invalid/missing rejected</w:t>
            </w:r>
          </w:p>
        </w:tc>
        <w:tc>
          <w:tcPr>
            <w:tcW w:type="dxa" w:w="2261"/>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Synthetic-only; unsigned acceptance; wrong secret/env</w:t>
            </w:r>
          </w:p>
        </w:tc>
      </w:tr>
      <w:tr>
        <w:trPr>
          <w:cantSplit/>
        </w:trPr>
        <w:tc>
          <w:tcPr>
            <w:tcW w:type="dxa" w:w="835"/>
            <w:tcMar>
              <w:top w:w="90" w:type="dxa"/>
              <w:start w:w="105" w:type="dxa"/>
              <w:bottom w:w="90" w:type="dxa"/>
              <w:end w:w="105" w:type="dxa"/>
            </w:tcMar>
            <w:vAlign w:val="center"/>
          </w:tcPr>
          <w:p>
            <w:pPr>
              <w:spacing w:after="0" w:line="240" w:lineRule="auto"/>
              <w:jc w:val="left"/>
            </w:pPr>
            <w:r>
              <w:rPr>
                <w:rFonts w:ascii="Aptos" w:hAnsi="Aptos"/>
                <w:color w:val="1E2A32"/>
                <w:sz w:val="15"/>
              </w:rPr>
              <w:t>G-06</w:t>
            </w:r>
          </w:p>
        </w:tc>
        <w:tc>
          <w:tcPr>
            <w:tcW w:type="dxa" w:w="2448"/>
            <w:tcMar>
              <w:top w:w="90" w:type="dxa"/>
              <w:start w:w="105" w:type="dxa"/>
              <w:bottom w:w="90" w:type="dxa"/>
              <w:end w:w="105" w:type="dxa"/>
            </w:tcMar>
            <w:vAlign w:val="center"/>
          </w:tcPr>
          <w:p>
            <w:pPr>
              <w:spacing w:after="0" w:line="240" w:lineRule="auto"/>
              <w:jc w:val="left"/>
            </w:pPr>
            <w:r>
              <w:rPr>
                <w:rFonts w:ascii="Aptos" w:hAnsi="Aptos"/>
                <w:color w:val="1E2A32"/>
                <w:sz w:val="15"/>
              </w:rPr>
              <w:t>Event custody/resilience</w:t>
            </w:r>
          </w:p>
        </w:tc>
        <w:tc>
          <w:tcPr>
            <w:tcW w:type="dxa" w:w="3816"/>
            <w:tcMar>
              <w:top w:w="90" w:type="dxa"/>
              <w:start w:w="105" w:type="dxa"/>
              <w:bottom w:w="90" w:type="dxa"/>
              <w:end w:w="105" w:type="dxa"/>
            </w:tcMar>
            <w:vAlign w:val="center"/>
          </w:tcPr>
          <w:p>
            <w:pPr>
              <w:spacing w:after="0" w:line="240" w:lineRule="auto"/>
              <w:jc w:val="left"/>
            </w:pPr>
            <w:r>
              <w:rPr>
                <w:rFonts w:ascii="Aptos" w:hAnsi="Aptos"/>
                <w:color w:val="1E2A32"/>
                <w:sz w:val="15"/>
              </w:rPr>
              <w:t>Duplicate, retry, stale lock, out-of-order: one final effect</w:t>
            </w:r>
          </w:p>
        </w:tc>
        <w:tc>
          <w:tcPr>
            <w:tcW w:type="dxa" w:w="2261"/>
            <w:tcMar>
              <w:top w:w="90" w:type="dxa"/>
              <w:start w:w="105" w:type="dxa"/>
              <w:bottom w:w="90" w:type="dxa"/>
              <w:end w:w="105" w:type="dxa"/>
            </w:tcMar>
            <w:vAlign w:val="center"/>
          </w:tcPr>
          <w:p>
            <w:pPr>
              <w:spacing w:after="0" w:line="240" w:lineRule="auto"/>
              <w:jc w:val="left"/>
            </w:pPr>
            <w:r>
              <w:rPr>
                <w:rFonts w:ascii="Aptos" w:hAnsi="Aptos"/>
                <w:color w:val="1E2A32"/>
                <w:sz w:val="15"/>
              </w:rPr>
              <w:t>Duplicate effect; lost event; stale regression</w:t>
            </w:r>
          </w:p>
        </w:tc>
      </w:tr>
      <w:tr>
        <w:trPr>
          <w:cantSplit/>
        </w:trPr>
        <w:tc>
          <w:tcPr>
            <w:tcW w:type="dxa" w:w="835"/>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G-07</w:t>
            </w:r>
          </w:p>
        </w:tc>
        <w:tc>
          <w:tcPr>
            <w:tcW w:type="dxa" w:w="2448"/>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Subscription lifecycle</w:t>
            </w:r>
          </w:p>
        </w:tc>
        <w:tc>
          <w:tcPr>
            <w:tcW w:type="dxa" w:w="381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Provider/local create, update, renewal, failure, recovery, cancellation</w:t>
            </w:r>
          </w:p>
        </w:tc>
        <w:tc>
          <w:tcPr>
            <w:tcW w:type="dxa" w:w="2261"/>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Inconsistent entitlement; unsupported claimed state</w:t>
            </w:r>
          </w:p>
        </w:tc>
      </w:tr>
      <w:tr>
        <w:trPr>
          <w:cantSplit/>
        </w:trPr>
        <w:tc>
          <w:tcPr>
            <w:tcW w:type="dxa" w:w="835"/>
            <w:tcMar>
              <w:top w:w="90" w:type="dxa"/>
              <w:start w:w="105" w:type="dxa"/>
              <w:bottom w:w="90" w:type="dxa"/>
              <w:end w:w="105" w:type="dxa"/>
            </w:tcMar>
            <w:vAlign w:val="center"/>
          </w:tcPr>
          <w:p>
            <w:pPr>
              <w:spacing w:after="0" w:line="240" w:lineRule="auto"/>
              <w:jc w:val="left"/>
            </w:pPr>
            <w:r>
              <w:rPr>
                <w:rFonts w:ascii="Aptos" w:hAnsi="Aptos"/>
                <w:color w:val="1E2A32"/>
                <w:sz w:val="15"/>
              </w:rPr>
              <w:t>G-08</w:t>
            </w:r>
          </w:p>
        </w:tc>
        <w:tc>
          <w:tcPr>
            <w:tcW w:type="dxa" w:w="2448"/>
            <w:tcMar>
              <w:top w:w="90" w:type="dxa"/>
              <w:start w:w="105" w:type="dxa"/>
              <w:bottom w:w="90" w:type="dxa"/>
              <w:end w:w="105" w:type="dxa"/>
            </w:tcMar>
            <w:vAlign w:val="center"/>
          </w:tcPr>
          <w:p>
            <w:pPr>
              <w:spacing w:after="0" w:line="240" w:lineRule="auto"/>
              <w:jc w:val="left"/>
            </w:pPr>
            <w:r>
              <w:rPr>
                <w:rFonts w:ascii="Aptos" w:hAnsi="Aptos"/>
                <w:color w:val="1E2A32"/>
                <w:sz w:val="15"/>
              </w:rPr>
              <w:t>Invoice/payment/correction</w:t>
            </w:r>
          </w:p>
        </w:tc>
        <w:tc>
          <w:tcPr>
            <w:tcW w:type="dxa" w:w="3816"/>
            <w:tcMar>
              <w:top w:w="90" w:type="dxa"/>
              <w:start w:w="105" w:type="dxa"/>
              <w:bottom w:w="90" w:type="dxa"/>
              <w:end w:w="105" w:type="dxa"/>
            </w:tcMar>
            <w:vAlign w:val="center"/>
          </w:tcPr>
          <w:p>
            <w:pPr>
              <w:spacing w:after="0" w:line="240" w:lineRule="auto"/>
              <w:jc w:val="left"/>
            </w:pPr>
            <w:r>
              <w:rPr>
                <w:rFonts w:ascii="Aptos" w:hAnsi="Aptos"/>
                <w:color w:val="1E2A32"/>
                <w:sz w:val="15"/>
              </w:rPr>
              <w:t>Invoice and PaymentIntent success/failure; refund/credit evidence</w:t>
            </w:r>
          </w:p>
        </w:tc>
        <w:tc>
          <w:tcPr>
            <w:tcW w:type="dxa" w:w="2261"/>
            <w:tcMar>
              <w:top w:w="90" w:type="dxa"/>
              <w:start w:w="105" w:type="dxa"/>
              <w:bottom w:w="90" w:type="dxa"/>
              <w:end w:w="105" w:type="dxa"/>
            </w:tcMar>
            <w:vAlign w:val="center"/>
          </w:tcPr>
          <w:p>
            <w:pPr>
              <w:spacing w:after="0" w:line="240" w:lineRule="auto"/>
              <w:jc w:val="left"/>
            </w:pPr>
            <w:r>
              <w:rPr>
                <w:rFonts w:ascii="Aptos" w:hAnsi="Aptos"/>
                <w:color w:val="1E2A32"/>
                <w:sz w:val="15"/>
              </w:rPr>
              <w:t>Internal paid claim without provider proof; destructive overwrite</w:t>
            </w:r>
          </w:p>
        </w:tc>
      </w:tr>
      <w:tr>
        <w:trPr>
          <w:cantSplit/>
        </w:trPr>
        <w:tc>
          <w:tcPr>
            <w:tcW w:type="dxa" w:w="835"/>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G-09</w:t>
            </w:r>
          </w:p>
        </w:tc>
        <w:tc>
          <w:tcPr>
            <w:tcW w:type="dxa" w:w="2448"/>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Tax calculation boundary</w:t>
            </w:r>
          </w:p>
        </w:tc>
        <w:tc>
          <w:tcPr>
            <w:tcW w:type="dxa" w:w="381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Valid test location and completed automatic-tax calculation</w:t>
            </w:r>
          </w:p>
        </w:tc>
        <w:tc>
          <w:tcPr>
            <w:tcW w:type="dxa" w:w="2261"/>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requires_location_inputs; unsupported compliance claim</w:t>
            </w:r>
          </w:p>
        </w:tc>
      </w:tr>
      <w:tr>
        <w:trPr>
          <w:cantSplit/>
        </w:trPr>
        <w:tc>
          <w:tcPr>
            <w:tcW w:type="dxa" w:w="835"/>
            <w:tcMar>
              <w:top w:w="90" w:type="dxa"/>
              <w:start w:w="105" w:type="dxa"/>
              <w:bottom w:w="90" w:type="dxa"/>
              <w:end w:w="105" w:type="dxa"/>
            </w:tcMar>
            <w:vAlign w:val="center"/>
          </w:tcPr>
          <w:p>
            <w:pPr>
              <w:spacing w:after="0" w:line="240" w:lineRule="auto"/>
              <w:jc w:val="left"/>
            </w:pPr>
            <w:r>
              <w:rPr>
                <w:rFonts w:ascii="Aptos" w:hAnsi="Aptos"/>
                <w:color w:val="1E2A32"/>
                <w:sz w:val="15"/>
              </w:rPr>
              <w:t>G-10</w:t>
            </w:r>
          </w:p>
        </w:tc>
        <w:tc>
          <w:tcPr>
            <w:tcW w:type="dxa" w:w="2448"/>
            <w:tcMar>
              <w:top w:w="90" w:type="dxa"/>
              <w:start w:w="105" w:type="dxa"/>
              <w:bottom w:w="90" w:type="dxa"/>
              <w:end w:w="105" w:type="dxa"/>
            </w:tcMar>
            <w:vAlign w:val="center"/>
          </w:tcPr>
          <w:p>
            <w:pPr>
              <w:spacing w:after="0" w:line="240" w:lineRule="auto"/>
              <w:jc w:val="left"/>
            </w:pPr>
            <w:r>
              <w:rPr>
                <w:rFonts w:ascii="Aptos" w:hAnsi="Aptos"/>
                <w:color w:val="1E2A32"/>
                <w:sz w:val="15"/>
              </w:rPr>
              <w:t>Reconciliation/control totals</w:t>
            </w:r>
          </w:p>
        </w:tc>
        <w:tc>
          <w:tcPr>
            <w:tcW w:type="dxa" w:w="3816"/>
            <w:tcMar>
              <w:top w:w="90" w:type="dxa"/>
              <w:start w:w="105" w:type="dxa"/>
              <w:bottom w:w="90" w:type="dxa"/>
              <w:end w:w="105" w:type="dxa"/>
            </w:tcMar>
            <w:vAlign w:val="center"/>
          </w:tcPr>
          <w:p>
            <w:pPr>
              <w:spacing w:after="0" w:line="240" w:lineRule="auto"/>
              <w:jc w:val="left"/>
            </w:pPr>
            <w:r>
              <w:rPr>
                <w:rFonts w:ascii="Aptos" w:hAnsi="Aptos"/>
                <w:color w:val="1E2A32"/>
                <w:sz w:val="15"/>
              </w:rPr>
              <w:t>Machine-readable provider/local crosswalk; zero unexplained variance</w:t>
            </w:r>
          </w:p>
        </w:tc>
        <w:tc>
          <w:tcPr>
            <w:tcW w:type="dxa" w:w="2261"/>
            <w:tcMar>
              <w:top w:w="90" w:type="dxa"/>
              <w:start w:w="105" w:type="dxa"/>
              <w:bottom w:w="90" w:type="dxa"/>
              <w:end w:w="105" w:type="dxa"/>
            </w:tcMar>
            <w:vAlign w:val="center"/>
          </w:tcPr>
          <w:p>
            <w:pPr>
              <w:spacing w:after="0" w:line="240" w:lineRule="auto"/>
              <w:jc w:val="left"/>
            </w:pPr>
            <w:r>
              <w:rPr>
                <w:rFonts w:ascii="Aptos" w:hAnsi="Aptos"/>
                <w:color w:val="1E2A32"/>
                <w:sz w:val="15"/>
              </w:rPr>
              <w:t>Orphan, duplicate, unprocessed event, amount variance</w:t>
            </w:r>
          </w:p>
        </w:tc>
      </w:tr>
      <w:tr>
        <w:trPr>
          <w:cantSplit/>
        </w:trPr>
        <w:tc>
          <w:tcPr>
            <w:tcW w:type="dxa" w:w="835"/>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G-11</w:t>
            </w:r>
          </w:p>
        </w:tc>
        <w:tc>
          <w:tcPr>
            <w:tcW w:type="dxa" w:w="2448"/>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Security/privacy/audit</w:t>
            </w:r>
          </w:p>
        </w:tc>
        <w:tc>
          <w:tcPr>
            <w:tcW w:type="dxa" w:w="381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Scans, sanitized logs, attributable reproducible manifest</w:t>
            </w:r>
          </w:p>
        </w:tc>
        <w:tc>
          <w:tcPr>
            <w:tcW w:type="dxa" w:w="2261"/>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Secret/prohibited data exposure; unverifiable evidence</w:t>
            </w:r>
          </w:p>
        </w:tc>
      </w:tr>
      <w:tr>
        <w:trPr>
          <w:cantSplit/>
        </w:trPr>
        <w:tc>
          <w:tcPr>
            <w:tcW w:type="dxa" w:w="835"/>
            <w:tcMar>
              <w:top w:w="90" w:type="dxa"/>
              <w:start w:w="105" w:type="dxa"/>
              <w:bottom w:w="90" w:type="dxa"/>
              <w:end w:w="105" w:type="dxa"/>
            </w:tcMar>
            <w:vAlign w:val="center"/>
          </w:tcPr>
          <w:p>
            <w:pPr>
              <w:spacing w:after="0" w:line="240" w:lineRule="auto"/>
              <w:jc w:val="left"/>
            </w:pPr>
            <w:r>
              <w:rPr>
                <w:rFonts w:ascii="Aptos" w:hAnsi="Aptos"/>
                <w:color w:val="1E2A32"/>
                <w:sz w:val="15"/>
              </w:rPr>
              <w:t>G-12</w:t>
            </w:r>
          </w:p>
        </w:tc>
        <w:tc>
          <w:tcPr>
            <w:tcW w:type="dxa" w:w="2448"/>
            <w:tcMar>
              <w:top w:w="90" w:type="dxa"/>
              <w:start w:w="105" w:type="dxa"/>
              <w:bottom w:w="90" w:type="dxa"/>
              <w:end w:w="105" w:type="dxa"/>
            </w:tcMar>
            <w:vAlign w:val="center"/>
          </w:tcPr>
          <w:p>
            <w:pPr>
              <w:spacing w:after="0" w:line="240" w:lineRule="auto"/>
              <w:jc w:val="left"/>
            </w:pPr>
            <w:r>
              <w:rPr>
                <w:rFonts w:ascii="Aptos" w:hAnsi="Aptos"/>
                <w:color w:val="1E2A32"/>
                <w:sz w:val="15"/>
              </w:rPr>
              <w:t>Review/disposition/custody</w:t>
            </w:r>
          </w:p>
        </w:tc>
        <w:tc>
          <w:tcPr>
            <w:tcW w:type="dxa" w:w="3816"/>
            <w:tcMar>
              <w:top w:w="90" w:type="dxa"/>
              <w:start w:w="105" w:type="dxa"/>
              <w:bottom w:w="90" w:type="dxa"/>
              <w:end w:w="105" w:type="dxa"/>
            </w:tcMar>
            <w:vAlign w:val="center"/>
          </w:tcPr>
          <w:p>
            <w:pPr>
              <w:spacing w:after="0" w:line="240" w:lineRule="auto"/>
              <w:jc w:val="left"/>
            </w:pPr>
            <w:r>
              <w:rPr>
                <w:rFonts w:ascii="Aptos" w:hAnsi="Aptos"/>
                <w:color w:val="1E2A32"/>
                <w:sz w:val="15"/>
              </w:rPr>
              <w:t>Reviews, residual risks, Founder closure, post-merge rerun</w:t>
            </w:r>
          </w:p>
        </w:tc>
        <w:tc>
          <w:tcPr>
            <w:tcW w:type="dxa" w:w="2261"/>
            <w:tcMar>
              <w:top w:w="90" w:type="dxa"/>
              <w:start w:w="105" w:type="dxa"/>
              <w:bottom w:w="90" w:type="dxa"/>
              <w:end w:w="105" w:type="dxa"/>
            </w:tcMar>
            <w:vAlign w:val="center"/>
          </w:tcPr>
          <w:p>
            <w:pPr>
              <w:spacing w:after="0" w:line="240" w:lineRule="auto"/>
              <w:jc w:val="left"/>
            </w:pPr>
            <w:r>
              <w:rPr>
                <w:rFonts w:ascii="Aptos" w:hAnsi="Aptos"/>
                <w:color w:val="1E2A32"/>
                <w:sz w:val="15"/>
              </w:rPr>
              <w:t>Unresolved mandatory blocker; no authority/custody</w:t>
            </w:r>
          </w:p>
        </w:tc>
      </w:tr>
    </w:tbl>
    <w:p>
      <w:pPr>
        <w:spacing w:after="20"/>
      </w:pPr>
    </w:p>
    <w:p>
      <w:pPr>
        <w:pStyle w:val="Heading1"/>
        <w:spacing w:before="280" w:after="100"/>
        <w:keepNext/>
        <w:pBdr>
          <w:bottom w:val="single" w:sz="6" w:space="4" w:color="B8CDD8"/>
        </w:pBdr>
      </w:pPr>
      <w:r>
        <w:rPr>
          <w:rFonts w:ascii="Aptos" w:hAnsi="Aptos"/>
          <w:b/>
          <w:color w:val="17324D"/>
          <w:sz w:val="30"/>
        </w:rPr>
        <w:t>8. Provider-Connected Sandbox/Test Assurance</w:t>
      </w:r>
    </w:p>
    <w:p>
      <w:pPr>
        <w:pStyle w:val="Heading2"/>
        <w:spacing w:before="200" w:after="100"/>
        <w:keepNext/>
      </w:pPr>
      <w:r>
        <w:rPr>
          <w:rFonts w:ascii="Aptos" w:hAnsi="Aptos"/>
          <w:b/>
          <w:color w:val="087F83"/>
          <w:sz w:val="25"/>
        </w:rPr>
        <w:t>8.1 Ordinary Technical Closure Path</w:t>
      </w:r>
    </w:p>
    <w:p>
      <w:pPr>
        <w:spacing w:before="0" w:after="100" w:line="259" w:lineRule="auto"/>
      </w:pPr>
      <w:r>
        <w:rPr>
          <w:rFonts w:ascii="Aptos" w:hAnsi="Aptos"/>
          <w:i w:val="0"/>
          <w:color w:val="1E2A32"/>
          <w:sz w:val="21"/>
        </w:rPr>
        <w:t>The ordinary technical closure path is a Stripe sandbox/test-mode exercise using actual provider objects, actual provider-generated events, the actual EquineSync backend routes and handlers, and the actual test database state. Mocked or fabricated event fixtures remain valuable implementation tests but do not by themselves satisfy provider-runtime evidence.</w:t>
      </w:r>
    </w:p>
    <w:tbl>
      <w:tblPr>
        <w:tblW w:type="auto" w:w="0"/>
        <w:jc w:val="center"/>
        <w:tblLayout w:type="fixed"/>
        <w:tblLook w:firstColumn="1" w:firstRow="1" w:lastColumn="0" w:lastRow="0" w:noHBand="0" w:noVBand="1" w:val="04A0"/>
      </w:tblPr>
      <w:tblGrid>
        <w:gridCol w:w="9994"/>
      </w:tblGrid>
      <w:tr>
        <w:tc>
          <w:tcPr>
            <w:tcW w:type="dxa" w:w="9432"/>
            <w:shd w:fill="E8F3E9"/>
            <w:tcMar>
              <w:top w:w="130" w:type="dxa"/>
              <w:start w:w="160" w:type="dxa"/>
              <w:bottom w:w="130" w:type="dxa"/>
              <w:end w:w="160" w:type="dxa"/>
            </w:tcMar>
            <w:tcBorders>
              <w:left w:val="single" w:sz="18" w:color="467A49"/>
            </w:tcBorders>
          </w:tcPr>
          <w:p>
            <w:pPr>
              <w:spacing w:after="60"/>
            </w:pPr>
            <w:r>
              <w:rPr>
                <w:rFonts w:ascii="Aptos" w:hAnsi="Aptos"/>
                <w:b/>
                <w:color w:val="467A49"/>
                <w:sz w:val="19"/>
              </w:rPr>
              <w:t>CORRECTED V1.1 RULE</w:t>
            </w:r>
          </w:p>
          <w:p>
            <w:pPr>
              <w:spacing w:after="0" w:line="252" w:lineRule="auto"/>
            </w:pPr>
            <w:r>
              <w:rPr>
                <w:rFonts w:ascii="Aptos" w:hAnsi="Aptos"/>
                <w:color w:val="1E2A32"/>
                <w:sz w:val="20"/>
              </w:rPr>
              <w:t>The controlling gap record calls for an authorized sandbox/live test plan, signed webhook tests, replay/idempotency evidence, provider reconciliation, and financial export verification. It does not make a live customer payment an automatic prerequisite to technical closure.</w:t>
            </w:r>
          </w:p>
        </w:tc>
      </w:tr>
    </w:tbl>
    <w:p>
      <w:pPr>
        <w:spacing w:after="20"/>
      </w:pPr>
    </w:p>
    <w:p>
      <w:pPr>
        <w:pStyle w:val="Heading2"/>
        <w:spacing w:before="200" w:after="100"/>
        <w:keepNext/>
      </w:pPr>
      <w:r>
        <w:rPr>
          <w:rFonts w:ascii="Aptos" w:hAnsi="Aptos"/>
          <w:b/>
          <w:color w:val="087F83"/>
          <w:sz w:val="25"/>
        </w:rPr>
        <w:t>8.2 Acceptable Provider Delivery</w:t>
      </w:r>
    </w:p>
    <w:p>
      <w:pPr>
        <w:pStyle w:val="ListBullet"/>
        <w:spacing w:after="50" w:line="252" w:lineRule="auto"/>
        <w:ind w:left="317" w:hanging="216"/>
      </w:pPr>
      <w:r>
        <w:rPr>
          <w:rFonts w:ascii="Aptos" w:hAnsi="Aptos"/>
          <w:color w:val="1E2A32"/>
          <w:sz w:val="20"/>
        </w:rPr>
        <w:t>The event is created or delivered by Stripe in test mode.</w:t>
      </w:r>
    </w:p>
    <w:p>
      <w:pPr>
        <w:pStyle w:val="ListBullet"/>
        <w:spacing w:after="50" w:line="252" w:lineRule="auto"/>
        <w:ind w:left="317" w:hanging="216"/>
      </w:pPr>
      <w:r>
        <w:rPr>
          <w:rFonts w:ascii="Aptos" w:hAnsi="Aptos"/>
          <w:color w:val="1E2A32"/>
          <w:sz w:val="20"/>
        </w:rPr>
        <w:t>The actual EquineSync handler receives the event.</w:t>
      </w:r>
    </w:p>
    <w:p>
      <w:pPr>
        <w:pStyle w:val="ListBullet"/>
        <w:spacing w:after="50" w:line="252" w:lineRule="auto"/>
        <w:ind w:left="317" w:hanging="216"/>
      </w:pPr>
      <w:r>
        <w:rPr>
          <w:rFonts w:ascii="Aptos" w:hAnsi="Aptos"/>
          <w:color w:val="1E2A32"/>
          <w:sz w:val="20"/>
        </w:rPr>
        <w:t>The event is verified with the corresponding test signing secret.</w:t>
      </w:r>
    </w:p>
    <w:p>
      <w:pPr>
        <w:pStyle w:val="ListBullet"/>
        <w:spacing w:after="50" w:line="252" w:lineRule="auto"/>
        <w:ind w:left="317" w:hanging="216"/>
      </w:pPr>
      <w:r>
        <w:rPr>
          <w:rFonts w:ascii="Aptos" w:hAnsi="Aptos"/>
          <w:color w:val="1E2A32"/>
          <w:sz w:val="20"/>
        </w:rPr>
        <w:t>Provider event and object identifiers are retained in sanitized form.</w:t>
      </w:r>
    </w:p>
    <w:p>
      <w:pPr>
        <w:pStyle w:val="ListBullet"/>
        <w:spacing w:after="50" w:line="252" w:lineRule="auto"/>
        <w:ind w:left="317" w:hanging="216"/>
      </w:pPr>
      <w:r>
        <w:rPr>
          <w:rFonts w:ascii="Aptos" w:hAnsi="Aptos"/>
          <w:color w:val="1E2A32"/>
          <w:sz w:val="20"/>
        </w:rPr>
        <w:t>Invalid, missing, stale beyond policy, or mismatched signatures are rejected.</w:t>
      </w:r>
    </w:p>
    <w:p>
      <w:pPr>
        <w:pStyle w:val="ListBullet"/>
        <w:spacing w:after="50" w:line="252" w:lineRule="auto"/>
        <w:ind w:left="317" w:hanging="216"/>
      </w:pPr>
      <w:r>
        <w:rPr>
          <w:rFonts w:ascii="Aptos" w:hAnsi="Aptos"/>
          <w:color w:val="1E2A32"/>
          <w:sz w:val="20"/>
        </w:rPr>
        <w:t>No production endpoint, live secret, or customer data is used absent separate authority.</w:t>
      </w:r>
    </w:p>
    <w:p>
      <w:pPr>
        <w:pStyle w:val="Heading2"/>
        <w:spacing w:before="200" w:after="100"/>
        <w:keepNext/>
      </w:pPr>
      <w:r>
        <w:rPr>
          <w:rFonts w:ascii="Aptos" w:hAnsi="Aptos"/>
          <w:b/>
          <w:color w:val="087F83"/>
          <w:sz w:val="25"/>
        </w:rPr>
        <w:t>8.3 Mandatory and Conditional Scenarios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7324D"/>
            <w:tcMar>
              <w:top w:w="100" w:type="dxa"/>
              <w:start w:w="105" w:type="dxa"/>
              <w:bottom w:w="100" w:type="dxa"/>
              <w:end w:w="105" w:type="dxa"/>
            </w:tcMar>
            <w:vAlign w:val="center"/>
          </w:tcPr>
          <w:p>
            <w:pPr>
              <w:spacing w:after="0"/>
              <w:jc w:val="center"/>
            </w:pPr>
            <w:r>
              <w:rPr>
                <w:rFonts w:ascii="Aptos" w:hAnsi="Aptos"/>
                <w:b/>
                <w:color w:val="FFFFFF"/>
                <w:sz w:val="18"/>
              </w:rPr>
              <w:t>ID</w:t>
            </w:r>
          </w:p>
        </w:tc>
        <w:tc>
          <w:tcPr>
            <w:tcW w:type="dxa" w:w="2232"/>
            <w:shd w:fill="17324D"/>
            <w:tcMar>
              <w:top w:w="100" w:type="dxa"/>
              <w:start w:w="105" w:type="dxa"/>
              <w:bottom w:w="100" w:type="dxa"/>
              <w:end w:w="105" w:type="dxa"/>
            </w:tcMar>
            <w:vAlign w:val="center"/>
          </w:tcPr>
          <w:p>
            <w:pPr>
              <w:spacing w:after="0"/>
              <w:jc w:val="center"/>
            </w:pPr>
            <w:r>
              <w:rPr>
                <w:rFonts w:ascii="Aptos" w:hAnsi="Aptos"/>
                <w:b/>
                <w:color w:val="FFFFFF"/>
                <w:sz w:val="18"/>
              </w:rPr>
              <w:t>Scenario</w:t>
            </w:r>
          </w:p>
        </w:tc>
        <w:tc>
          <w:tcPr>
            <w:tcW w:type="dxa" w:w="4824"/>
            <w:shd w:fill="17324D"/>
            <w:tcMar>
              <w:top w:w="100" w:type="dxa"/>
              <w:start w:w="105" w:type="dxa"/>
              <w:bottom w:w="100" w:type="dxa"/>
              <w:end w:w="105" w:type="dxa"/>
            </w:tcMar>
            <w:vAlign w:val="center"/>
          </w:tcPr>
          <w:p>
            <w:pPr>
              <w:spacing w:after="0"/>
              <w:jc w:val="center"/>
            </w:pPr>
            <w:r>
              <w:rPr>
                <w:rFonts w:ascii="Aptos" w:hAnsi="Aptos"/>
                <w:b/>
                <w:color w:val="FFFFFF"/>
                <w:sz w:val="18"/>
              </w:rPr>
              <w:t>Minimum Proof</w:t>
            </w:r>
          </w:p>
        </w:tc>
        <w:tc>
          <w:tcPr>
            <w:tcW w:type="dxa" w:w="1512"/>
            <w:shd w:fill="17324D"/>
            <w:tcMar>
              <w:top w:w="100" w:type="dxa"/>
              <w:start w:w="105" w:type="dxa"/>
              <w:bottom w:w="100" w:type="dxa"/>
              <w:end w:w="105" w:type="dxa"/>
            </w:tcMar>
            <w:vAlign w:val="center"/>
          </w:tcPr>
          <w:p>
            <w:pPr>
              <w:spacing w:after="0"/>
              <w:jc w:val="center"/>
            </w:pPr>
            <w:r>
              <w:rPr>
                <w:rFonts w:ascii="Aptos" w:hAnsi="Aptos"/>
                <w:b/>
                <w:color w:val="FFFFFF"/>
                <w:sz w:val="18"/>
              </w:rPr>
              <w:t>Applicability</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S-01</w:t>
            </w:r>
          </w:p>
        </w:tc>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Monthly Checkout/subscription</w:t>
            </w:r>
          </w:p>
        </w:tc>
        <w:tc>
          <w:tcPr>
            <w:tcW w:type="dxa" w:w="48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Checkout, customer, subscription, invoice/payment state, local correlation, entitlement</w:t>
            </w:r>
          </w:p>
        </w:tc>
        <w:tc>
          <w:tcPr>
            <w:tcW w:type="dxa" w:w="151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Mandatory</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5"/>
              </w:rPr>
              <w:t>S-02</w:t>
            </w:r>
          </w:p>
        </w:tc>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Annual interval</w:t>
            </w:r>
          </w:p>
        </w:tc>
        <w:tc>
          <w:tcPr>
            <w:tcW w:type="dxa" w:w="4824"/>
            <w:tcMar>
              <w:top w:w="90" w:type="dxa"/>
              <w:start w:w="105" w:type="dxa"/>
              <w:bottom w:w="90" w:type="dxa"/>
              <w:end w:w="105" w:type="dxa"/>
            </w:tcMar>
            <w:vAlign w:val="center"/>
          </w:tcPr>
          <w:p>
            <w:pPr>
              <w:spacing w:after="0" w:line="240" w:lineRule="auto"/>
              <w:jc w:val="left"/>
            </w:pPr>
            <w:r>
              <w:rPr>
                <w:rFonts w:ascii="Aptos" w:hAnsi="Aptos"/>
                <w:color w:val="1E2A32"/>
                <w:sz w:val="15"/>
              </w:rPr>
              <w:t>Annual Price, amount, currency, period, entitlement</w:t>
            </w:r>
          </w:p>
        </w:tc>
        <w:tc>
          <w:tcPr>
            <w:tcW w:type="dxa" w:w="1512"/>
            <w:tcMar>
              <w:top w:w="90" w:type="dxa"/>
              <w:start w:w="105" w:type="dxa"/>
              <w:bottom w:w="90" w:type="dxa"/>
              <w:end w:w="105" w:type="dxa"/>
            </w:tcMar>
            <w:vAlign w:val="center"/>
          </w:tcPr>
          <w:p>
            <w:pPr>
              <w:spacing w:after="0" w:line="240" w:lineRule="auto"/>
              <w:jc w:val="left"/>
            </w:pPr>
            <w:r>
              <w:rPr>
                <w:rFonts w:ascii="Aptos" w:hAnsi="Aptos"/>
                <w:color w:val="1E2A32"/>
                <w:sz w:val="15"/>
              </w:rPr>
              <w:t>If annual offered</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S-03</w:t>
            </w:r>
          </w:p>
        </w:tc>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Subscription update</w:t>
            </w:r>
          </w:p>
        </w:tc>
        <w:tc>
          <w:tcPr>
            <w:tcW w:type="dxa" w:w="48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Provider event, local state, effective time, entitlement transition</w:t>
            </w:r>
          </w:p>
        </w:tc>
        <w:tc>
          <w:tcPr>
            <w:tcW w:type="dxa" w:w="151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Mandatory</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5"/>
              </w:rPr>
              <w:t>S-04</w:t>
            </w:r>
          </w:p>
        </w:tc>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Renewal success</w:t>
            </w:r>
          </w:p>
        </w:tc>
        <w:tc>
          <w:tcPr>
            <w:tcW w:type="dxa" w:w="4824"/>
            <w:tcMar>
              <w:top w:w="90" w:type="dxa"/>
              <w:start w:w="105" w:type="dxa"/>
              <w:bottom w:w="90" w:type="dxa"/>
              <w:end w:w="105" w:type="dxa"/>
            </w:tcMar>
            <w:vAlign w:val="center"/>
          </w:tcPr>
          <w:p>
            <w:pPr>
              <w:spacing w:after="0" w:line="240" w:lineRule="auto"/>
              <w:jc w:val="left"/>
            </w:pPr>
            <w:r>
              <w:rPr>
                <w:rFonts w:ascii="Aptos" w:hAnsi="Aptos"/>
                <w:color w:val="1E2A32"/>
                <w:sz w:val="15"/>
              </w:rPr>
              <w:t>Invoice/payment, period advance, no duplicate benefit</w:t>
            </w:r>
          </w:p>
        </w:tc>
        <w:tc>
          <w:tcPr>
            <w:tcW w:type="dxa" w:w="1512"/>
            <w:tcMar>
              <w:top w:w="90" w:type="dxa"/>
              <w:start w:w="105" w:type="dxa"/>
              <w:bottom w:w="90" w:type="dxa"/>
              <w:end w:w="105" w:type="dxa"/>
            </w:tcMar>
            <w:vAlign w:val="center"/>
          </w:tcPr>
          <w:p>
            <w:pPr>
              <w:spacing w:after="0" w:line="240" w:lineRule="auto"/>
              <w:jc w:val="left"/>
            </w:pPr>
            <w:r>
              <w:rPr>
                <w:rFonts w:ascii="Aptos" w:hAnsi="Aptos"/>
                <w:color w:val="1E2A32"/>
                <w:sz w:val="15"/>
              </w:rPr>
              <w:t>Mandatory</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S-05</w:t>
            </w:r>
          </w:p>
        </w:tc>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Renewal failure/recovery</w:t>
            </w:r>
          </w:p>
        </w:tc>
        <w:tc>
          <w:tcPr>
            <w:tcW w:type="dxa" w:w="48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Failure, safe retry/recovery, one final effect, policy-bounded entitlement</w:t>
            </w:r>
          </w:p>
        </w:tc>
        <w:tc>
          <w:tcPr>
            <w:tcW w:type="dxa" w:w="151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Mandatory</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5"/>
              </w:rPr>
              <w:t>S-06</w:t>
            </w:r>
          </w:p>
        </w:tc>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Cancellation</w:t>
            </w:r>
          </w:p>
        </w:tc>
        <w:tc>
          <w:tcPr>
            <w:tcW w:type="dxa" w:w="4824"/>
            <w:tcMar>
              <w:top w:w="90" w:type="dxa"/>
              <w:start w:w="105" w:type="dxa"/>
              <w:bottom w:w="90" w:type="dxa"/>
              <w:end w:w="105" w:type="dxa"/>
            </w:tcMar>
            <w:vAlign w:val="center"/>
          </w:tcPr>
          <w:p>
            <w:pPr>
              <w:spacing w:after="0" w:line="240" w:lineRule="auto"/>
              <w:jc w:val="left"/>
            </w:pPr>
            <w:r>
              <w:rPr>
                <w:rFonts w:ascii="Aptos" w:hAnsi="Aptos"/>
                <w:color w:val="1E2A32"/>
                <w:sz w:val="15"/>
              </w:rPr>
              <w:t>Timing, final period, entitlement, preserved history</w:t>
            </w:r>
          </w:p>
        </w:tc>
        <w:tc>
          <w:tcPr>
            <w:tcW w:type="dxa" w:w="1512"/>
            <w:tcMar>
              <w:top w:w="90" w:type="dxa"/>
              <w:start w:w="105" w:type="dxa"/>
              <w:bottom w:w="90" w:type="dxa"/>
              <w:end w:w="105" w:type="dxa"/>
            </w:tcMar>
            <w:vAlign w:val="center"/>
          </w:tcPr>
          <w:p>
            <w:pPr>
              <w:spacing w:after="0" w:line="240" w:lineRule="auto"/>
              <w:jc w:val="left"/>
            </w:pPr>
            <w:r>
              <w:rPr>
                <w:rFonts w:ascii="Aptos" w:hAnsi="Aptos"/>
                <w:color w:val="1E2A32"/>
                <w:sz w:val="15"/>
              </w:rPr>
              <w:t>Mandatory</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S-07</w:t>
            </w:r>
          </w:p>
        </w:tc>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Invoice lifecycle</w:t>
            </w:r>
          </w:p>
        </w:tc>
        <w:tc>
          <w:tcPr>
            <w:tcW w:type="dxa" w:w="48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Created/finalized/paid/payment-failed mapping</w:t>
            </w:r>
          </w:p>
        </w:tc>
        <w:tc>
          <w:tcPr>
            <w:tcW w:type="dxa" w:w="151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Mandatory handled set</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5"/>
              </w:rPr>
              <w:t>S-08</w:t>
            </w:r>
          </w:p>
        </w:tc>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PaymentIntent lifecycle</w:t>
            </w:r>
          </w:p>
        </w:tc>
        <w:tc>
          <w:tcPr>
            <w:tcW w:type="dxa" w:w="4824"/>
            <w:tcMar>
              <w:top w:w="90" w:type="dxa"/>
              <w:start w:w="105" w:type="dxa"/>
              <w:bottom w:w="90" w:type="dxa"/>
              <w:end w:w="105" w:type="dxa"/>
            </w:tcMar>
            <w:vAlign w:val="center"/>
          </w:tcPr>
          <w:p>
            <w:pPr>
              <w:spacing w:after="0" w:line="240" w:lineRule="auto"/>
              <w:jc w:val="left"/>
            </w:pPr>
            <w:r>
              <w:rPr>
                <w:rFonts w:ascii="Aptos" w:hAnsi="Aptos"/>
                <w:color w:val="1E2A32"/>
                <w:sz w:val="15"/>
              </w:rPr>
              <w:t>Success/failure mapping</w:t>
            </w:r>
          </w:p>
        </w:tc>
        <w:tc>
          <w:tcPr>
            <w:tcW w:type="dxa" w:w="1512"/>
            <w:tcMar>
              <w:top w:w="90" w:type="dxa"/>
              <w:start w:w="105" w:type="dxa"/>
              <w:bottom w:w="90" w:type="dxa"/>
              <w:end w:w="105" w:type="dxa"/>
            </w:tcMar>
            <w:vAlign w:val="center"/>
          </w:tcPr>
          <w:p>
            <w:pPr>
              <w:spacing w:after="0" w:line="240" w:lineRule="auto"/>
              <w:jc w:val="left"/>
            </w:pPr>
            <w:r>
              <w:rPr>
                <w:rFonts w:ascii="Aptos" w:hAnsi="Aptos"/>
                <w:color w:val="1E2A32"/>
                <w:sz w:val="15"/>
              </w:rPr>
              <w:t>Mandatory handled set</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S-09</w:t>
            </w:r>
          </w:p>
        </w:tc>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Signature cases</w:t>
            </w:r>
          </w:p>
        </w:tc>
        <w:tc>
          <w:tcPr>
            <w:tcW w:type="dxa" w:w="48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Valid accepted; invalid/missing/env mismatch rejected</w:t>
            </w:r>
          </w:p>
        </w:tc>
        <w:tc>
          <w:tcPr>
            <w:tcW w:type="dxa" w:w="151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Mandatory</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5"/>
              </w:rPr>
              <w:t>S-10</w:t>
            </w:r>
          </w:p>
        </w:tc>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Duplicate replay</w:t>
            </w:r>
          </w:p>
        </w:tc>
        <w:tc>
          <w:tcPr>
            <w:tcW w:type="dxa" w:w="4824"/>
            <w:tcMar>
              <w:top w:w="90" w:type="dxa"/>
              <w:start w:w="105" w:type="dxa"/>
              <w:bottom w:w="90" w:type="dxa"/>
              <w:end w:w="105" w:type="dxa"/>
            </w:tcMar>
            <w:vAlign w:val="center"/>
          </w:tcPr>
          <w:p>
            <w:pPr>
              <w:spacing w:after="0" w:line="240" w:lineRule="auto"/>
              <w:jc w:val="left"/>
            </w:pPr>
            <w:r>
              <w:rPr>
                <w:rFonts w:ascii="Aptos" w:hAnsi="Aptos"/>
                <w:color w:val="1E2A32"/>
                <w:sz w:val="15"/>
              </w:rPr>
              <w:t>Same event redelivered; one business effect</w:t>
            </w:r>
          </w:p>
        </w:tc>
        <w:tc>
          <w:tcPr>
            <w:tcW w:type="dxa" w:w="1512"/>
            <w:tcMar>
              <w:top w:w="90" w:type="dxa"/>
              <w:start w:w="105" w:type="dxa"/>
              <w:bottom w:w="90" w:type="dxa"/>
              <w:end w:w="105" w:type="dxa"/>
            </w:tcMar>
            <w:vAlign w:val="center"/>
          </w:tcPr>
          <w:p>
            <w:pPr>
              <w:spacing w:after="0" w:line="240" w:lineRule="auto"/>
              <w:jc w:val="left"/>
            </w:pPr>
            <w:r>
              <w:rPr>
                <w:rFonts w:ascii="Aptos" w:hAnsi="Aptos"/>
                <w:color w:val="1E2A32"/>
                <w:sz w:val="15"/>
              </w:rPr>
              <w:t>Mandatory</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S-11</w:t>
            </w:r>
          </w:p>
        </w:tc>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Retryable failure</w:t>
            </w:r>
          </w:p>
        </w:tc>
        <w:tc>
          <w:tcPr>
            <w:tcW w:type="dxa" w:w="48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Non-success, safe retry, eventual complete, no duplication</w:t>
            </w:r>
          </w:p>
        </w:tc>
        <w:tc>
          <w:tcPr>
            <w:tcW w:type="dxa" w:w="151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Mandatory</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5"/>
              </w:rPr>
              <w:t>S-12</w:t>
            </w:r>
          </w:p>
        </w:tc>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Stale lock</w:t>
            </w:r>
          </w:p>
        </w:tc>
        <w:tc>
          <w:tcPr>
            <w:tcW w:type="dxa" w:w="4824"/>
            <w:tcMar>
              <w:top w:w="90" w:type="dxa"/>
              <w:start w:w="105" w:type="dxa"/>
              <w:bottom w:w="90" w:type="dxa"/>
              <w:end w:w="105" w:type="dxa"/>
            </w:tcMar>
            <w:vAlign w:val="center"/>
          </w:tcPr>
          <w:p>
            <w:pPr>
              <w:spacing w:after="0" w:line="240" w:lineRule="auto"/>
              <w:jc w:val="left"/>
            </w:pPr>
            <w:r>
              <w:rPr>
                <w:rFonts w:ascii="Aptos" w:hAnsi="Aptos"/>
                <w:color w:val="1E2A32"/>
                <w:sz w:val="15"/>
              </w:rPr>
              <w:t>Controlled reclamation; one final effect</w:t>
            </w:r>
          </w:p>
        </w:tc>
        <w:tc>
          <w:tcPr>
            <w:tcW w:type="dxa" w:w="1512"/>
            <w:tcMar>
              <w:top w:w="90" w:type="dxa"/>
              <w:start w:w="105" w:type="dxa"/>
              <w:bottom w:w="90" w:type="dxa"/>
              <w:end w:w="105" w:type="dxa"/>
            </w:tcMar>
            <w:vAlign w:val="center"/>
          </w:tcPr>
          <w:p>
            <w:pPr>
              <w:spacing w:after="0" w:line="240" w:lineRule="auto"/>
              <w:jc w:val="left"/>
            </w:pPr>
            <w:r>
              <w:rPr>
                <w:rFonts w:ascii="Aptos" w:hAnsi="Aptos"/>
                <w:color w:val="1E2A32"/>
                <w:sz w:val="15"/>
              </w:rPr>
              <w:t>If lock exists</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S-13</w:t>
            </w:r>
          </w:p>
        </w:tc>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Out-of-order</w:t>
            </w:r>
          </w:p>
        </w:tc>
        <w:tc>
          <w:tcPr>
            <w:tcW w:type="dxa" w:w="48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Deterministic final state; no regression</w:t>
            </w:r>
          </w:p>
        </w:tc>
        <w:tc>
          <w:tcPr>
            <w:tcW w:type="dxa" w:w="151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Mandatory</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5"/>
              </w:rPr>
              <w:t>S-14</w:t>
            </w:r>
          </w:p>
        </w:tc>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Refund or credit</w:t>
            </w:r>
          </w:p>
        </w:tc>
        <w:tc>
          <w:tcPr>
            <w:tcW w:type="dxa" w:w="4824"/>
            <w:tcMar>
              <w:top w:w="90" w:type="dxa"/>
              <w:start w:w="105" w:type="dxa"/>
              <w:bottom w:w="90" w:type="dxa"/>
              <w:end w:w="105" w:type="dxa"/>
            </w:tcMar>
            <w:vAlign w:val="center"/>
          </w:tcPr>
          <w:p>
            <w:pPr>
              <w:spacing w:after="0" w:line="240" w:lineRule="auto"/>
              <w:jc w:val="left"/>
            </w:pPr>
            <w:r>
              <w:rPr>
                <w:rFonts w:ascii="Aptos" w:hAnsi="Aptos"/>
                <w:color w:val="1E2A32"/>
                <w:sz w:val="15"/>
              </w:rPr>
              <w:t>Provider correction, local representation, reconciliation</w:t>
            </w:r>
          </w:p>
        </w:tc>
        <w:tc>
          <w:tcPr>
            <w:tcW w:type="dxa" w:w="1512"/>
            <w:tcMar>
              <w:top w:w="90" w:type="dxa"/>
              <w:start w:w="105" w:type="dxa"/>
              <w:bottom w:w="90" w:type="dxa"/>
              <w:end w:w="105" w:type="dxa"/>
            </w:tcMar>
            <w:vAlign w:val="center"/>
          </w:tcPr>
          <w:p>
            <w:pPr>
              <w:spacing w:after="0" w:line="240" w:lineRule="auto"/>
              <w:jc w:val="left"/>
            </w:pPr>
            <w:r>
              <w:rPr>
                <w:rFonts w:ascii="Aptos" w:hAnsi="Aptos"/>
                <w:color w:val="1E2A32"/>
                <w:sz w:val="15"/>
              </w:rPr>
              <w:t>Mandatory money-return capability</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S-15</w:t>
            </w:r>
          </w:p>
        </w:tc>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Tax calculation</w:t>
            </w:r>
          </w:p>
        </w:tc>
        <w:tc>
          <w:tcPr>
            <w:tcW w:type="dxa" w:w="48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Complete tax result with valid test location</w:t>
            </w:r>
          </w:p>
        </w:tc>
        <w:tc>
          <w:tcPr>
            <w:tcW w:type="dxa" w:w="151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Mandatory</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5"/>
              </w:rPr>
              <w:t>S-16</w:t>
            </w:r>
          </w:p>
        </w:tc>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Report/control total</w:t>
            </w:r>
          </w:p>
        </w:tc>
        <w:tc>
          <w:tcPr>
            <w:tcW w:type="dxa" w:w="4824"/>
            <w:tcMar>
              <w:top w:w="90" w:type="dxa"/>
              <w:start w:w="105" w:type="dxa"/>
              <w:bottom w:w="90" w:type="dxa"/>
              <w:end w:w="105" w:type="dxa"/>
            </w:tcMar>
            <w:vAlign w:val="center"/>
          </w:tcPr>
          <w:p>
            <w:pPr>
              <w:spacing w:after="0" w:line="240" w:lineRule="auto"/>
              <w:jc w:val="left"/>
            </w:pPr>
            <w:r>
              <w:rPr>
                <w:rFonts w:ascii="Aptos" w:hAnsi="Aptos"/>
                <w:color w:val="1E2A32"/>
                <w:sz w:val="15"/>
              </w:rPr>
              <w:t>Provider population equals local/report counts and amounts</w:t>
            </w:r>
          </w:p>
        </w:tc>
        <w:tc>
          <w:tcPr>
            <w:tcW w:type="dxa" w:w="1512"/>
            <w:tcMar>
              <w:top w:w="90" w:type="dxa"/>
              <w:start w:w="105" w:type="dxa"/>
              <w:bottom w:w="90" w:type="dxa"/>
              <w:end w:w="105" w:type="dxa"/>
            </w:tcMar>
            <w:vAlign w:val="center"/>
          </w:tcPr>
          <w:p>
            <w:pPr>
              <w:spacing w:after="0" w:line="240" w:lineRule="auto"/>
              <w:jc w:val="left"/>
            </w:pPr>
            <w:r>
              <w:rPr>
                <w:rFonts w:ascii="Aptos" w:hAnsi="Aptos"/>
                <w:color w:val="1E2A32"/>
                <w:sz w:val="15"/>
              </w:rPr>
              <w:t>Mandatory</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S-17</w:t>
            </w:r>
          </w:p>
        </w:tc>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Add-on/proration</w:t>
            </w:r>
          </w:p>
        </w:tc>
        <w:tc>
          <w:tcPr>
            <w:tcW w:type="dxa" w:w="48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Expected invoice and entitlement delta</w:t>
            </w:r>
          </w:p>
        </w:tc>
        <w:tc>
          <w:tcPr>
            <w:tcW w:type="dxa" w:w="151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If offered</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5"/>
              </w:rPr>
              <w:t>S-18</w:t>
            </w:r>
          </w:p>
        </w:tc>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Downgrade</w:t>
            </w:r>
          </w:p>
        </w:tc>
        <w:tc>
          <w:tcPr>
            <w:tcW w:type="dxa" w:w="4824"/>
            <w:tcMar>
              <w:top w:w="90" w:type="dxa"/>
              <w:start w:w="105" w:type="dxa"/>
              <w:bottom w:w="90" w:type="dxa"/>
              <w:end w:w="105" w:type="dxa"/>
            </w:tcMar>
            <w:vAlign w:val="center"/>
          </w:tcPr>
          <w:p>
            <w:pPr>
              <w:spacing w:after="0" w:line="240" w:lineRule="auto"/>
              <w:jc w:val="left"/>
            </w:pPr>
            <w:r>
              <w:rPr>
                <w:rFonts w:ascii="Aptos" w:hAnsi="Aptos"/>
                <w:color w:val="1E2A32"/>
                <w:sz w:val="15"/>
              </w:rPr>
              <w:t>Correct effective date; no premature access loss</w:t>
            </w:r>
          </w:p>
        </w:tc>
        <w:tc>
          <w:tcPr>
            <w:tcW w:type="dxa" w:w="1512"/>
            <w:tcMar>
              <w:top w:w="90" w:type="dxa"/>
              <w:start w:w="105" w:type="dxa"/>
              <w:bottom w:w="90" w:type="dxa"/>
              <w:end w:w="105" w:type="dxa"/>
            </w:tcMar>
            <w:vAlign w:val="center"/>
          </w:tcPr>
          <w:p>
            <w:pPr>
              <w:spacing w:after="0" w:line="240" w:lineRule="auto"/>
              <w:jc w:val="left"/>
            </w:pPr>
            <w:r>
              <w:rPr>
                <w:rFonts w:ascii="Aptos" w:hAnsi="Aptos"/>
                <w:color w:val="1E2A32"/>
                <w:sz w:val="15"/>
              </w:rPr>
              <w:t>If offered</w:t>
            </w:r>
          </w:p>
        </w:tc>
      </w:tr>
      <w:tr>
        <w:trPr>
          <w:cantSplit/>
        </w:trPr>
        <w:tc>
          <w:tcPr>
            <w:tcW w:type="dxa" w:w="79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S-19</w:t>
            </w:r>
          </w:p>
        </w:tc>
        <w:tc>
          <w:tcPr>
            <w:tcW w:type="dxa" w:w="223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Dispute/chargeback</w:t>
            </w:r>
          </w:p>
        </w:tc>
        <w:tc>
          <w:tcPr>
            <w:tcW w:type="dxa" w:w="482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Neutral state; preserved evidence; no fraud inference</w:t>
            </w:r>
          </w:p>
        </w:tc>
        <w:tc>
          <w:tcPr>
            <w:tcW w:type="dxa" w:w="1512"/>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If claimed/handled; else explicit unsupported</w:t>
            </w:r>
          </w:p>
        </w:tc>
      </w:tr>
      <w:tr>
        <w:trPr>
          <w:cantSplit/>
        </w:trPr>
        <w:tc>
          <w:tcPr>
            <w:tcW w:type="dxa" w:w="792"/>
            <w:tcMar>
              <w:top w:w="90" w:type="dxa"/>
              <w:start w:w="105" w:type="dxa"/>
              <w:bottom w:w="90" w:type="dxa"/>
              <w:end w:w="105" w:type="dxa"/>
            </w:tcMar>
            <w:vAlign w:val="center"/>
          </w:tcPr>
          <w:p>
            <w:pPr>
              <w:spacing w:after="0" w:line="240" w:lineRule="auto"/>
              <w:jc w:val="left"/>
            </w:pPr>
            <w:r>
              <w:rPr>
                <w:rFonts w:ascii="Aptos" w:hAnsi="Aptos"/>
                <w:color w:val="1E2A32"/>
                <w:sz w:val="15"/>
              </w:rPr>
              <w:t>S-20</w:t>
            </w:r>
          </w:p>
        </w:tc>
        <w:tc>
          <w:tcPr>
            <w:tcW w:type="dxa" w:w="2232"/>
            <w:tcMar>
              <w:top w:w="90" w:type="dxa"/>
              <w:start w:w="105" w:type="dxa"/>
              <w:bottom w:w="90" w:type="dxa"/>
              <w:end w:w="105" w:type="dxa"/>
            </w:tcMar>
            <w:vAlign w:val="center"/>
          </w:tcPr>
          <w:p>
            <w:pPr>
              <w:spacing w:after="0" w:line="240" w:lineRule="auto"/>
              <w:jc w:val="left"/>
            </w:pPr>
            <w:r>
              <w:rPr>
                <w:rFonts w:ascii="Aptos" w:hAnsi="Aptos"/>
                <w:color w:val="1E2A32"/>
                <w:sz w:val="15"/>
              </w:rPr>
              <w:t>Partial refund</w:t>
            </w:r>
          </w:p>
        </w:tc>
        <w:tc>
          <w:tcPr>
            <w:tcW w:type="dxa" w:w="4824"/>
            <w:tcMar>
              <w:top w:w="90" w:type="dxa"/>
              <w:start w:w="105" w:type="dxa"/>
              <w:bottom w:w="90" w:type="dxa"/>
              <w:end w:w="105" w:type="dxa"/>
            </w:tcMar>
            <w:vAlign w:val="center"/>
          </w:tcPr>
          <w:p>
            <w:pPr>
              <w:spacing w:after="0" w:line="240" w:lineRule="auto"/>
              <w:jc w:val="left"/>
            </w:pPr>
            <w:r>
              <w:rPr>
                <w:rFonts w:ascii="Aptos" w:hAnsi="Aptos"/>
                <w:color w:val="1E2A32"/>
                <w:sz w:val="15"/>
              </w:rPr>
              <w:t>Allocation and amount conservation</w:t>
            </w:r>
          </w:p>
        </w:tc>
        <w:tc>
          <w:tcPr>
            <w:tcW w:type="dxa" w:w="1512"/>
            <w:tcMar>
              <w:top w:w="90" w:type="dxa"/>
              <w:start w:w="105" w:type="dxa"/>
              <w:bottom w:w="90" w:type="dxa"/>
              <w:end w:w="105" w:type="dxa"/>
            </w:tcMar>
            <w:vAlign w:val="center"/>
          </w:tcPr>
          <w:p>
            <w:pPr>
              <w:spacing w:after="0" w:line="240" w:lineRule="auto"/>
              <w:jc w:val="left"/>
            </w:pPr>
            <w:r>
              <w:rPr>
                <w:rFonts w:ascii="Aptos" w:hAnsi="Aptos"/>
                <w:color w:val="1E2A32"/>
                <w:sz w:val="15"/>
              </w:rPr>
              <w:t>If supported; else explicit N/A boundary</w:t>
            </w:r>
          </w:p>
        </w:tc>
      </w:tr>
    </w:tbl>
    <w:p>
      <w:pPr>
        <w:spacing w:after="20"/>
      </w:pPr>
    </w:p>
    <w:p>
      <w:pPr>
        <w:pStyle w:val="Heading2"/>
        <w:spacing w:before="200" w:after="100"/>
        <w:keepNext/>
      </w:pPr>
      <w:r>
        <w:rPr>
          <w:rFonts w:ascii="Aptos" w:hAnsi="Aptos"/>
          <w:b/>
          <w:color w:val="087F83"/>
          <w:sz w:val="25"/>
        </w:rPr>
        <w:t>8.4 Current Handler Event Floor</w:t>
      </w:r>
    </w:p>
    <w:p>
      <w:pPr>
        <w:spacing w:before="0" w:after="100" w:line="259" w:lineRule="auto"/>
      </w:pPr>
      <w:r>
        <w:rPr>
          <w:rFonts w:ascii="Aptos" w:hAnsi="Aptos"/>
          <w:i w:val="0"/>
          <w:color w:val="1E2A32"/>
          <w:sz w:val="21"/>
        </w:rPr>
        <w:t>At minimum, assurance must cover the event families the repository currently claims to handle: Checkout completion; subscription creation, update, deletion, and trial-ending; invoice creation, finalization, paid, and payment-failed; and PaymentIntent success and failure. Any additional claimed event family must be added and tested.</w:t>
      </w:r>
    </w:p>
    <w:p>
      <w:pPr>
        <w:pStyle w:val="Heading2"/>
        <w:spacing w:before="200" w:after="100"/>
        <w:keepNext/>
      </w:pPr>
      <w:r>
        <w:rPr>
          <w:rFonts w:ascii="Aptos" w:hAnsi="Aptos"/>
          <w:b/>
          <w:color w:val="087F83"/>
          <w:sz w:val="25"/>
        </w:rPr>
        <w:t>8.5 Applicability Discipline</w:t>
      </w:r>
    </w:p>
    <w:p>
      <w:pPr>
        <w:spacing w:before="0" w:after="100" w:line="259" w:lineRule="auto"/>
      </w:pPr>
      <w:r>
        <w:rPr>
          <w:rFonts w:ascii="Aptos" w:hAnsi="Aptos"/>
          <w:i w:val="0"/>
          <w:color w:val="1E2A32"/>
          <w:sz w:val="21"/>
        </w:rPr>
        <w:t>A scenario may be marked not applicable only where the product does not offer the capability, the code does not claim to handle it, the non-support boundary is explicit, and omission does not contradict superior governance. NOT_APPLICABLE must not hide an implemented but untested path.</w:t>
      </w:r>
    </w:p>
    <w:p>
      <w:pPr>
        <w:pStyle w:val="Heading1"/>
        <w:spacing w:before="280" w:after="100"/>
        <w:keepNext/>
        <w:pBdr>
          <w:bottom w:val="single" w:sz="6" w:space="4" w:color="B8CDD8"/>
        </w:pBdr>
      </w:pPr>
      <w:r>
        <w:rPr>
          <w:rFonts w:ascii="Aptos" w:hAnsi="Aptos"/>
          <w:b/>
          <w:color w:val="17324D"/>
          <w:sz w:val="30"/>
        </w:rPr>
        <w:t>9. Live-Mode Evidence and Production Readiness Separation</w:t>
      </w:r>
    </w:p>
    <w:p>
      <w:pPr>
        <w:pStyle w:val="Heading2"/>
        <w:spacing w:before="200" w:after="100"/>
        <w:keepNext/>
      </w:pPr>
      <w:r>
        <w:rPr>
          <w:rFonts w:ascii="Aptos" w:hAnsi="Aptos"/>
          <w:b/>
          <w:color w:val="087F83"/>
          <w:sz w:val="25"/>
        </w:rPr>
        <w:t>9.1 Read-Only Live Evidence</w:t>
      </w:r>
    </w:p>
    <w:p>
      <w:pPr>
        <w:spacing w:before="0" w:after="100" w:line="259" w:lineRule="auto"/>
      </w:pPr>
      <w:r>
        <w:rPr>
          <w:rFonts w:ascii="Aptos" w:hAnsi="Aptos"/>
          <w:i w:val="0"/>
          <w:color w:val="1E2A32"/>
          <w:sz w:val="21"/>
        </w:rPr>
        <w:t>Read-only live-account evidence may support account identity, catalogue, tax-setting, webhook-posture, and environment-binding review. It must not be described as transaction proof, settlement proof, operational readiness, or production certification.</w:t>
      </w:r>
    </w:p>
    <w:p>
      <w:pPr>
        <w:pStyle w:val="Heading2"/>
        <w:spacing w:before="200" w:after="100"/>
        <w:keepNext/>
      </w:pPr>
      <w:r>
        <w:rPr>
          <w:rFonts w:ascii="Aptos" w:hAnsi="Aptos"/>
          <w:b/>
          <w:color w:val="087F83"/>
          <w:sz w:val="25"/>
        </w:rPr>
        <w:t>9.2 No Automatic Live-Transaction Requirement</w:t>
      </w:r>
    </w:p>
    <w:tbl>
      <w:tblPr>
        <w:tblW w:type="auto" w:w="0"/>
        <w:jc w:val="center"/>
        <w:tblLayout w:type="fixed"/>
        <w:tblLook w:firstColumn="1" w:firstRow="1" w:lastColumn="0" w:lastRow="0" w:noHBand="0" w:noVBand="1" w:val="04A0"/>
      </w:tblPr>
      <w:tblGrid>
        <w:gridCol w:w="9994"/>
      </w:tblGrid>
      <w:tr>
        <w:tc>
          <w:tcPr>
            <w:tcW w:type="dxa" w:w="9432"/>
            <w:shd w:fill="E8F3E9"/>
            <w:tcMar>
              <w:top w:w="130" w:type="dxa"/>
              <w:start w:w="160" w:type="dxa"/>
              <w:bottom w:w="130" w:type="dxa"/>
              <w:end w:w="160" w:type="dxa"/>
            </w:tcMar>
            <w:tcBorders>
              <w:left w:val="single" w:sz="18" w:color="467A49"/>
            </w:tcBorders>
          </w:tcPr>
          <w:p>
            <w:pPr>
              <w:spacing w:after="60"/>
            </w:pPr>
            <w:r>
              <w:rPr>
                <w:rFonts w:ascii="Aptos" w:hAnsi="Aptos"/>
                <w:b/>
                <w:color w:val="467A49"/>
                <w:sz w:val="19"/>
              </w:rPr>
              <w:t>AUTHORITY CORRECTION</w:t>
            </w:r>
          </w:p>
          <w:p>
            <w:pPr>
              <w:spacing w:after="0" w:line="252" w:lineRule="auto"/>
            </w:pPr>
            <w:r>
              <w:rPr>
                <w:rFonts w:ascii="Aptos" w:hAnsi="Aptos"/>
                <w:color w:val="1E2A32"/>
                <w:sz w:val="20"/>
              </w:rPr>
              <w:t>A live transaction is not imposed as a universal condition for closing CGP006-MAP-GAP-0005. The controlling gap permits sandbox/live testing and specifies provider-runtime evidence rather than mandatory live money movement.</w:t>
            </w:r>
          </w:p>
        </w:tc>
      </w:tr>
    </w:tbl>
    <w:p>
      <w:pPr>
        <w:spacing w:after="20"/>
      </w:pPr>
    </w:p>
    <w:p>
      <w:pPr>
        <w:pStyle w:val="Heading2"/>
        <w:spacing w:before="200" w:after="100"/>
        <w:keepNext/>
      </w:pPr>
      <w:r>
        <w:rPr>
          <w:rFonts w:ascii="Aptos" w:hAnsi="Aptos"/>
          <w:b/>
          <w:color w:val="087F83"/>
          <w:sz w:val="25"/>
        </w:rPr>
        <w:t>9.3 When Live Proof Is Required</w:t>
      </w:r>
    </w:p>
    <w:p>
      <w:pPr>
        <w:pStyle w:val="ListBullet"/>
        <w:spacing w:after="50" w:line="252" w:lineRule="auto"/>
        <w:ind w:left="317" w:hanging="216"/>
      </w:pPr>
      <w:r>
        <w:rPr>
          <w:rFonts w:ascii="Aptos" w:hAnsi="Aptos"/>
          <w:color w:val="1E2A32"/>
          <w:sz w:val="20"/>
        </w:rPr>
        <w:t>A Founder directive expressly requires it for this gap closure.</w:t>
      </w:r>
    </w:p>
    <w:p>
      <w:pPr>
        <w:pStyle w:val="ListBullet"/>
        <w:spacing w:after="50" w:line="252" w:lineRule="auto"/>
        <w:ind w:left="317" w:hanging="216"/>
      </w:pPr>
      <w:r>
        <w:rPr>
          <w:rFonts w:ascii="Aptos" w:hAnsi="Aptos"/>
          <w:color w:val="1E2A32"/>
          <w:sz w:val="20"/>
        </w:rPr>
        <w:t>A mandatory control cannot validly be established in test mode.</w:t>
      </w:r>
    </w:p>
    <w:p>
      <w:pPr>
        <w:pStyle w:val="ListBullet"/>
        <w:spacing w:after="50" w:line="252" w:lineRule="auto"/>
        <w:ind w:left="317" w:hanging="216"/>
      </w:pPr>
      <w:r>
        <w:rPr>
          <w:rFonts w:ascii="Aptos" w:hAnsi="Aptos"/>
          <w:color w:val="1E2A32"/>
          <w:sz w:val="20"/>
        </w:rPr>
        <w:t>A separate production-readiness or release workstream requires it.</w:t>
      </w:r>
    </w:p>
    <w:p>
      <w:pPr>
        <w:pStyle w:val="ListBullet"/>
        <w:spacing w:after="50" w:line="252" w:lineRule="auto"/>
        <w:ind w:left="317" w:hanging="216"/>
      </w:pPr>
      <w:r>
        <w:rPr>
          <w:rFonts w:ascii="Aptos" w:hAnsi="Aptos"/>
          <w:color w:val="1E2A32"/>
          <w:sz w:val="20"/>
        </w:rPr>
        <w:t>A provider limitation makes live-only behavior material to the claim.</w:t>
      </w:r>
    </w:p>
    <w:p>
      <w:pPr>
        <w:spacing w:before="0" w:after="100" w:line="259" w:lineRule="auto"/>
      </w:pPr>
      <w:r>
        <w:rPr>
          <w:rFonts w:ascii="Aptos" w:hAnsi="Aptos"/>
          <w:i w:val="0"/>
          <w:color w:val="1E2A32"/>
          <w:sz w:val="21"/>
        </w:rPr>
        <w:t>Any live proof requires a separate Founder directive defining the maximum amount, approved customer, Product/Price, operators, time window, data handling, monitoring, cancellation/refund plan, stop conditions, cleanup, and treatment of fees. Closing this evidence gap does not itself establish production financial readiness.</w:t>
      </w:r>
    </w:p>
    <w:p>
      <w:pPr>
        <w:pStyle w:val="Heading1"/>
        <w:spacing w:before="280" w:after="100"/>
        <w:keepNext/>
        <w:pBdr>
          <w:bottom w:val="single" w:sz="6" w:space="4" w:color="B8CDD8"/>
        </w:pBdr>
      </w:pPr>
      <w:r>
        <w:rPr>
          <w:rFonts w:ascii="Aptos" w:hAnsi="Aptos"/>
          <w:b/>
          <w:color w:val="17324D"/>
          <w:sz w:val="30"/>
        </w:rPr>
        <w:t>10. Webhook, Event, and Evidence Custody</w:t>
      </w:r>
    </w:p>
    <w:p>
      <w:pPr>
        <w:pStyle w:val="ListBullet"/>
        <w:spacing w:after="50" w:line="252" w:lineRule="auto"/>
        <w:ind w:left="317" w:hanging="216"/>
      </w:pPr>
      <w:r>
        <w:rPr>
          <w:rFonts w:ascii="Aptos" w:hAnsi="Aptos"/>
          <w:color w:val="1E2A32"/>
          <w:sz w:val="20"/>
        </w:rPr>
        <w:t>Provider account and environment identity; endpoint or forwarding mechanism identity.</w:t>
      </w:r>
    </w:p>
    <w:p>
      <w:pPr>
        <w:pStyle w:val="ListBullet"/>
        <w:spacing w:after="50" w:line="252" w:lineRule="auto"/>
        <w:ind w:left="317" w:hanging="216"/>
      </w:pPr>
      <w:r>
        <w:rPr>
          <w:rFonts w:ascii="Aptos" w:hAnsi="Aptos"/>
          <w:color w:val="1E2A32"/>
          <w:sz w:val="20"/>
        </w:rPr>
        <w:t>Provider API version and event schema version where available.</w:t>
      </w:r>
    </w:p>
    <w:p>
      <w:pPr>
        <w:pStyle w:val="ListBullet"/>
        <w:spacing w:after="50" w:line="252" w:lineRule="auto"/>
        <w:ind w:left="317" w:hanging="216"/>
      </w:pPr>
      <w:r>
        <w:rPr>
          <w:rFonts w:ascii="Aptos" w:hAnsi="Aptos"/>
          <w:color w:val="1E2A32"/>
          <w:sz w:val="20"/>
        </w:rPr>
        <w:t>Event ID/type, provider creation time, receipt time, processing attempts, final state, and correlation ID.</w:t>
      </w:r>
    </w:p>
    <w:p>
      <w:pPr>
        <w:pStyle w:val="ListBullet"/>
        <w:spacing w:after="50" w:line="252" w:lineRule="auto"/>
        <w:ind w:left="317" w:hanging="216"/>
      </w:pPr>
      <w:r>
        <w:rPr>
          <w:rFonts w:ascii="Aptos" w:hAnsi="Aptos"/>
          <w:color w:val="1E2A32"/>
          <w:sz w:val="20"/>
        </w:rPr>
        <w:t>Sanitized customer, Checkout, subscription, invoice, PaymentIntent, refund, Product, and Price identifiers.</w:t>
      </w:r>
    </w:p>
    <w:p>
      <w:pPr>
        <w:pStyle w:val="ListBullet"/>
        <w:spacing w:after="50" w:line="252" w:lineRule="auto"/>
        <w:ind w:left="317" w:hanging="216"/>
      </w:pPr>
      <w:r>
        <w:rPr>
          <w:rFonts w:ascii="Aptos" w:hAnsi="Aptos"/>
          <w:color w:val="1E2A32"/>
          <w:sz w:val="20"/>
        </w:rPr>
        <w:t>Exact code commit and configuration posture used for the run.</w:t>
      </w:r>
    </w:p>
    <w:p>
      <w:pPr>
        <w:pStyle w:val="ListBullet"/>
        <w:spacing w:after="50" w:line="252" w:lineRule="auto"/>
        <w:ind w:left="317" w:hanging="216"/>
      </w:pPr>
      <w:r>
        <w:rPr>
          <w:rFonts w:ascii="Aptos" w:hAnsi="Aptos"/>
          <w:color w:val="1E2A32"/>
          <w:sz w:val="20"/>
        </w:rPr>
        <w:t>Expected and actual canonical transition; duplicate/retry/out-of-order result.</w:t>
      </w:r>
    </w:p>
    <w:p>
      <w:pPr>
        <w:pStyle w:val="ListBullet"/>
        <w:spacing w:after="50" w:line="252" w:lineRule="auto"/>
        <w:ind w:left="317" w:hanging="216"/>
      </w:pPr>
      <w:r>
        <w:rPr>
          <w:rFonts w:ascii="Aptos" w:hAnsi="Aptos"/>
          <w:color w:val="1E2A32"/>
          <w:sz w:val="20"/>
        </w:rPr>
        <w:t>Final local record identities, reconciliation, exception treatment, cleanup, and retained-evidence disposition.</w:t>
      </w:r>
    </w:p>
    <w:tbl>
      <w:tblPr>
        <w:tblW w:type="auto" w:w="0"/>
        <w:jc w:val="center"/>
        <w:tblLayout w:type="fixed"/>
        <w:tblLook w:firstColumn="1" w:firstRow="1" w:lastColumn="0" w:lastRow="0" w:noHBand="0" w:noVBand="1" w:val="04A0"/>
      </w:tblPr>
      <w:tblGrid>
        <w:gridCol w:w="9994"/>
      </w:tblGrid>
      <w:tr>
        <w:trPr>
          <w:cantSplit/>
        </w:trPr>
        <w:tc>
          <w:tcPr>
            <w:tcW w:type="dxa" w:w="9432"/>
            <w:shd w:fill="FBE8E8"/>
            <w:tcMar>
              <w:top w:w="130" w:type="dxa"/>
              <w:start w:w="160" w:type="dxa"/>
              <w:bottom w:w="130" w:type="dxa"/>
              <w:end w:w="160" w:type="dxa"/>
            </w:tcMar>
            <w:tcBorders>
              <w:left w:val="single" w:sz="18" w:color="A83A3A"/>
            </w:tcBorders>
          </w:tcPr>
          <w:p>
            <w:pPr>
              <w:spacing w:after="60"/>
            </w:pPr>
            <w:r>
              <w:rPr>
                <w:rFonts w:ascii="Aptos" w:hAnsi="Aptos"/>
                <w:b/>
                <w:color w:val="A83A3A"/>
                <w:sz w:val="19"/>
              </w:rPr>
              <w:t>PAYLOAD AND SECRET BOUNDARY</w:t>
            </w:r>
          </w:p>
          <w:p>
            <w:pPr>
              <w:spacing w:after="0" w:line="252" w:lineRule="auto"/>
            </w:pPr>
            <w:r>
              <w:rPr>
                <w:rFonts w:ascii="Aptos" w:hAnsi="Aptos"/>
                <w:color w:val="1E2A32"/>
                <w:sz w:val="20"/>
              </w:rPr>
              <w:t>Do not commit Stripe keys, signing secrets, full payment credentials, unrestricted provider payloads, .env files, database URLs, JWT secrets, or unnecessary personal data. Preserve authenticated identifiers, hashes, minimum-necessary normalized evidence, and reproducible provider receipts.</w:t>
            </w:r>
          </w:p>
        </w:tc>
      </w:tr>
    </w:tbl>
    <w:p>
      <w:pPr>
        <w:spacing w:after="20"/>
      </w:pPr>
    </w:p>
    <w:p>
      <w:pPr>
        <w:pStyle w:val="Heading1"/>
        <w:spacing w:before="280" w:after="100"/>
        <w:keepNext/>
        <w:pBdr>
          <w:bottom w:val="single" w:sz="6" w:space="4" w:color="B8CDD8"/>
        </w:pBdr>
      </w:pPr>
      <w:r>
        <w:rPr>
          <w:rFonts w:ascii="Aptos" w:hAnsi="Aptos"/>
          <w:b/>
          <w:color w:val="17324D"/>
          <w:sz w:val="30"/>
        </w:rPr>
        <w:t>11. Reconciliation and Financial Control Totals</w:t>
      </w:r>
    </w:p>
    <w:p>
      <w:pPr>
        <w:pStyle w:val="Heading2"/>
        <w:spacing w:before="200" w:after="100"/>
        <w:keepNext/>
      </w:pPr>
      <w:r>
        <w:rPr>
          <w:rFonts w:ascii="Aptos" w:hAnsi="Aptos"/>
          <w:b/>
          <w:color w:val="087F83"/>
          <w:sz w:val="25"/>
        </w:rPr>
        <w:t>11.1 Required Layers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24D"/>
            <w:tcMar>
              <w:top w:w="100" w:type="dxa"/>
              <w:start w:w="105" w:type="dxa"/>
              <w:bottom w:w="100" w:type="dxa"/>
              <w:end w:w="105" w:type="dxa"/>
            </w:tcMar>
            <w:vAlign w:val="center"/>
          </w:tcPr>
          <w:p>
            <w:pPr>
              <w:spacing w:after="0"/>
              <w:jc w:val="center"/>
            </w:pPr>
            <w:r>
              <w:rPr>
                <w:rFonts w:ascii="Aptos" w:hAnsi="Aptos"/>
                <w:b/>
                <w:color w:val="FFFFFF"/>
                <w:sz w:val="18"/>
              </w:rPr>
              <w:t>Layer</w:t>
            </w:r>
          </w:p>
        </w:tc>
        <w:tc>
          <w:tcPr>
            <w:tcW w:type="dxa" w:w="6984"/>
            <w:shd w:fill="17324D"/>
            <w:tcMar>
              <w:top w:w="100" w:type="dxa"/>
              <w:start w:w="105" w:type="dxa"/>
              <w:bottom w:w="100" w:type="dxa"/>
              <w:end w:w="105" w:type="dxa"/>
            </w:tcMar>
            <w:vAlign w:val="center"/>
          </w:tcPr>
          <w:p>
            <w:pPr>
              <w:spacing w:after="0"/>
              <w:jc w:val="center"/>
            </w:pPr>
            <w:r>
              <w:rPr>
                <w:rFonts w:ascii="Aptos" w:hAnsi="Aptos"/>
                <w:b/>
                <w:color w:val="FFFFFF"/>
                <w:sz w:val="18"/>
              </w:rPr>
              <w:t>Required Comparison</w:t>
            </w:r>
          </w:p>
        </w:tc>
      </w:tr>
      <w:tr>
        <w:trPr>
          <w:cantSplit/>
        </w:trPr>
        <w:tc>
          <w:tcPr>
            <w:tcW w:type="dxa" w:w="2376"/>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Catalogue</w:t>
            </w:r>
          </w:p>
        </w:tc>
        <w:tc>
          <w:tcPr>
            <w:tcW w:type="dxa" w:w="6984"/>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Approved definitions; local plans/add-ons; provider Products/Prices</w:t>
            </w:r>
          </w:p>
        </w:tc>
      </w:tr>
      <w:tr>
        <w:trPr>
          <w:cantSplit/>
        </w:trPr>
        <w:tc>
          <w:tcPr>
            <w:tcW w:type="dxa" w:w="2376"/>
            <w:tcMar>
              <w:top w:w="90" w:type="dxa"/>
              <w:start w:w="105" w:type="dxa"/>
              <w:bottom w:w="90" w:type="dxa"/>
              <w:end w:w="105" w:type="dxa"/>
            </w:tcMar>
            <w:vAlign w:val="center"/>
          </w:tcPr>
          <w:p>
            <w:pPr>
              <w:spacing w:after="0" w:line="240" w:lineRule="auto"/>
              <w:jc w:val="left"/>
            </w:pPr>
            <w:r>
              <w:rPr>
                <w:rFonts w:ascii="Aptos" w:hAnsi="Aptos"/>
                <w:color w:val="1E2A32"/>
                <w:sz w:val="18"/>
              </w:rPr>
              <w:t>Initiation</w:t>
            </w:r>
          </w:p>
        </w:tc>
        <w:tc>
          <w:tcPr>
            <w:tcW w:type="dxa" w:w="6984"/>
            <w:tcMar>
              <w:top w:w="90" w:type="dxa"/>
              <w:start w:w="105" w:type="dxa"/>
              <w:bottom w:w="90" w:type="dxa"/>
              <w:end w:w="105" w:type="dxa"/>
            </w:tcMar>
            <w:vAlign w:val="center"/>
          </w:tcPr>
          <w:p>
            <w:pPr>
              <w:spacing w:after="0" w:line="240" w:lineRule="auto"/>
              <w:jc w:val="left"/>
            </w:pPr>
            <w:r>
              <w:rPr>
                <w:rFonts w:ascii="Aptos" w:hAnsi="Aptos"/>
                <w:color w:val="1E2A32"/>
                <w:sz w:val="18"/>
              </w:rPr>
              <w:t>Checkout Session and customer</w:t>
            </w:r>
          </w:p>
        </w:tc>
      </w:tr>
      <w:tr>
        <w:trPr>
          <w:cantSplit/>
        </w:trPr>
        <w:tc>
          <w:tcPr>
            <w:tcW w:type="dxa" w:w="2376"/>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Recurring state</w:t>
            </w:r>
          </w:p>
        </w:tc>
        <w:tc>
          <w:tcPr>
            <w:tcW w:type="dxa" w:w="6984"/>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Subscription and subscription items</w:t>
            </w:r>
          </w:p>
        </w:tc>
      </w:tr>
      <w:tr>
        <w:trPr>
          <w:cantSplit/>
        </w:trPr>
        <w:tc>
          <w:tcPr>
            <w:tcW w:type="dxa" w:w="2376"/>
            <w:tcMar>
              <w:top w:w="90" w:type="dxa"/>
              <w:start w:w="105" w:type="dxa"/>
              <w:bottom w:w="90" w:type="dxa"/>
              <w:end w:w="105" w:type="dxa"/>
            </w:tcMar>
            <w:vAlign w:val="center"/>
          </w:tcPr>
          <w:p>
            <w:pPr>
              <w:spacing w:after="0" w:line="240" w:lineRule="auto"/>
              <w:jc w:val="left"/>
            </w:pPr>
            <w:r>
              <w:rPr>
                <w:rFonts w:ascii="Aptos" w:hAnsi="Aptos"/>
                <w:color w:val="1E2A32"/>
                <w:sz w:val="18"/>
              </w:rPr>
              <w:t>Financial state</w:t>
            </w:r>
          </w:p>
        </w:tc>
        <w:tc>
          <w:tcPr>
            <w:tcW w:type="dxa" w:w="6984"/>
            <w:tcMar>
              <w:top w:w="90" w:type="dxa"/>
              <w:start w:w="105" w:type="dxa"/>
              <w:bottom w:w="90" w:type="dxa"/>
              <w:end w:w="105" w:type="dxa"/>
            </w:tcMar>
            <w:vAlign w:val="center"/>
          </w:tcPr>
          <w:p>
            <w:pPr>
              <w:spacing w:after="0" w:line="240" w:lineRule="auto"/>
              <w:jc w:val="left"/>
            </w:pPr>
            <w:r>
              <w:rPr>
                <w:rFonts w:ascii="Aptos" w:hAnsi="Aptos"/>
                <w:color w:val="1E2A32"/>
                <w:sz w:val="18"/>
              </w:rPr>
              <w:t>Invoice; PaymentIntent/charge; refund/credit</w:t>
            </w:r>
          </w:p>
        </w:tc>
      </w:tr>
      <w:tr>
        <w:trPr>
          <w:cantSplit/>
        </w:trPr>
        <w:tc>
          <w:tcPr>
            <w:tcW w:type="dxa" w:w="2376"/>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Event state</w:t>
            </w:r>
          </w:p>
        </w:tc>
        <w:tc>
          <w:tcPr>
            <w:tcW w:type="dxa" w:w="6984"/>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Provider events and local processing records</w:t>
            </w:r>
          </w:p>
        </w:tc>
      </w:tr>
      <w:tr>
        <w:trPr>
          <w:cantSplit/>
        </w:trPr>
        <w:tc>
          <w:tcPr>
            <w:tcW w:type="dxa" w:w="2376"/>
            <w:tcMar>
              <w:top w:w="90" w:type="dxa"/>
              <w:start w:w="105" w:type="dxa"/>
              <w:bottom w:w="90" w:type="dxa"/>
              <w:end w:w="105" w:type="dxa"/>
            </w:tcMar>
            <w:vAlign w:val="center"/>
          </w:tcPr>
          <w:p>
            <w:pPr>
              <w:spacing w:after="0" w:line="240" w:lineRule="auto"/>
              <w:jc w:val="left"/>
            </w:pPr>
            <w:r>
              <w:rPr>
                <w:rFonts w:ascii="Aptos" w:hAnsi="Aptos"/>
                <w:color w:val="1E2A32"/>
                <w:sz w:val="18"/>
              </w:rPr>
              <w:t>Local truth</w:t>
            </w:r>
          </w:p>
        </w:tc>
        <w:tc>
          <w:tcPr>
            <w:tcW w:type="dxa" w:w="6984"/>
            <w:tcMar>
              <w:top w:w="90" w:type="dxa"/>
              <w:start w:w="105" w:type="dxa"/>
              <w:bottom w:w="90" w:type="dxa"/>
              <w:end w:w="105" w:type="dxa"/>
            </w:tcMar>
            <w:vAlign w:val="center"/>
          </w:tcPr>
          <w:p>
            <w:pPr>
              <w:spacing w:after="0" w:line="240" w:lineRule="auto"/>
              <w:jc w:val="left"/>
            </w:pPr>
            <w:r>
              <w:rPr>
                <w:rFonts w:ascii="Aptos" w:hAnsi="Aptos"/>
                <w:color w:val="1E2A32"/>
                <w:sz w:val="18"/>
              </w:rPr>
              <w:t>Subscription, invoice, payment, billing-event, entitlement records</w:t>
            </w:r>
          </w:p>
        </w:tc>
      </w:tr>
      <w:tr>
        <w:trPr>
          <w:cantSplit/>
        </w:trPr>
        <w:tc>
          <w:tcPr>
            <w:tcW w:type="dxa" w:w="2376"/>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Reporting</w:t>
            </w:r>
          </w:p>
        </w:tc>
        <w:tc>
          <w:tcPr>
            <w:tcW w:type="dxa" w:w="6984"/>
            <w:tcMar>
              <w:top w:w="90" w:type="dxa"/>
              <w:start w:w="105" w:type="dxa"/>
              <w:bottom w:w="90" w:type="dxa"/>
              <w:end w:w="105" w:type="dxa"/>
            </w:tcMar>
            <w:vAlign w:val="center"/>
            <w:shd w:fill="FAFBFC"/>
          </w:tcPr>
          <w:p>
            <w:pPr>
              <w:spacing w:after="0" w:line="240" w:lineRule="auto"/>
              <w:jc w:val="left"/>
            </w:pPr>
            <w:r>
              <w:rPr>
                <w:rFonts w:ascii="Aptos" w:hAnsi="Aptos"/>
                <w:color w:val="1E2A32"/>
                <w:sz w:val="18"/>
              </w:rPr>
              <w:t>Assurance report/export counts and amounts</w:t>
            </w:r>
          </w:p>
        </w:tc>
      </w:tr>
    </w:tbl>
    <w:p>
      <w:pPr>
        <w:spacing w:after="20"/>
      </w:pPr>
    </w:p>
    <w:p>
      <w:pPr>
        <w:pStyle w:val="Heading2"/>
        <w:spacing w:before="200" w:after="100"/>
        <w:keepNext/>
      </w:pPr>
      <w:r>
        <w:rPr>
          <w:rFonts w:ascii="Aptos" w:hAnsi="Aptos"/>
          <w:b/>
          <w:color w:val="087F83"/>
          <w:sz w:val="25"/>
        </w:rPr>
        <w:t>11.2 Conservation and Variance</w:t>
      </w:r>
    </w:p>
    <w:p>
      <w:pPr>
        <w:pStyle w:val="ListBullet"/>
        <w:spacing w:after="50" w:line="252" w:lineRule="auto"/>
        <w:ind w:left="317" w:hanging="216"/>
      </w:pPr>
      <w:r>
        <w:rPr>
          <w:rFonts w:ascii="Aptos" w:hAnsi="Aptos"/>
          <w:color w:val="1E2A32"/>
          <w:sz w:val="20"/>
        </w:rPr>
        <w:t>Object counts reconcile by type and environment.</w:t>
      </w:r>
    </w:p>
    <w:p>
      <w:pPr>
        <w:pStyle w:val="ListBullet"/>
        <w:spacing w:after="50" w:line="252" w:lineRule="auto"/>
        <w:ind w:left="317" w:hanging="216"/>
      </w:pPr>
      <w:r>
        <w:rPr>
          <w:rFonts w:ascii="Aptos" w:hAnsi="Aptos"/>
          <w:color w:val="1E2A32"/>
          <w:sz w:val="20"/>
        </w:rPr>
        <w:t>Expected provider objects are neither missing nor duplicated.</w:t>
      </w:r>
    </w:p>
    <w:p>
      <w:pPr>
        <w:pStyle w:val="ListBullet"/>
        <w:spacing w:after="50" w:line="252" w:lineRule="auto"/>
        <w:ind w:left="317" w:hanging="216"/>
      </w:pPr>
      <w:r>
        <w:rPr>
          <w:rFonts w:ascii="Aptos" w:hAnsi="Aptos"/>
          <w:color w:val="1E2A32"/>
          <w:sz w:val="20"/>
        </w:rPr>
        <w:t>Amounts and currency match the approved plan and transaction.</w:t>
      </w:r>
    </w:p>
    <w:p>
      <w:pPr>
        <w:pStyle w:val="ListBullet"/>
        <w:spacing w:after="50" w:line="252" w:lineRule="auto"/>
        <w:ind w:left="317" w:hanging="216"/>
      </w:pPr>
      <w:r>
        <w:rPr>
          <w:rFonts w:ascii="Aptos" w:hAnsi="Aptos"/>
          <w:color w:val="1E2A32"/>
          <w:sz w:val="20"/>
        </w:rPr>
        <w:t>One provider event produces no more than one intended financial effect.</w:t>
      </w:r>
    </w:p>
    <w:p>
      <w:pPr>
        <w:pStyle w:val="ListBullet"/>
        <w:spacing w:after="50" w:line="252" w:lineRule="auto"/>
        <w:ind w:left="317" w:hanging="216"/>
      </w:pPr>
      <w:r>
        <w:rPr>
          <w:rFonts w:ascii="Aptos" w:hAnsi="Aptos"/>
          <w:color w:val="1E2A32"/>
          <w:sz w:val="20"/>
        </w:rPr>
        <w:t>Local payment/refund totals do not exceed provider evidence.</w:t>
      </w:r>
    </w:p>
    <w:p>
      <w:pPr>
        <w:pStyle w:val="ListBullet"/>
        <w:spacing w:after="50" w:line="252" w:lineRule="auto"/>
        <w:ind w:left="317" w:hanging="216"/>
      </w:pPr>
      <w:r>
        <w:rPr>
          <w:rFonts w:ascii="Aptos" w:hAnsi="Aptos"/>
          <w:color w:val="1E2A32"/>
          <w:sz w:val="20"/>
        </w:rPr>
        <w:t>Entitlements follow approved lifecycle policy, not an isolated payment flag.</w:t>
      </w:r>
    </w:p>
    <w:p>
      <w:pPr>
        <w:pStyle w:val="ListBullet"/>
        <w:spacing w:after="50" w:line="252" w:lineRule="auto"/>
        <w:ind w:left="317" w:hanging="216"/>
      </w:pPr>
      <w:r>
        <w:rPr>
          <w:rFonts w:ascii="Aptos" w:hAnsi="Aptos"/>
          <w:color w:val="1E2A32"/>
          <w:sz w:val="20"/>
        </w:rPr>
        <w:t>Every variance is identified, quantified, owned, and resolved or expressly accepted by the closure authority.</w:t>
      </w:r>
    </w:p>
    <w:p>
      <w:pPr>
        <w:spacing w:before="0" w:after="100" w:line="259" w:lineRule="auto"/>
      </w:pPr>
      <w:r>
        <w:rPr>
          <w:rFonts w:ascii="Aptos" w:hAnsi="Aptos"/>
          <w:i w:val="0"/>
          <w:color w:val="1E2A32"/>
          <w:sz w:val="21"/>
        </w:rPr>
        <w:t>Closure requires zero unexplained mandatory variance. A disclosed and Founder-accepted nonblocking residual risk may remain only if it does not contradict the claimed closure.</w:t>
      </w:r>
    </w:p>
    <w:p>
      <w:pPr>
        <w:pStyle w:val="Heading2"/>
        <w:spacing w:before="200" w:after="100"/>
        <w:keepNext/>
      </w:pPr>
      <w:r>
        <w:rPr>
          <w:rFonts w:ascii="Aptos" w:hAnsi="Aptos"/>
          <w:b/>
          <w:color w:val="087F83"/>
          <w:sz w:val="25"/>
        </w:rPr>
        <w:t>11.3 Meaning of Financial Export Verification</w:t>
      </w:r>
    </w:p>
    <w:p>
      <w:pPr>
        <w:spacing w:before="0" w:after="100" w:line="259" w:lineRule="auto"/>
      </w:pPr>
      <w:r>
        <w:rPr>
          <w:rFonts w:ascii="Aptos" w:hAnsi="Aptos"/>
          <w:i w:val="0"/>
          <w:color w:val="1E2A32"/>
          <w:sz w:val="21"/>
        </w:rPr>
        <w:t>For this gap, financial export verification means a reproducible machine-readable assurance report or export whose counts and amounts reconcile to provider and local source records. It does not require QuickBooks activation and does not prove authoritative accounting books.</w:t>
      </w:r>
    </w:p>
    <w:p>
      <w:pPr>
        <w:pStyle w:val="Heading1"/>
        <w:spacing w:before="280" w:after="100"/>
        <w:keepNext/>
        <w:pBdr>
          <w:bottom w:val="single" w:sz="6" w:space="4" w:color="B8CDD8"/>
        </w:pBdr>
      </w:pPr>
      <w:r>
        <w:rPr>
          <w:rFonts w:ascii="Aptos" w:hAnsi="Aptos"/>
          <w:b/>
          <w:color w:val="17324D"/>
          <w:sz w:val="30"/>
        </w:rPr>
        <w:t>12. Tax Evidence Boundary</w:t>
      </w:r>
    </w:p>
    <w:p>
      <w:pPr>
        <w:spacing w:before="0" w:after="100" w:line="259" w:lineRule="auto"/>
      </w:pPr>
      <w:r>
        <w:rPr>
          <w:rFonts w:ascii="Aptos" w:hAnsi="Aptos"/>
          <w:i w:val="0"/>
          <w:color w:val="1E2A32"/>
          <w:sz w:val="21"/>
        </w:rPr>
        <w:t>The test must correct the current requires_location_inputs condition using authorized synthetic test location data and produce a completed automatic-tax calculation for an applicable test transaction.</w:t>
      </w:r>
    </w:p>
    <w:tbl>
      <w:tblPr>
        <w:tblW w:type="auto" w:w="0"/>
        <w:jc w:val="center"/>
        <w:tblLayout w:type="fixed"/>
        <w:tblLook w:firstColumn="1" w:firstRow="1" w:lastColumn="0" w:lastRow="0" w:noHBand="0" w:noVBand="1" w:val="04A0"/>
      </w:tblPr>
      <w:tblGrid>
        <w:gridCol w:w="9994"/>
      </w:tblGrid>
      <w:tr>
        <w:tc>
          <w:tcPr>
            <w:tcW w:type="dxa" w:w="9432"/>
            <w:shd w:fill="F6E7C8"/>
            <w:tcMar>
              <w:top w:w="130" w:type="dxa"/>
              <w:start w:w="160" w:type="dxa"/>
              <w:bottom w:w="130" w:type="dxa"/>
              <w:end w:w="160" w:type="dxa"/>
            </w:tcMar>
            <w:tcBorders>
              <w:left w:val="single" w:sz="18" w:color="A16B13"/>
            </w:tcBorders>
          </w:tcPr>
          <w:p>
            <w:pPr>
              <w:spacing w:after="60"/>
            </w:pPr>
            <w:r>
              <w:rPr>
                <w:rFonts w:ascii="Aptos" w:hAnsi="Aptos"/>
                <w:b/>
                <w:color w:val="A16B13"/>
                <w:sz w:val="19"/>
              </w:rPr>
              <w:t>LIMITED MEANING</w:t>
            </w:r>
          </w:p>
          <w:p>
            <w:pPr>
              <w:spacing w:after="0" w:line="252" w:lineRule="auto"/>
            </w:pPr>
            <w:r>
              <w:rPr>
                <w:rFonts w:ascii="Aptos" w:hAnsi="Aptos"/>
                <w:color w:val="1E2A32"/>
                <w:sz w:val="20"/>
              </w:rPr>
              <w:t>This proves only that the configured provider calculation and EquineSync mapping behaved as tested. It does not prove legal tax advice, correct registration in every jurisdiction, filing/remittance readiness, marketplace-facilitator treatment, exemption validity, or production tax compliance.</w:t>
            </w:r>
          </w:p>
        </w:tc>
      </w:tr>
    </w:tbl>
    <w:p>
      <w:pPr>
        <w:spacing w:after="20"/>
      </w:pPr>
    </w:p>
    <w:p>
      <w:pPr>
        <w:pStyle w:val="Heading1"/>
        <w:spacing w:before="280" w:after="100"/>
        <w:keepNext/>
        <w:pBdr>
          <w:bottom w:val="single" w:sz="6" w:space="4" w:color="B8CDD8"/>
        </w:pBdr>
      </w:pPr>
      <w:r>
        <w:rPr>
          <w:rFonts w:ascii="Aptos" w:hAnsi="Aptos"/>
          <w:b/>
          <w:color w:val="17324D"/>
          <w:sz w:val="30"/>
        </w:rPr>
        <w:t>13. Security, Privacy, Access, and Secret Controls</w:t>
      </w:r>
    </w:p>
    <w:p>
      <w:pPr>
        <w:pStyle w:val="ListBullet"/>
        <w:spacing w:after="50" w:line="252" w:lineRule="auto"/>
        <w:ind w:left="317" w:hanging="216"/>
      </w:pPr>
      <w:r>
        <w:rPr>
          <w:rFonts w:ascii="Aptos" w:hAnsi="Aptos"/>
          <w:color w:val="1E2A32"/>
          <w:sz w:val="20"/>
        </w:rPr>
        <w:t>Least-privilege operator and credential scope.</w:t>
      </w:r>
    </w:p>
    <w:p>
      <w:pPr>
        <w:pStyle w:val="ListBullet"/>
        <w:spacing w:after="50" w:line="252" w:lineRule="auto"/>
        <w:ind w:left="317" w:hanging="216"/>
      </w:pPr>
      <w:r>
        <w:rPr>
          <w:rFonts w:ascii="Aptos" w:hAnsi="Aptos"/>
          <w:color w:val="1E2A32"/>
          <w:sz w:val="20"/>
        </w:rPr>
        <w:t>Environment-specific credential and webhook-secret handling.</w:t>
      </w:r>
    </w:p>
    <w:p>
      <w:pPr>
        <w:pStyle w:val="ListBullet"/>
        <w:spacing w:after="50" w:line="252" w:lineRule="auto"/>
        <w:ind w:left="317" w:hanging="216"/>
      </w:pPr>
      <w:r>
        <w:rPr>
          <w:rFonts w:ascii="Aptos" w:hAnsi="Aptos"/>
          <w:color w:val="1E2A32"/>
          <w:sz w:val="20"/>
        </w:rPr>
        <w:t>No secrets in source, screenshots, logs, reports, tickets, or committed artifacts.</w:t>
      </w:r>
    </w:p>
    <w:p>
      <w:pPr>
        <w:pStyle w:val="ListBullet"/>
        <w:spacing w:after="50" w:line="252" w:lineRule="auto"/>
        <w:ind w:left="317" w:hanging="216"/>
      </w:pPr>
      <w:r>
        <w:rPr>
          <w:rFonts w:ascii="Aptos" w:hAnsi="Aptos"/>
          <w:color w:val="1E2A32"/>
          <w:sz w:val="20"/>
        </w:rPr>
        <w:t>Minimum-necessary synthetic test data; no production payment/customer data copied for convenience.</w:t>
      </w:r>
    </w:p>
    <w:p>
      <w:pPr>
        <w:pStyle w:val="ListBullet"/>
        <w:spacing w:after="50" w:line="252" w:lineRule="auto"/>
        <w:ind w:left="317" w:hanging="216"/>
      </w:pPr>
      <w:r>
        <w:rPr>
          <w:rFonts w:ascii="Aptos" w:hAnsi="Aptos"/>
          <w:color w:val="1E2A32"/>
          <w:sz w:val="20"/>
        </w:rPr>
        <w:t>No raw card or bank credential storage.</w:t>
      </w:r>
    </w:p>
    <w:p>
      <w:pPr>
        <w:pStyle w:val="ListBullet"/>
        <w:spacing w:after="50" w:line="252" w:lineRule="auto"/>
        <w:ind w:left="317" w:hanging="216"/>
      </w:pPr>
      <w:r>
        <w:rPr>
          <w:rFonts w:ascii="Aptos" w:hAnsi="Aptos"/>
          <w:color w:val="1E2A32"/>
          <w:sz w:val="20"/>
        </w:rPr>
        <w:t>Redacted but reproducible evidence and governed retention/access.</w:t>
      </w:r>
    </w:p>
    <w:p>
      <w:pPr>
        <w:pStyle w:val="ListBullet"/>
        <w:spacing w:after="50" w:line="252" w:lineRule="auto"/>
        <w:ind w:left="317" w:hanging="216"/>
      </w:pPr>
      <w:r>
        <w:rPr>
          <w:rFonts w:ascii="Aptos" w:hAnsi="Aptos"/>
          <w:color w:val="1E2A32"/>
          <w:sz w:val="20"/>
        </w:rPr>
        <w:t>Secret scan and staged-artifact scan results.</w:t>
      </w:r>
    </w:p>
    <w:p>
      <w:pPr>
        <w:pStyle w:val="ListBullet"/>
        <w:spacing w:after="50" w:line="252" w:lineRule="auto"/>
        <w:ind w:left="317" w:hanging="216"/>
      </w:pPr>
      <w:r>
        <w:rPr>
          <w:rFonts w:ascii="Aptos" w:hAnsi="Aptos"/>
          <w:color w:val="1E2A32"/>
          <w:sz w:val="20"/>
        </w:rPr>
        <w:t>Rotation/revocation plan for any temporary credential or signing secret.</w:t>
      </w:r>
    </w:p>
    <w:p>
      <w:pPr>
        <w:pStyle w:val="ListBullet"/>
        <w:spacing w:after="50" w:line="252" w:lineRule="auto"/>
        <w:ind w:left="317" w:hanging="216"/>
      </w:pPr>
      <w:r>
        <w:rPr>
          <w:rFonts w:ascii="Aptos" w:hAnsi="Aptos"/>
          <w:color w:val="1E2A32"/>
          <w:sz w:val="20"/>
        </w:rPr>
        <w:t>Incident escalation for any secret or prohibited-data exposure.</w:t>
      </w:r>
    </w:p>
    <w:p>
      <w:pPr>
        <w:pStyle w:val="Heading1"/>
        <w:spacing w:before="280" w:after="100"/>
        <w:keepNext/>
        <w:pBdr>
          <w:bottom w:val="single" w:sz="6" w:space="4" w:color="B8CDD8"/>
        </w:pBdr>
      </w:pPr>
      <w:r>
        <w:rPr>
          <w:rFonts w:ascii="Aptos" w:hAnsi="Aptos"/>
          <w:b/>
          <w:color w:val="17324D"/>
          <w:sz w:val="30"/>
        </w:rPr>
        <w:t>14. Evidence Package, Review, and Repository Custody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744"/>
            <w:shd w:fill="17324D"/>
            <w:tcMar>
              <w:top w:w="100" w:type="dxa"/>
              <w:start w:w="105" w:type="dxa"/>
              <w:bottom w:w="100" w:type="dxa"/>
              <w:end w:w="105" w:type="dxa"/>
            </w:tcMar>
            <w:vAlign w:val="center"/>
          </w:tcPr>
          <w:p>
            <w:pPr>
              <w:spacing w:after="0"/>
              <w:jc w:val="center"/>
            </w:pPr>
            <w:r>
              <w:rPr>
                <w:rFonts w:ascii="Aptos" w:hAnsi="Aptos"/>
                <w:b/>
                <w:color w:val="FFFFFF"/>
                <w:sz w:val="18"/>
              </w:rPr>
              <w:t>Artifact</w:t>
            </w:r>
          </w:p>
        </w:tc>
        <w:tc>
          <w:tcPr>
            <w:tcW w:type="dxa" w:w="5616"/>
            <w:shd w:fill="17324D"/>
            <w:tcMar>
              <w:top w:w="100" w:type="dxa"/>
              <w:start w:w="105" w:type="dxa"/>
              <w:bottom w:w="100" w:type="dxa"/>
              <w:end w:w="105" w:type="dxa"/>
            </w:tcMar>
            <w:vAlign w:val="center"/>
          </w:tcPr>
          <w:p>
            <w:pPr>
              <w:spacing w:after="0"/>
              <w:jc w:val="center"/>
            </w:pPr>
            <w:r>
              <w:rPr>
                <w:rFonts w:ascii="Aptos" w:hAnsi="Aptos"/>
                <w:b/>
                <w:color w:val="FFFFFF"/>
                <w:sz w:val="18"/>
              </w:rPr>
              <w:t>Required Content</w:t>
            </w:r>
          </w:p>
        </w:tc>
      </w:tr>
      <w:tr>
        <w:trPr>
          <w:cantSplit/>
        </w:trPr>
        <w:tc>
          <w:tcPr>
            <w:tcW w:type="dxa" w:w="374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README.md</w:t>
            </w:r>
          </w:p>
        </w:tc>
        <w:tc>
          <w:tcPr>
            <w:tcW w:type="dxa" w:w="5616"/>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Purpose, status, scope, truthful determination, navigation</w:t>
            </w:r>
          </w:p>
        </w:tc>
      </w:tr>
      <w:tr>
        <w:trPr>
          <w:cantSplit/>
        </w:trPr>
        <w:tc>
          <w:tcPr>
            <w:tcW w:type="dxa" w:w="3744"/>
            <w:tcMar>
              <w:top w:w="90" w:type="dxa"/>
              <w:start w:w="105" w:type="dxa"/>
              <w:bottom w:w="90" w:type="dxa"/>
              <w:end w:w="105" w:type="dxa"/>
            </w:tcMar>
            <w:vAlign w:val="center"/>
          </w:tcPr>
          <w:p>
            <w:pPr>
              <w:spacing w:after="0" w:line="240" w:lineRule="auto"/>
              <w:jc w:val="left"/>
            </w:pPr>
            <w:r>
              <w:rPr>
                <w:rFonts w:ascii="Aptos" w:hAnsi="Aptos"/>
                <w:color w:val="1E2A32"/>
                <w:sz w:val="16"/>
              </w:rPr>
              <w:t>Primary V1.1.0 plan</w:t>
            </w:r>
          </w:p>
        </w:tc>
        <w:tc>
          <w:tcPr>
            <w:tcW w:type="dxa" w:w="5616"/>
            <w:tcMar>
              <w:top w:w="90" w:type="dxa"/>
              <w:start w:w="105" w:type="dxa"/>
              <w:bottom w:w="90" w:type="dxa"/>
              <w:end w:w="105" w:type="dxa"/>
            </w:tcMar>
            <w:vAlign w:val="center"/>
          </w:tcPr>
          <w:p>
            <w:pPr>
              <w:spacing w:after="0" w:line="240" w:lineRule="auto"/>
              <w:jc w:val="left"/>
            </w:pPr>
            <w:r>
              <w:rPr>
                <w:rFonts w:ascii="Aptos" w:hAnsi="Aptos"/>
                <w:color w:val="1E2A32"/>
                <w:sz w:val="16"/>
              </w:rPr>
              <w:t>Exact closure object, hierarchy, gates, non-authorities</w:t>
            </w:r>
          </w:p>
        </w:tc>
      </w:tr>
      <w:tr>
        <w:trPr>
          <w:cantSplit/>
        </w:trPr>
        <w:tc>
          <w:tcPr>
            <w:tcW w:type="dxa" w:w="374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SOURCE_REGISTER.md</w:t>
            </w:r>
          </w:p>
        </w:tc>
        <w:tc>
          <w:tcPr>
            <w:tcW w:type="dxa" w:w="5616"/>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Source identities, lifecycle posture, hierarchy, citations</w:t>
            </w:r>
          </w:p>
        </w:tc>
      </w:tr>
      <w:tr>
        <w:trPr>
          <w:cantSplit/>
        </w:trPr>
        <w:tc>
          <w:tcPr>
            <w:tcW w:type="dxa" w:w="3744"/>
            <w:tcMar>
              <w:top w:w="90" w:type="dxa"/>
              <w:start w:w="105" w:type="dxa"/>
              <w:bottom w:w="90" w:type="dxa"/>
              <w:end w:w="105" w:type="dxa"/>
            </w:tcMar>
            <w:vAlign w:val="center"/>
          </w:tcPr>
          <w:p>
            <w:pPr>
              <w:spacing w:after="0" w:line="240" w:lineRule="auto"/>
              <w:jc w:val="left"/>
            </w:pPr>
            <w:r>
              <w:rPr>
                <w:rFonts w:ascii="Aptos" w:hAnsi="Aptos"/>
                <w:color w:val="1E2A32"/>
                <w:sz w:val="16"/>
              </w:rPr>
              <w:t>AUTHORITY_AND_SCOPE_MATRIX.csv</w:t>
            </w:r>
          </w:p>
        </w:tc>
        <w:tc>
          <w:tcPr>
            <w:tcW w:type="dxa" w:w="5616"/>
            <w:tcMar>
              <w:top w:w="90" w:type="dxa"/>
              <w:start w:w="105" w:type="dxa"/>
              <w:bottom w:w="90" w:type="dxa"/>
              <w:end w:w="105" w:type="dxa"/>
            </w:tcMar>
            <w:vAlign w:val="center"/>
          </w:tcPr>
          <w:p>
            <w:pPr>
              <w:spacing w:after="0" w:line="240" w:lineRule="auto"/>
              <w:jc w:val="left"/>
            </w:pPr>
            <w:r>
              <w:rPr>
                <w:rFonts w:ascii="Aptos" w:hAnsi="Aptos"/>
                <w:color w:val="1E2A32"/>
                <w:sz w:val="16"/>
              </w:rPr>
              <w:t>Allowed/prohibited actions and authority source</w:t>
            </w:r>
          </w:p>
        </w:tc>
      </w:tr>
      <w:tr>
        <w:trPr>
          <w:cantSplit/>
        </w:trPr>
        <w:tc>
          <w:tcPr>
            <w:tcW w:type="dxa" w:w="374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CURRENT_EVIDENCE_POSTURE.csv</w:t>
            </w:r>
          </w:p>
        </w:tc>
        <w:tc>
          <w:tcPr>
            <w:tcW w:type="dxa" w:w="5616"/>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FIN-001..FIN-018 and evidence identity</w:t>
            </w:r>
          </w:p>
        </w:tc>
      </w:tr>
      <w:tr>
        <w:trPr>
          <w:cantSplit/>
        </w:trPr>
        <w:tc>
          <w:tcPr>
            <w:tcW w:type="dxa" w:w="3744"/>
            <w:tcMar>
              <w:top w:w="90" w:type="dxa"/>
              <w:start w:w="105" w:type="dxa"/>
              <w:bottom w:w="90" w:type="dxa"/>
              <w:end w:w="105" w:type="dxa"/>
            </w:tcMar>
            <w:vAlign w:val="center"/>
          </w:tcPr>
          <w:p>
            <w:pPr>
              <w:spacing w:after="0" w:line="240" w:lineRule="auto"/>
              <w:jc w:val="left"/>
            </w:pPr>
            <w:r>
              <w:rPr>
                <w:rFonts w:ascii="Aptos" w:hAnsi="Aptos"/>
                <w:color w:val="1E2A32"/>
                <w:sz w:val="16"/>
              </w:rPr>
              <w:t>REQUIREMENT_TRACEABILITY_MATRIX.csv</w:t>
            </w:r>
          </w:p>
        </w:tc>
        <w:tc>
          <w:tcPr>
            <w:tcW w:type="dxa" w:w="5616"/>
            <w:tcMar>
              <w:top w:w="90" w:type="dxa"/>
              <w:start w:w="105" w:type="dxa"/>
              <w:bottom w:w="90" w:type="dxa"/>
              <w:end w:w="105" w:type="dxa"/>
            </w:tcMar>
            <w:vAlign w:val="center"/>
          </w:tcPr>
          <w:p>
            <w:pPr>
              <w:spacing w:after="0" w:line="240" w:lineRule="auto"/>
              <w:jc w:val="left"/>
            </w:pPr>
            <w:r>
              <w:rPr>
                <w:rFonts w:ascii="Aptos" w:hAnsi="Aptos"/>
                <w:color w:val="1E2A32"/>
                <w:sz w:val="16"/>
              </w:rPr>
              <w:t>Requirement to source, code, test, provider receipt, result</w:t>
            </w:r>
          </w:p>
        </w:tc>
      </w:tr>
      <w:tr>
        <w:trPr>
          <w:cantSplit/>
        </w:trPr>
        <w:tc>
          <w:tcPr>
            <w:tcW w:type="dxa" w:w="374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PROVIDER_TEST_SCENARIO_MATRIX.csv</w:t>
            </w:r>
          </w:p>
        </w:tc>
        <w:tc>
          <w:tcPr>
            <w:tcW w:type="dxa" w:w="5616"/>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Scenario, environment, object IDs, expected/actual, blocker</w:t>
            </w:r>
          </w:p>
        </w:tc>
      </w:tr>
      <w:tr>
        <w:trPr>
          <w:cantSplit/>
        </w:trPr>
        <w:tc>
          <w:tcPr>
            <w:tcW w:type="dxa" w:w="3744"/>
            <w:tcMar>
              <w:top w:w="90" w:type="dxa"/>
              <w:start w:w="105" w:type="dxa"/>
              <w:bottom w:w="90" w:type="dxa"/>
              <w:end w:w="105" w:type="dxa"/>
            </w:tcMar>
            <w:vAlign w:val="center"/>
          </w:tcPr>
          <w:p>
            <w:pPr>
              <w:spacing w:after="0" w:line="240" w:lineRule="auto"/>
              <w:jc w:val="left"/>
            </w:pPr>
            <w:r>
              <w:rPr>
                <w:rFonts w:ascii="Aptos" w:hAnsi="Aptos"/>
                <w:color w:val="1E2A32"/>
                <w:sz w:val="16"/>
              </w:rPr>
              <w:t>WEBHOOK_AND_EVENT_CUSTODY_REPORT.md</w:t>
            </w:r>
          </w:p>
        </w:tc>
        <w:tc>
          <w:tcPr>
            <w:tcW w:type="dxa" w:w="5616"/>
            <w:tcMar>
              <w:top w:w="90" w:type="dxa"/>
              <w:start w:w="105" w:type="dxa"/>
              <w:bottom w:w="90" w:type="dxa"/>
              <w:end w:w="105" w:type="dxa"/>
            </w:tcMar>
            <w:vAlign w:val="center"/>
          </w:tcPr>
          <w:p>
            <w:pPr>
              <w:spacing w:after="0" w:line="240" w:lineRule="auto"/>
              <w:jc w:val="left"/>
            </w:pPr>
            <w:r>
              <w:rPr>
                <w:rFonts w:ascii="Aptos" w:hAnsi="Aptos"/>
                <w:color w:val="1E2A32"/>
                <w:sz w:val="16"/>
              </w:rPr>
              <w:t>Signature, replay, retry, ordering, event mapping, minimization</w:t>
            </w:r>
          </w:p>
        </w:tc>
      </w:tr>
      <w:tr>
        <w:trPr>
          <w:cantSplit/>
        </w:trPr>
        <w:tc>
          <w:tcPr>
            <w:tcW w:type="dxa" w:w="374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SUBSCRIPTION_LIFECYCLE_ASSURANCE_REPORT.md</w:t>
            </w:r>
          </w:p>
        </w:tc>
        <w:tc>
          <w:tcPr>
            <w:tcW w:type="dxa" w:w="5616"/>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Provider/local lifecycle and entitlement results</w:t>
            </w:r>
          </w:p>
        </w:tc>
      </w:tr>
      <w:tr>
        <w:trPr>
          <w:cantSplit/>
        </w:trPr>
        <w:tc>
          <w:tcPr>
            <w:tcW w:type="dxa" w:w="3744"/>
            <w:tcMar>
              <w:top w:w="90" w:type="dxa"/>
              <w:start w:w="105" w:type="dxa"/>
              <w:bottom w:w="90" w:type="dxa"/>
              <w:end w:w="105" w:type="dxa"/>
            </w:tcMar>
            <w:vAlign w:val="center"/>
          </w:tcPr>
          <w:p>
            <w:pPr>
              <w:spacing w:after="0" w:line="240" w:lineRule="auto"/>
              <w:jc w:val="left"/>
            </w:pPr>
            <w:r>
              <w:rPr>
                <w:rFonts w:ascii="Aptos" w:hAnsi="Aptos"/>
                <w:color w:val="1E2A32"/>
                <w:sz w:val="16"/>
              </w:rPr>
              <w:t>RECONCILIATION_AND_CONTROL_TOTAL_REPORT.md</w:t>
            </w:r>
          </w:p>
        </w:tc>
        <w:tc>
          <w:tcPr>
            <w:tcW w:type="dxa" w:w="5616"/>
            <w:tcMar>
              <w:top w:w="90" w:type="dxa"/>
              <w:start w:w="105" w:type="dxa"/>
              <w:bottom w:w="90" w:type="dxa"/>
              <w:end w:w="105" w:type="dxa"/>
            </w:tcMar>
            <w:vAlign w:val="center"/>
          </w:tcPr>
          <w:p>
            <w:pPr>
              <w:spacing w:after="0" w:line="240" w:lineRule="auto"/>
              <w:jc w:val="left"/>
            </w:pPr>
            <w:r>
              <w:rPr>
                <w:rFonts w:ascii="Aptos" w:hAnsi="Aptos"/>
                <w:color w:val="1E2A32"/>
                <w:sz w:val="16"/>
              </w:rPr>
              <w:t>Counts, amounts, objects, variance treatment</w:t>
            </w:r>
          </w:p>
        </w:tc>
      </w:tr>
      <w:tr>
        <w:trPr>
          <w:cantSplit/>
        </w:trPr>
        <w:tc>
          <w:tcPr>
            <w:tcW w:type="dxa" w:w="374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TAX_CALCULATION_BOUNDARY_REPORT.md</w:t>
            </w:r>
          </w:p>
        </w:tc>
        <w:tc>
          <w:tcPr>
            <w:tcW w:type="dxa" w:w="5616"/>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Test calculation and explicit legal/production limits</w:t>
            </w:r>
          </w:p>
        </w:tc>
      </w:tr>
      <w:tr>
        <w:trPr>
          <w:cantSplit/>
        </w:trPr>
        <w:tc>
          <w:tcPr>
            <w:tcW w:type="dxa" w:w="3744"/>
            <w:tcMar>
              <w:top w:w="90" w:type="dxa"/>
              <w:start w:w="105" w:type="dxa"/>
              <w:bottom w:w="90" w:type="dxa"/>
              <w:end w:w="105" w:type="dxa"/>
            </w:tcMar>
            <w:vAlign w:val="center"/>
          </w:tcPr>
          <w:p>
            <w:pPr>
              <w:spacing w:after="0" w:line="240" w:lineRule="auto"/>
              <w:jc w:val="left"/>
            </w:pPr>
            <w:r>
              <w:rPr>
                <w:rFonts w:ascii="Aptos" w:hAnsi="Aptos"/>
                <w:color w:val="1E2A32"/>
                <w:sz w:val="16"/>
              </w:rPr>
              <w:t>SECRET_AND_DATA_HYGIENE_REPORT.md</w:t>
            </w:r>
          </w:p>
        </w:tc>
        <w:tc>
          <w:tcPr>
            <w:tcW w:type="dxa" w:w="5616"/>
            <w:tcMar>
              <w:top w:w="90" w:type="dxa"/>
              <w:start w:w="105" w:type="dxa"/>
              <w:bottom w:w="90" w:type="dxa"/>
              <w:end w:w="105" w:type="dxa"/>
            </w:tcMar>
            <w:vAlign w:val="center"/>
          </w:tcPr>
          <w:p>
            <w:pPr>
              <w:spacing w:after="0" w:line="240" w:lineRule="auto"/>
              <w:jc w:val="left"/>
            </w:pPr>
            <w:r>
              <w:rPr>
                <w:rFonts w:ascii="Aptos" w:hAnsi="Aptos"/>
                <w:color w:val="1E2A32"/>
                <w:sz w:val="16"/>
              </w:rPr>
              <w:t>Scans, redaction, credential/data controls</w:t>
            </w:r>
          </w:p>
        </w:tc>
      </w:tr>
      <w:tr>
        <w:trPr>
          <w:cantSplit/>
        </w:trPr>
        <w:tc>
          <w:tcPr>
            <w:tcW w:type="dxa" w:w="374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RESIDUAL_RISK_AND_CONTRADICTORY_EVIDENCE_REGISTER.csv</w:t>
            </w:r>
          </w:p>
        </w:tc>
        <w:tc>
          <w:tcPr>
            <w:tcW w:type="dxa" w:w="5616"/>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Residual, dissenting, conflicting evidence</w:t>
            </w:r>
          </w:p>
        </w:tc>
      </w:tr>
      <w:tr>
        <w:trPr>
          <w:cantSplit/>
        </w:trPr>
        <w:tc>
          <w:tcPr>
            <w:tcW w:type="dxa" w:w="3744"/>
            <w:tcMar>
              <w:top w:w="90" w:type="dxa"/>
              <w:start w:w="105" w:type="dxa"/>
              <w:bottom w:w="90" w:type="dxa"/>
              <w:end w:w="105" w:type="dxa"/>
            </w:tcMar>
            <w:vAlign w:val="center"/>
          </w:tcPr>
          <w:p>
            <w:pPr>
              <w:spacing w:after="0" w:line="240" w:lineRule="auto"/>
              <w:jc w:val="left"/>
            </w:pPr>
            <w:r>
              <w:rPr>
                <w:rFonts w:ascii="Aptos" w:hAnsi="Aptos"/>
                <w:color w:val="1E2A32"/>
                <w:sz w:val="16"/>
              </w:rPr>
              <w:t>FOUNDER_CLOSURE_DISPOSITION.md</w:t>
            </w:r>
          </w:p>
        </w:tc>
        <w:tc>
          <w:tcPr>
            <w:tcW w:type="dxa" w:w="5616"/>
            <w:tcMar>
              <w:top w:w="90" w:type="dxa"/>
              <w:start w:w="105" w:type="dxa"/>
              <w:bottom w:w="90" w:type="dxa"/>
              <w:end w:w="105" w:type="dxa"/>
            </w:tcMar>
            <w:vAlign w:val="center"/>
          </w:tcPr>
          <w:p>
            <w:pPr>
              <w:spacing w:after="0" w:line="240" w:lineRule="auto"/>
              <w:jc w:val="left"/>
            </w:pPr>
            <w:r>
              <w:rPr>
                <w:rFonts w:ascii="Aptos" w:hAnsi="Aptos"/>
                <w:color w:val="1E2A32"/>
                <w:sz w:val="16"/>
              </w:rPr>
              <w:t>Exact closure or continued-open decision</w:t>
            </w:r>
          </w:p>
        </w:tc>
      </w:tr>
      <w:tr>
        <w:trPr>
          <w:cantSplit/>
        </w:trPr>
        <w:tc>
          <w:tcPr>
            <w:tcW w:type="dxa" w:w="3744"/>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Manifest, checksums, validator, negative tests</w:t>
            </w:r>
          </w:p>
        </w:tc>
        <w:tc>
          <w:tcPr>
            <w:tcW w:type="dxa" w:w="5616"/>
            <w:tcMar>
              <w:top w:w="90" w:type="dxa"/>
              <w:start w:w="105" w:type="dxa"/>
              <w:bottom w:w="90" w:type="dxa"/>
              <w:end w:w="105" w:type="dxa"/>
            </w:tcMar>
            <w:vAlign w:val="center"/>
            <w:shd w:fill="FAFBFC"/>
          </w:tcPr>
          <w:p>
            <w:pPr>
              <w:spacing w:after="0" w:line="240" w:lineRule="auto"/>
              <w:jc w:val="left"/>
            </w:pPr>
            <w:r>
              <w:rPr>
                <w:rFonts w:ascii="Aptos" w:hAnsi="Aptos"/>
                <w:color w:val="1E2A32"/>
                <w:sz w:val="16"/>
              </w:rPr>
              <w:t>Package identity and anti-overclaim enforcement</w:t>
            </w:r>
          </w:p>
        </w:tc>
      </w:tr>
      <w:tr>
        <w:trPr>
          <w:cantSplit/>
        </w:trPr>
        <w:tc>
          <w:tcPr>
            <w:tcW w:type="dxa" w:w="3744"/>
            <w:tcMar>
              <w:top w:w="90" w:type="dxa"/>
              <w:start w:w="105" w:type="dxa"/>
              <w:bottom w:w="90" w:type="dxa"/>
              <w:end w:w="105" w:type="dxa"/>
            </w:tcMar>
            <w:vAlign w:val="center"/>
          </w:tcPr>
          <w:p>
            <w:pPr>
              <w:spacing w:after="0" w:line="240" w:lineRule="auto"/>
              <w:jc w:val="left"/>
            </w:pPr>
            <w:r>
              <w:rPr>
                <w:rFonts w:ascii="Aptos" w:hAnsi="Aptos"/>
                <w:color w:val="1E2A32"/>
                <w:sz w:val="16"/>
              </w:rPr>
              <w:t>Separate custody receipt</w:t>
            </w:r>
          </w:p>
        </w:tc>
        <w:tc>
          <w:tcPr>
            <w:tcW w:type="dxa" w:w="5616"/>
            <w:tcMar>
              <w:top w:w="90" w:type="dxa"/>
              <w:start w:w="105" w:type="dxa"/>
              <w:bottom w:w="90" w:type="dxa"/>
              <w:end w:w="105" w:type="dxa"/>
            </w:tcMar>
            <w:vAlign w:val="center"/>
          </w:tcPr>
          <w:p>
            <w:pPr>
              <w:spacing w:after="0" w:line="240" w:lineRule="auto"/>
              <w:jc w:val="left"/>
            </w:pPr>
            <w:r>
              <w:rPr>
                <w:rFonts w:ascii="Aptos" w:hAnsi="Aptos"/>
                <w:color w:val="1E2A32"/>
                <w:sz w:val="16"/>
              </w:rPr>
              <w:t>Protected merge identity and post-merge rerun results</w:t>
            </w:r>
          </w:p>
        </w:tc>
      </w:tr>
    </w:tbl>
    <w:p>
      <w:pPr>
        <w:spacing w:after="20"/>
      </w:pPr>
    </w:p>
    <w:p>
      <w:pPr>
        <w:pStyle w:val="Heading2"/>
        <w:spacing w:before="200" w:after="100"/>
        <w:keepNext/>
      </w:pPr>
      <w:r>
        <w:rPr>
          <w:rFonts w:ascii="Aptos" w:hAnsi="Aptos"/>
          <w:b/>
          <w:color w:val="087F83"/>
          <w:sz w:val="25"/>
        </w:rPr>
        <w:t>14.1 Review Standard</w:t>
      </w:r>
    </w:p>
    <w:p>
      <w:pPr>
        <w:pStyle w:val="ListBullet"/>
        <w:spacing w:after="50" w:line="252" w:lineRule="auto"/>
        <w:ind w:left="317" w:hanging="216"/>
      </w:pPr>
      <w:r>
        <w:rPr>
          <w:rFonts w:ascii="Aptos" w:hAnsi="Aptos"/>
          <w:color w:val="1E2A32"/>
          <w:sz w:val="20"/>
        </w:rPr>
        <w:t>Source-authority review.</w:t>
      </w:r>
    </w:p>
    <w:p>
      <w:pPr>
        <w:pStyle w:val="ListBullet"/>
        <w:spacing w:after="50" w:line="252" w:lineRule="auto"/>
        <w:ind w:left="317" w:hanging="216"/>
      </w:pPr>
      <w:r>
        <w:rPr>
          <w:rFonts w:ascii="Aptos" w:hAnsi="Aptos"/>
          <w:color w:val="1E2A32"/>
          <w:sz w:val="20"/>
        </w:rPr>
        <w:t>Technical review of code paths and tests.</w:t>
      </w:r>
    </w:p>
    <w:p>
      <w:pPr>
        <w:pStyle w:val="ListBullet"/>
        <w:spacing w:after="50" w:line="252" w:lineRule="auto"/>
        <w:ind w:left="317" w:hanging="216"/>
      </w:pPr>
      <w:r>
        <w:rPr>
          <w:rFonts w:ascii="Aptos" w:hAnsi="Aptos"/>
          <w:color w:val="1E2A32"/>
          <w:sz w:val="20"/>
        </w:rPr>
        <w:t>Financial-domain review of state and reconciliation claims.</w:t>
      </w:r>
    </w:p>
    <w:p>
      <w:pPr>
        <w:pStyle w:val="ListBullet"/>
        <w:spacing w:after="50" w:line="252" w:lineRule="auto"/>
        <w:ind w:left="317" w:hanging="216"/>
      </w:pPr>
      <w:r>
        <w:rPr>
          <w:rFonts w:ascii="Aptos" w:hAnsi="Aptos"/>
          <w:color w:val="1E2A32"/>
          <w:sz w:val="20"/>
        </w:rPr>
        <w:t>Security/privacy review of evidence handling.</w:t>
      </w:r>
    </w:p>
    <w:p>
      <w:pPr>
        <w:pStyle w:val="ListBullet"/>
        <w:spacing w:after="50" w:line="252" w:lineRule="auto"/>
        <w:ind w:left="317" w:hanging="216"/>
      </w:pPr>
      <w:r>
        <w:rPr>
          <w:rFonts w:ascii="Aptos" w:hAnsi="Aptos"/>
          <w:color w:val="1E2A32"/>
          <w:sz w:val="20"/>
        </w:rPr>
        <w:t>Review of every NOT_APPLICABLE, residual risk, exception, and contradictory item.</w:t>
      </w:r>
    </w:p>
    <w:p>
      <w:pPr>
        <w:pStyle w:val="ListBullet"/>
        <w:spacing w:after="50" w:line="252" w:lineRule="auto"/>
        <w:ind w:left="317" w:hanging="216"/>
      </w:pPr>
      <w:r>
        <w:rPr>
          <w:rFonts w:ascii="Aptos" w:hAnsi="Aptos"/>
          <w:color w:val="1E2A32"/>
          <w:sz w:val="20"/>
        </w:rPr>
        <w:t>Verification that branch-local evidence is not described as protectedly accessioned.</w:t>
      </w:r>
    </w:p>
    <w:p>
      <w:pPr>
        <w:pStyle w:val="ListBullet"/>
        <w:spacing w:after="50" w:line="252" w:lineRule="auto"/>
        <w:ind w:left="317" w:hanging="216"/>
      </w:pPr>
      <w:r>
        <w:rPr>
          <w:rFonts w:ascii="Aptos" w:hAnsi="Aptos"/>
          <w:color w:val="1E2A32"/>
          <w:sz w:val="20"/>
        </w:rPr>
        <w:t>Verification that no output is called independent unless independence is real and documented.</w:t>
      </w:r>
    </w:p>
    <w:p>
      <w:pPr>
        <w:spacing w:before="0" w:after="100" w:line="259" w:lineRule="auto"/>
      </w:pPr>
      <w:r>
        <w:rPr>
          <w:rFonts w:ascii="Aptos" w:hAnsi="Aptos"/>
          <w:i w:val="0"/>
          <w:color w:val="1E2A32"/>
          <w:sz w:val="21"/>
        </w:rPr>
        <w:t>Where the Solo-Founder Compensating Assurance Profile applies, the package must identify the absence of independent human review, use approved compensating controls, preserve dissent and contradictory evidence, and avoid an independent-assurance claim.</w:t>
      </w:r>
    </w:p>
    <w:p>
      <w:pPr>
        <w:pStyle w:val="Heading2"/>
        <w:spacing w:before="200" w:after="100"/>
        <w:keepNext/>
      </w:pPr>
      <w:r>
        <w:rPr>
          <w:rFonts w:ascii="Aptos" w:hAnsi="Aptos"/>
          <w:b/>
          <w:color w:val="087F83"/>
          <w:sz w:val="25"/>
        </w:rPr>
        <w:t>14.2 Protected Integration and Custody</w:t>
      </w:r>
    </w:p>
    <w:p>
      <w:pPr>
        <w:spacing w:after="50" w:line="252" w:lineRule="auto"/>
        <w:ind w:left="461" w:hanging="360"/>
      </w:pPr>
      <w:r>
        <w:rPr>
          <w:rFonts w:ascii="Aptos" w:hAnsi="Aptos"/>
          <w:color w:val="1E2A32"/>
          <w:sz w:val="20"/>
        </w:rPr>
        <w:t>1.  Founder approval through the authorized process.</w:t>
      </w:r>
    </w:p>
    <w:p>
      <w:pPr>
        <w:spacing w:after="50" w:line="252" w:lineRule="auto"/>
        <w:ind w:left="461" w:hanging="360"/>
      </w:pPr>
      <w:r>
        <w:rPr>
          <w:rFonts w:ascii="Aptos" w:hAnsi="Aptos"/>
          <w:color w:val="1E2A32"/>
          <w:sz w:val="20"/>
        </w:rPr>
        <w:t>2.  Protected merge of the exact approved package.</w:t>
      </w:r>
    </w:p>
    <w:p>
      <w:pPr>
        <w:spacing w:after="50" w:line="252" w:lineRule="auto"/>
        <w:ind w:left="461" w:hanging="360"/>
      </w:pPr>
      <w:r>
        <w:rPr>
          <w:rFonts w:ascii="Aptos" w:hAnsi="Aptos"/>
          <w:color w:val="1E2A32"/>
          <w:sz w:val="20"/>
        </w:rPr>
        <w:t>3.  Final protected SHA and merge lineage recorded.</w:t>
      </w:r>
    </w:p>
    <w:p>
      <w:pPr>
        <w:spacing w:after="50" w:line="252" w:lineRule="auto"/>
        <w:ind w:left="461" w:hanging="360"/>
      </w:pPr>
      <w:r>
        <w:rPr>
          <w:rFonts w:ascii="Aptos" w:hAnsi="Aptos"/>
          <w:color w:val="1E2A32"/>
          <w:sz w:val="20"/>
        </w:rPr>
        <w:t>4.  Mandatory validation and applicable provider read-only checks rerun at the protected head.</w:t>
      </w:r>
    </w:p>
    <w:p>
      <w:pPr>
        <w:spacing w:after="50" w:line="252" w:lineRule="auto"/>
        <w:ind w:left="461" w:hanging="360"/>
      </w:pPr>
      <w:r>
        <w:rPr>
          <w:rFonts w:ascii="Aptos" w:hAnsi="Aptos"/>
          <w:color w:val="1E2A32"/>
          <w:sz w:val="20"/>
        </w:rPr>
        <w:t>5.  Package hashes and evidence identities reverified.</w:t>
      </w:r>
    </w:p>
    <w:p>
      <w:pPr>
        <w:spacing w:after="50" w:line="252" w:lineRule="auto"/>
        <w:ind w:left="461" w:hanging="360"/>
      </w:pPr>
      <w:r>
        <w:rPr>
          <w:rFonts w:ascii="Aptos" w:hAnsi="Aptos"/>
          <w:color w:val="1E2A32"/>
          <w:sz w:val="20"/>
        </w:rPr>
        <w:t>6.  Separate custody receipt protectedly integrated where required.</w:t>
      </w:r>
    </w:p>
    <w:p>
      <w:pPr>
        <w:pStyle w:val="Heading1"/>
        <w:spacing w:before="280" w:after="100"/>
        <w:keepNext/>
        <w:pBdr>
          <w:bottom w:val="single" w:sz="6" w:space="4" w:color="B8CDD8"/>
        </w:pBdr>
      </w:pPr>
      <w:r>
        <w:rPr>
          <w:rFonts w:ascii="Aptos" w:hAnsi="Aptos"/>
          <w:b/>
          <w:color w:val="17324D"/>
          <w:sz w:val="30"/>
        </w:rPr>
        <w:t>15. Decision States and Permitted Determinations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24D"/>
            <w:tcMar>
              <w:top w:w="100" w:type="dxa"/>
              <w:start w:w="105" w:type="dxa"/>
              <w:bottom w:w="100" w:type="dxa"/>
              <w:end w:w="105" w:type="dxa"/>
            </w:tcMar>
            <w:vAlign w:val="center"/>
          </w:tcPr>
          <w:p>
            <w:pPr>
              <w:spacing w:after="0"/>
              <w:jc w:val="center"/>
            </w:pPr>
            <w:r>
              <w:rPr>
                <w:rFonts w:ascii="Aptos" w:hAnsi="Aptos"/>
                <w:b/>
                <w:color w:val="FFFFFF"/>
                <w:sz w:val="18"/>
              </w:rPr>
              <w:t>State</w:t>
            </w:r>
          </w:p>
        </w:tc>
        <w:tc>
          <w:tcPr>
            <w:tcW w:type="dxa" w:w="6336"/>
            <w:shd w:fill="17324D"/>
            <w:tcMar>
              <w:top w:w="100" w:type="dxa"/>
              <w:start w:w="105" w:type="dxa"/>
              <w:bottom w:w="100" w:type="dxa"/>
              <w:end w:w="105" w:type="dxa"/>
            </w:tcMar>
            <w:vAlign w:val="center"/>
          </w:tcPr>
          <w:p>
            <w:pPr>
              <w:spacing w:after="0"/>
              <w:jc w:val="center"/>
            </w:pPr>
            <w:r>
              <w:rPr>
                <w:rFonts w:ascii="Aptos" w:hAnsi="Aptos"/>
                <w:b/>
                <w:color w:val="FFFFFF"/>
                <w:sz w:val="18"/>
              </w:rPr>
              <w:t>Permitted Determination</w:t>
            </w:r>
          </w:p>
        </w:tc>
      </w:tr>
      <w:tr>
        <w:trPr>
          <w:cantSplit/>
        </w:trPr>
        <w:tc>
          <w:tcPr>
            <w:tcW w:type="dxa" w:w="3024"/>
            <w:tcMar>
              <w:top w:w="90" w:type="dxa"/>
              <w:start w:w="105" w:type="dxa"/>
              <w:bottom w:w="90" w:type="dxa"/>
              <w:end w:w="105" w:type="dxa"/>
            </w:tcMar>
            <w:vAlign w:val="center"/>
            <w:shd w:fill="FAFBFC"/>
          </w:tcPr>
          <w:p>
            <w:r>
              <w:rPr>
                <w:rFonts w:ascii="Aptos" w:hAnsi="Aptos"/>
                <w:sz w:val="17"/>
              </w:rPr>
              <w:t>Founder-approved plan</w:t>
            </w:r>
          </w:p>
        </w:tc>
        <w:tc>
          <w:tcPr>
            <w:tcW w:type="dxa" w:w="6336"/>
            <w:tcMar>
              <w:top w:w="90" w:type="dxa"/>
              <w:start w:w="105" w:type="dxa"/>
              <w:bottom w:w="90" w:type="dxa"/>
              <w:end w:w="105" w:type="dxa"/>
            </w:tcMar>
            <w:vAlign w:val="center"/>
            <w:shd w:fill="FAFBFC"/>
          </w:tcPr>
          <w:p>
            <w:r>
              <w:rPr>
                <w:rFonts w:ascii="Aptos" w:hAnsi="Aptos"/>
                <w:sz w:val="17"/>
              </w:rPr>
              <w:t>CGP006_MAP_GAP_0005_CLOSURE_CRITERIA_PLAN_V1_1_0_FOUNDER_APPROVED_PENDING_ACCESSION_AND_CUSTODY_NO_CLOSURE_EFFECT</w:t>
            </w:r>
          </w:p>
        </w:tc>
      </w:tr>
      <w:tr>
        <w:trPr>
          <w:cantSplit/>
        </w:trPr>
        <w:tc>
          <w:tcPr>
            <w:tcW w:type="dxa" w:w="3024"/>
            <w:tcMar>
              <w:top w:w="90" w:type="dxa"/>
              <w:start w:w="105" w:type="dxa"/>
              <w:bottom w:w="90" w:type="dxa"/>
              <w:end w:w="105" w:type="dxa"/>
            </w:tcMar>
            <w:vAlign w:val="center"/>
          </w:tcPr>
          <w:p>
            <w:pPr>
              <w:spacing w:after="0" w:line="240" w:lineRule="auto"/>
              <w:jc w:val="left"/>
            </w:pPr>
            <w:r>
              <w:rPr>
                <w:rFonts w:ascii="Aptos" w:hAnsi="Aptos"/>
                <w:color w:val="1E2A32"/>
                <w:sz w:val="17"/>
              </w:rPr>
              <w:t>PR #70 subset after merge/custody</w:t>
            </w:r>
          </w:p>
        </w:tc>
        <w:tc>
          <w:tcPr>
            <w:tcW w:type="dxa" w:w="6336"/>
            <w:tcMar>
              <w:top w:w="90" w:type="dxa"/>
              <w:start w:w="105" w:type="dxa"/>
              <w:bottom w:w="90" w:type="dxa"/>
              <w:end w:w="105" w:type="dxa"/>
            </w:tcMar>
            <w:vAlign w:val="center"/>
          </w:tcPr>
          <w:p>
            <w:pPr>
              <w:spacing w:after="0" w:line="240" w:lineRule="auto"/>
              <w:jc w:val="left"/>
            </w:pPr>
            <w:r>
              <w:rPr>
                <w:rFonts w:ascii="Aptos" w:hAnsi="Aptos"/>
                <w:color w:val="1E2A32"/>
                <w:sz w:val="17"/>
              </w:rPr>
              <w:t>CGP006_MAP_GAP_0005_SANDBOX_CATALOGUE_AND_CHECKOUT_EVIDENCE_SUBSET_SATISFIED</w:t>
            </w:r>
          </w:p>
        </w:tc>
      </w:tr>
      <w:tr>
        <w:trPr>
          <w:cantSplit/>
        </w:trPr>
        <w:tc>
          <w:tcPr>
            <w:tcW w:type="dxa" w:w="3024"/>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Required companion to subset</w:t>
            </w:r>
          </w:p>
        </w:tc>
        <w:tc>
          <w:tcPr>
            <w:tcW w:type="dxa" w:w="6336"/>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CGP006_MAP_GAP_0005_REMAINS_OPEN_PENDING_PROVIDER_CONNECTED_LIFECYCLE_RECONCILIATION_AND_CLOSURE_DISPOSITION</w:t>
            </w:r>
          </w:p>
        </w:tc>
      </w:tr>
      <w:tr>
        <w:trPr>
          <w:cantSplit/>
        </w:trPr>
        <w:tc>
          <w:tcPr>
            <w:tcW w:type="dxa" w:w="3024"/>
            <w:tcMar>
              <w:top w:w="90" w:type="dxa"/>
              <w:start w:w="105" w:type="dxa"/>
              <w:bottom w:w="90" w:type="dxa"/>
              <w:end w:w="105" w:type="dxa"/>
            </w:tcMar>
            <w:vAlign w:val="center"/>
          </w:tcPr>
          <w:p>
            <w:pPr>
              <w:spacing w:after="0" w:line="240" w:lineRule="auto"/>
              <w:jc w:val="left"/>
            </w:pPr>
            <w:r>
              <w:rPr>
                <w:rFonts w:ascii="Aptos" w:hAnsi="Aptos"/>
                <w:color w:val="1E2A32"/>
                <w:sz w:val="17"/>
              </w:rPr>
              <w:t>Evidence complete, pending decision</w:t>
            </w:r>
          </w:p>
        </w:tc>
        <w:tc>
          <w:tcPr>
            <w:tcW w:type="dxa" w:w="6336"/>
            <w:tcMar>
              <w:top w:w="90" w:type="dxa"/>
              <w:start w:w="105" w:type="dxa"/>
              <w:bottom w:w="90" w:type="dxa"/>
              <w:end w:w="105" w:type="dxa"/>
            </w:tcMar>
            <w:vAlign w:val="center"/>
          </w:tcPr>
          <w:p>
            <w:pPr>
              <w:spacing w:after="0" w:line="240" w:lineRule="auto"/>
              <w:jc w:val="left"/>
            </w:pPr>
            <w:r>
              <w:rPr>
                <w:rFonts w:ascii="Aptos" w:hAnsi="Aptos"/>
                <w:color w:val="1E2A32"/>
                <w:sz w:val="17"/>
              </w:rPr>
              <w:t>CGP006_MAP_GAP_0005_EVIDENCE_COMPLETE_PENDING_FOUNDER_CLOSURE_DISPOSITION</w:t>
            </w:r>
          </w:p>
        </w:tc>
      </w:tr>
      <w:tr>
        <w:trPr>
          <w:cantSplit/>
        </w:trPr>
        <w:tc>
          <w:tcPr>
            <w:tcW w:type="dxa" w:w="3024"/>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Final Founder closure only</w:t>
            </w:r>
          </w:p>
        </w:tc>
        <w:tc>
          <w:tcPr>
            <w:tcW w:type="dxa" w:w="6336"/>
            <w:tcMar>
              <w:top w:w="90" w:type="dxa"/>
              <w:start w:w="105" w:type="dxa"/>
              <w:bottom w:w="90" w:type="dxa"/>
              <w:end w:w="105" w:type="dxa"/>
            </w:tcMar>
            <w:vAlign w:val="center"/>
            <w:shd w:fill="FAFBFC"/>
          </w:tcPr>
          <w:p>
            <w:pPr>
              <w:spacing w:after="0" w:line="240" w:lineRule="auto"/>
              <w:jc w:val="left"/>
            </w:pPr>
            <w:r>
              <w:rPr>
                <w:rFonts w:ascii="Aptos" w:hAnsi="Aptos"/>
                <w:color w:val="1E2A32"/>
                <w:sz w:val="17"/>
              </w:rPr>
              <w:t>CGP006_MAP_GAP_0005_FINANCIAL_PROVIDER_RUNTIME_EVIDENCE_CLOSED</w:t>
            </w:r>
          </w:p>
        </w:tc>
      </w:tr>
    </w:tbl>
    <w:p>
      <w:pPr>
        <w:spacing w:after="20"/>
      </w:pPr>
    </w:p>
    <w:p>
      <w:pPr>
        <w:pStyle w:val="Heading2"/>
        <w:spacing w:before="200" w:after="100"/>
        <w:keepNext/>
      </w:pPr>
      <w:r>
        <w:rPr>
          <w:rFonts w:ascii="Aptos" w:hAnsi="Aptos"/>
          <w:b/>
          <w:color w:val="087F83"/>
          <w:sz w:val="25"/>
        </w:rPr>
        <w:t>15.1 Required Continuing Statements</w:t>
      </w:r>
    </w:p>
    <w:tbl>
      <w:tblPr>
        <w:tblW w:type="auto" w:w="0"/>
        <w:jc w:val="center"/>
        <w:tblLook w:firstColumn="1" w:firstRow="1" w:lastColumn="0" w:lastRow="0" w:noHBand="0" w:noVBand="1" w:val="04A0"/>
      </w:tblPr>
      <w:tblGrid>
        <w:gridCol w:w="9994"/>
      </w:tblGrid>
      <w:tr>
        <w:tc>
          <w:tcPr>
            <w:tcW w:type="dxa" w:w="9994"/>
            <w:shd w:fill="F2F4F6"/>
            <w:tcMar>
              <w:top w:w="110" w:type="dxa"/>
              <w:start w:w="130" w:type="dxa"/>
              <w:bottom w:w="110" w:type="dxa"/>
              <w:end w:w="130" w:type="dxa"/>
            </w:tcMar>
          </w:tcPr>
          <w:p>
            <w:pPr>
              <w:spacing w:after="0"/>
            </w:pPr>
            <w:r>
              <w:rPr>
                <w:rFonts w:ascii="Courier New" w:hAnsi="Courier New"/>
                <w:color w:val="1E2A32"/>
                <w:sz w:val="17"/>
              </w:rPr>
              <w:t>CGP005_TA_APP_GAP_0004_REMAINS_OPEN</w:t>
            </w:r>
            <w:r>
              <w:br/>
            </w:r>
            <w:r>
              <w:rPr>
                <w:rFonts w:ascii="Courier New" w:hAnsi="Courier New"/>
                <w:color w:val="1E2A32"/>
                <w:sz w:val="17"/>
              </w:rPr>
              <w:t>CGP006_MAP_GAP_0012_DOCUMENT_SIGNATURE_PROVIDER_EVIDENCE_REMAINS_OPEN</w:t>
            </w:r>
            <w:r>
              <w:br/>
            </w:r>
            <w:r>
              <w:rPr>
                <w:rFonts w:ascii="Courier New" w:hAnsi="Courier New"/>
                <w:color w:val="1E2A32"/>
                <w:sz w:val="17"/>
              </w:rPr>
              <w:t>CGP006_IWP_CANDIDATE_0004_NOT_CLOSED_AS_A_WHOLE_BY_FINANCIAL_SLICE_EVIDENCE</w:t>
            </w:r>
            <w:r>
              <w:br/>
            </w:r>
            <w:r>
              <w:rPr>
                <w:rFonts w:ascii="Courier New" w:hAnsi="Courier New"/>
                <w:color w:val="1E2A32"/>
                <w:sz w:val="17"/>
              </w:rPr>
              <w:t>BARN_AND_FACILITY_BILLING_NOT_CLOSED_BY_THIS_DISPOSITION</w:t>
            </w:r>
            <w:r>
              <w:br/>
            </w:r>
            <w:r>
              <w:rPr>
                <w:rFonts w:ascii="Courier New" w:hAnsi="Courier New"/>
                <w:color w:val="1E2A32"/>
                <w:sz w:val="17"/>
              </w:rPr>
              <w:t>CONNECTED_ACCOUNTS_MARKETPLACE_TRANSFERS_AND_PAYOUTS_NOT_AUTHORIZED</w:t>
            </w:r>
            <w:r>
              <w:br/>
            </w:r>
            <w:r>
              <w:rPr>
                <w:rFonts w:ascii="Courier New" w:hAnsi="Courier New"/>
                <w:color w:val="1E2A32"/>
                <w:sz w:val="17"/>
              </w:rPr>
              <w:t>ACCOUNTING_SYNCHRONIZATION_NOT_CLOSED_BY_THIS_DISPOSITION</w:t>
            </w:r>
            <w:r>
              <w:br/>
            </w:r>
            <w:r>
              <w:rPr>
                <w:rFonts w:ascii="Courier New" w:hAnsi="Courier New"/>
                <w:color w:val="1E2A32"/>
                <w:sz w:val="17"/>
              </w:rPr>
              <w:t>TAX_FILING_REMITTANCE_AND_LEGAL_COMPLIANCE_NOT_ESTABLISHED</w:t>
            </w:r>
            <w:r>
              <w:br/>
            </w:r>
            <w:r>
              <w:rPr>
                <w:rFonts w:ascii="Courier New" w:hAnsi="Courier New"/>
                <w:color w:val="1E2A32"/>
                <w:sz w:val="17"/>
              </w:rPr>
              <w:t>PRODUCTION_FINANCIAL_READINESS_NOT_ESTABLISHED_UNLESS_SEPARATELY_DISPOSITIONED</w:t>
            </w:r>
            <w:r>
              <w:br/>
            </w:r>
            <w:r>
              <w:rPr>
                <w:rFonts w:ascii="Courier New" w:hAnsi="Courier New"/>
                <w:color w:val="1E2A32"/>
                <w:sz w:val="17"/>
              </w:rPr>
              <w:t>NO_PUBLIC_LAUNCH_OR_CUSTOMER_ONBOARDING_AUTHORITY_CREATED</w:t>
            </w:r>
          </w:p>
        </w:tc>
      </w:tr>
    </w:tbl>
    <w:p>
      <w:pPr>
        <w:spacing w:after="20"/>
      </w:pPr>
    </w:p>
    <w:p>
      <w:pPr>
        <w:pStyle w:val="Heading2"/>
        <w:spacing w:before="200" w:after="100"/>
        <w:keepNext/>
      </w:pPr>
      <w:r>
        <w:rPr>
          <w:rFonts w:ascii="Aptos" w:hAnsi="Aptos"/>
          <w:b/>
          <w:color w:val="087F83"/>
          <w:sz w:val="25"/>
        </w:rPr>
        <w:t>15.2 Blocked Determination</w:t>
      </w:r>
    </w:p>
    <w:p>
      <w:pPr>
        <w:spacing w:before="0" w:after="100" w:line="259" w:lineRule="auto"/>
      </w:pPr>
      <w:r>
        <w:rPr>
          <w:rFonts w:ascii="Aptos" w:hAnsi="Aptos"/>
          <w:i w:val="0"/>
          <w:color w:val="1E2A32"/>
          <w:sz w:val="21"/>
        </w:rPr>
        <w:t>The gap remains open if any mandatory authority, provider-authentication, lifecycle, reconciliation, tax-calculation, security, review, or custody condition is absent or contradicted.</w:t>
      </w:r>
    </w:p>
    <w:p>
      <w:pPr>
        <w:pStyle w:val="Heading1"/>
        <w:spacing w:before="280" w:after="100"/>
        <w:keepNext/>
        <w:pBdr>
          <w:bottom w:val="single" w:sz="6" w:space="4" w:color="B8CDD8"/>
        </w:pBdr>
      </w:pPr>
      <w:r>
        <w:rPr>
          <w:rFonts w:ascii="Aptos" w:hAnsi="Aptos"/>
          <w:b/>
          <w:color w:val="17324D"/>
          <w:sz w:val="30"/>
        </w:rPr>
        <w:t>16. Controlled Execution Sequence</w:t>
      </w:r>
    </w:p>
    <w:p>
      <w:pPr>
        <w:spacing w:after="50" w:line="252" w:lineRule="auto"/>
        <w:ind w:left="461" w:hanging="360"/>
      </w:pPr>
      <w:r>
        <w:rPr>
          <w:rFonts w:ascii="Aptos" w:hAnsi="Aptos"/>
          <w:sz w:val="21"/>
        </w:rPr>
        <w:t>1.  COMPLETED: Founder approved this V1.1.0 plan on August 1, 2026 under ES-FD-CGP006-MAP-GAP-0005-CLOSURE-PLAN-V1.1.0-2026-08-01.</w:t>
      </w:r>
    </w:p>
    <w:p>
      <w:pPr>
        <w:spacing w:after="50" w:line="252" w:lineRule="auto"/>
        <w:ind w:left="461" w:hanging="360"/>
      </w:pPr>
      <w:r>
        <w:rPr>
          <w:rFonts w:ascii="Aptos" w:hAnsi="Aptos"/>
          <w:sz w:val="21"/>
        </w:rPr>
        <w:t>2.  PENDING SEPARATE PROTECTED EXECUTION: Accession the exact approved plan and supporting source/authority records beneath the existing CGP-006 hierarchy, then complete required custody.</w:t>
      </w:r>
    </w:p>
    <w:p>
      <w:pPr>
        <w:spacing w:after="50" w:line="252" w:lineRule="auto"/>
        <w:ind w:left="461" w:hanging="360"/>
      </w:pPr>
      <w:r>
        <w:rPr>
          <w:rFonts w:ascii="Aptos" w:hAnsi="Aptos"/>
          <w:color w:val="1E2A32"/>
          <w:sz w:val="20"/>
        </w:rPr>
        <w:t>3.  Reverify the protected head and reconcile PR #69 and PR #70 against it; rebase, refresh, supersede, or preserve them as directed rather than combining stale branch evidence.</w:t>
      </w:r>
    </w:p>
    <w:p>
      <w:pPr>
        <w:spacing w:after="50" w:line="252" w:lineRule="auto"/>
        <w:ind w:left="461" w:hanging="360"/>
      </w:pPr>
      <w:r>
        <w:rPr>
          <w:rFonts w:ascii="Aptos" w:hAnsi="Aptos"/>
          <w:color w:val="1E2A32"/>
          <w:sz w:val="20"/>
        </w:rPr>
        <w:t>4.  Obtain express authority for provider-connected Stripe sandbox/test assurance and any narrowly necessary implementation correction.</w:t>
      </w:r>
    </w:p>
    <w:p>
      <w:pPr>
        <w:spacing w:after="50" w:line="252" w:lineRule="auto"/>
        <w:ind w:left="461" w:hanging="360"/>
      </w:pPr>
      <w:r>
        <w:rPr>
          <w:rFonts w:ascii="Aptos" w:hAnsi="Aptos"/>
          <w:color w:val="1E2A32"/>
          <w:sz w:val="20"/>
        </w:rPr>
        <w:t>5.  Establish an authorized test webhook endpoint or official forwarding path and synthetic test data.</w:t>
      </w:r>
    </w:p>
    <w:p>
      <w:pPr>
        <w:spacing w:after="50" w:line="252" w:lineRule="auto"/>
        <w:ind w:left="461" w:hanging="360"/>
      </w:pPr>
      <w:r>
        <w:rPr>
          <w:rFonts w:ascii="Aptos" w:hAnsi="Aptos"/>
          <w:color w:val="1E2A32"/>
          <w:sz w:val="20"/>
        </w:rPr>
        <w:t>6.  Execute mandatory provider-connected scenarios against the actual backend and test database.</w:t>
      </w:r>
    </w:p>
    <w:p>
      <w:pPr>
        <w:spacing w:after="50" w:line="252" w:lineRule="auto"/>
        <w:ind w:left="461" w:hanging="360"/>
      </w:pPr>
      <w:r>
        <w:rPr>
          <w:rFonts w:ascii="Aptos" w:hAnsi="Aptos"/>
          <w:color w:val="1E2A32"/>
          <w:sz w:val="20"/>
        </w:rPr>
        <w:t>7.  Produce webhook, lifecycle, tax, reconciliation, control-total, secret, and evidence-custody artifacts.</w:t>
      </w:r>
    </w:p>
    <w:p>
      <w:pPr>
        <w:spacing w:after="50" w:line="252" w:lineRule="auto"/>
        <w:ind w:left="461" w:hanging="360"/>
      </w:pPr>
      <w:r>
        <w:rPr>
          <w:rFonts w:ascii="Aptos" w:hAnsi="Aptos"/>
          <w:color w:val="1E2A32"/>
          <w:sz w:val="20"/>
        </w:rPr>
        <w:t>8.  Correct defects only within authorized scope and rerun affected evidence after material change.</w:t>
      </w:r>
    </w:p>
    <w:p>
      <w:pPr>
        <w:spacing w:after="50" w:line="252" w:lineRule="auto"/>
        <w:ind w:left="461" w:hanging="360"/>
      </w:pPr>
      <w:r>
        <w:rPr>
          <w:rFonts w:ascii="Aptos" w:hAnsi="Aptos"/>
          <w:color w:val="1E2A32"/>
          <w:sz w:val="20"/>
        </w:rPr>
        <w:t>9.  Complete technical, financial-domain, security/privacy, and authority reviews, including contradictory evidence.</w:t>
      </w:r>
    </w:p>
    <w:p>
      <w:pPr>
        <w:spacing w:after="50" w:line="252" w:lineRule="auto"/>
        <w:ind w:left="461" w:hanging="360"/>
      </w:pPr>
      <w:r>
        <w:rPr>
          <w:rFonts w:ascii="Aptos" w:hAnsi="Aptos"/>
          <w:color w:val="1E2A32"/>
          <w:sz w:val="20"/>
        </w:rPr>
        <w:t>10.  Resolve mandatory blockers and prepare the bounded Founder closure disposition.</w:t>
      </w:r>
    </w:p>
    <w:p>
      <w:pPr>
        <w:spacing w:after="50" w:line="252" w:lineRule="auto"/>
        <w:ind w:left="461" w:hanging="360"/>
      </w:pPr>
      <w:r>
        <w:rPr>
          <w:rFonts w:ascii="Aptos" w:hAnsi="Aptos"/>
          <w:color w:val="1E2A32"/>
          <w:sz w:val="20"/>
        </w:rPr>
        <w:t>11.  Merge the exact closure package through protected flow and perform post-merge custody verification.</w:t>
      </w:r>
    </w:p>
    <w:p>
      <w:pPr>
        <w:spacing w:after="50" w:line="252" w:lineRule="auto"/>
        <w:ind w:left="461" w:hanging="360"/>
      </w:pPr>
      <w:r>
        <w:rPr>
          <w:rFonts w:ascii="Aptos" w:hAnsi="Aptos"/>
          <w:color w:val="1E2A32"/>
          <w:sz w:val="20"/>
        </w:rPr>
        <w:t>12.  Update the gap register and status machinery only through separately authorized repository changes.</w:t>
      </w:r>
    </w:p>
    <w:p>
      <w:pPr>
        <w:spacing w:after="50" w:line="252" w:lineRule="auto"/>
        <w:ind w:left="461" w:hanging="360"/>
      </w:pPr>
      <w:r>
        <w:rPr>
          <w:rFonts w:ascii="Aptos" w:hAnsi="Aptos"/>
          <w:color w:val="1E2A32"/>
          <w:sz w:val="20"/>
        </w:rPr>
        <w:t>13.  Preserve unrelated gaps, work-package slices, production gates, and financial programs unless separately dispositioned.</w:t>
      </w:r>
    </w:p>
    <w:p>
      <w:pPr>
        <w:pStyle w:val="Heading1"/>
        <w:spacing w:before="280" w:after="100"/>
        <w:keepNext/>
        <w:pBdr>
          <w:bottom w:val="single" w:sz="6" w:space="4" w:color="B8CDD8"/>
        </w:pBdr>
      </w:pPr>
      <w:r>
        <w:rPr>
          <w:rFonts w:ascii="Aptos" w:hAnsi="Aptos"/>
          <w:b/>
          <w:color w:val="17324D"/>
          <w:sz w:val="30"/>
        </w:rPr>
        <w:t>17. Change Control, Freshness, and Revalidation</w:t>
      </w:r>
    </w:p>
    <w:p>
      <w:pPr>
        <w:spacing w:before="0" w:after="100" w:line="259" w:lineRule="auto"/>
      </w:pPr>
      <w:r>
        <w:rPr>
          <w:rFonts w:ascii="Aptos" w:hAnsi="Aptos"/>
          <w:i w:val="0"/>
          <w:color w:val="1E2A32"/>
          <w:sz w:val="21"/>
        </w:rPr>
        <w:t>Evidence must be regenerated or expressly revalidated when a material change affects the claim, including:</w:t>
      </w:r>
    </w:p>
    <w:p>
      <w:pPr>
        <w:pStyle w:val="ListBullet"/>
        <w:spacing w:after="50" w:line="252" w:lineRule="auto"/>
        <w:ind w:left="317" w:hanging="216"/>
      </w:pPr>
      <w:r>
        <w:rPr>
          <w:rFonts w:ascii="Aptos" w:hAnsi="Aptos"/>
          <w:color w:val="1E2A32"/>
          <w:sz w:val="20"/>
        </w:rPr>
        <w:t>closure-candidate code commit or protected baseline;</w:t>
      </w:r>
    </w:p>
    <w:p>
      <w:pPr>
        <w:pStyle w:val="ListBullet"/>
        <w:spacing w:after="50" w:line="252" w:lineRule="auto"/>
        <w:ind w:left="317" w:hanging="216"/>
      </w:pPr>
      <w:r>
        <w:rPr>
          <w:rFonts w:ascii="Aptos" w:hAnsi="Aptos"/>
          <w:color w:val="1E2A32"/>
          <w:sz w:val="20"/>
        </w:rPr>
        <w:t>Stripe account, Product, Price, lookup key, amount, interval, active state, or metadata;</w:t>
      </w:r>
    </w:p>
    <w:p>
      <w:pPr>
        <w:pStyle w:val="ListBullet"/>
        <w:spacing w:after="50" w:line="252" w:lineRule="auto"/>
        <w:ind w:left="317" w:hanging="216"/>
      </w:pPr>
      <w:r>
        <w:rPr>
          <w:rFonts w:ascii="Aptos" w:hAnsi="Aptos"/>
          <w:color w:val="1E2A32"/>
          <w:sz w:val="20"/>
        </w:rPr>
        <w:t>webhook endpoint, secret, subscribed events, API version, or event schema;</w:t>
      </w:r>
    </w:p>
    <w:p>
      <w:pPr>
        <w:pStyle w:val="ListBullet"/>
        <w:spacing w:after="50" w:line="252" w:lineRule="auto"/>
        <w:ind w:left="317" w:hanging="216"/>
      </w:pPr>
      <w:r>
        <w:rPr>
          <w:rFonts w:ascii="Aptos" w:hAnsi="Aptos"/>
          <w:color w:val="1E2A32"/>
          <w:sz w:val="20"/>
        </w:rPr>
        <w:t>subscription, invoice, payment, refund, entitlement, tax, or reconciliation logic;</w:t>
      </w:r>
    </w:p>
    <w:p>
      <w:pPr>
        <w:pStyle w:val="ListBullet"/>
        <w:spacing w:after="50" w:line="252" w:lineRule="auto"/>
        <w:ind w:left="317" w:hanging="216"/>
      </w:pPr>
      <w:r>
        <w:rPr>
          <w:rFonts w:ascii="Aptos" w:hAnsi="Aptos"/>
          <w:color w:val="1E2A32"/>
          <w:sz w:val="20"/>
        </w:rPr>
        <w:t>schema, index, idempotency, processing lock, retry, or retention behavior;</w:t>
      </w:r>
    </w:p>
    <w:p>
      <w:pPr>
        <w:pStyle w:val="ListBullet"/>
        <w:spacing w:after="50" w:line="252" w:lineRule="auto"/>
        <w:ind w:left="317" w:hanging="216"/>
      </w:pPr>
      <w:r>
        <w:rPr>
          <w:rFonts w:ascii="Aptos" w:hAnsi="Aptos"/>
          <w:color w:val="1E2A32"/>
          <w:sz w:val="20"/>
        </w:rPr>
        <w:t>environment variables, credential resolver, secret store, or startup validation;</w:t>
      </w:r>
    </w:p>
    <w:p>
      <w:pPr>
        <w:pStyle w:val="ListBullet"/>
        <w:spacing w:after="50" w:line="252" w:lineRule="auto"/>
        <w:ind w:left="317" w:hanging="216"/>
      </w:pPr>
      <w:r>
        <w:rPr>
          <w:rFonts w:ascii="Aptos" w:hAnsi="Aptos"/>
          <w:color w:val="1E2A32"/>
          <w:sz w:val="20"/>
        </w:rPr>
        <w:t>tax settings, registrations, product tax codes, customer location, or automatic-tax behavior;</w:t>
      </w:r>
    </w:p>
    <w:p>
      <w:pPr>
        <w:pStyle w:val="ListBullet"/>
        <w:spacing w:after="50" w:line="252" w:lineRule="auto"/>
        <w:ind w:left="317" w:hanging="216"/>
      </w:pPr>
      <w:r>
        <w:rPr>
          <w:rFonts w:ascii="Aptos" w:hAnsi="Aptos"/>
          <w:color w:val="1E2A32"/>
          <w:sz w:val="20"/>
        </w:rPr>
        <w:t>superior canon, Founder directive, PIA disposition, Code Guide, gap definition, or closure authority;</w:t>
      </w:r>
    </w:p>
    <w:p>
      <w:pPr>
        <w:pStyle w:val="ListBullet"/>
        <w:spacing w:after="50" w:line="252" w:lineRule="auto"/>
        <w:ind w:left="317" w:hanging="216"/>
      </w:pPr>
      <w:r>
        <w:rPr>
          <w:rFonts w:ascii="Aptos" w:hAnsi="Aptos"/>
          <w:color w:val="1E2A32"/>
          <w:sz w:val="20"/>
        </w:rPr>
        <w:t>package content, manifest, checksum, reviewer, or residual-risk disposition.</w:t>
      </w:r>
    </w:p>
    <w:p>
      <w:pPr>
        <w:spacing w:before="0" w:after="100" w:line="259" w:lineRule="auto"/>
      </w:pPr>
      <w:r>
        <w:rPr>
          <w:rFonts w:ascii="Aptos" w:hAnsi="Aptos"/>
          <w:i w:val="0"/>
          <w:color w:val="1E2A32"/>
          <w:sz w:val="21"/>
        </w:rPr>
        <w:t>Evidence freshness is tied to the exact closure-candidate head and provider configuration. A prior successful run is not automatically valid after a material change.</w:t>
      </w:r>
    </w:p>
    <w:p>
      <w:pPr>
        <w:pStyle w:val="Heading1"/>
        <w:spacing w:before="280" w:after="100"/>
        <w:keepNext/>
        <w:pBdr>
          <w:bottom w:val="single" w:sz="6" w:space="4" w:color="B8CDD8"/>
        </w:pBdr>
      </w:pPr>
      <w:r>
        <w:t>18. Founder Approval and Disposition Record</w:t>
      </w:r>
    </w:p>
    <w:p>
      <w:pPr>
        <w:spacing w:after="120"/>
      </w:pPr>
      <w:r>
        <w:rPr>
          <w:rFonts w:ascii="Aptos" w:hAnsi="Aptos"/>
          <w:b/>
          <w:color w:val="1F4E5F"/>
          <w:sz w:val="21"/>
        </w:rPr>
        <w:t>Approval ID: ES-FD-CGP006-MAP-GAP-0005-CLOSURE-PLAN-V1.1.0-2026-08-01 | Timestamp: 2026-08-01T00:01:00-05:00 | Founder statement: "Founder approves documents."</w:t>
      </w:r>
    </w:p>
    <w:p>
      <w:pPr>
        <w:spacing w:after="120"/>
      </w:pPr>
      <w:r>
        <w:rPr>
          <w:rFonts w:ascii="Aptos" w:hAnsi="Aptos"/>
          <w:sz w:val="21"/>
        </w:rPr>
        <w:t>1.  APPROVED: V1.1.0 is approved as the subordinate documentary closure-criteria and assurance plan for CGP006-MAP-GAP-0005.</w:t>
      </w:r>
    </w:p>
    <w:p>
      <w:pPr>
        <w:spacing w:after="120"/>
      </w:pPr>
      <w:r>
        <w:rPr>
          <w:rFonts w:ascii="Aptos" w:hAnsi="Aptos"/>
          <w:sz w:val="21"/>
        </w:rPr>
        <w:t>2.  APPROVED: The proposed location beneath governance/implementation/code-guides/drafting/CGP-006/ is approved, subject to protected repository execution and custody.</w:t>
      </w:r>
    </w:p>
    <w:p>
      <w:pPr>
        <w:spacing w:after="120"/>
      </w:pPr>
      <w:r>
        <w:rPr>
          <w:rFonts w:ascii="Aptos" w:hAnsi="Aptos"/>
          <w:sz w:val="21"/>
        </w:rPr>
        <w:t>3.  CONFIRMED: The plan is bounded to the SaaS subscription financial-provider runtime evidence gap and does not close other gaps or financial programs.</w:t>
      </w:r>
    </w:p>
    <w:p>
      <w:pPr>
        <w:spacing w:after="120"/>
      </w:pPr>
      <w:r>
        <w:rPr>
          <w:rFonts w:ascii="Aptos" w:hAnsi="Aptos"/>
          <w:sz w:val="21"/>
        </w:rPr>
        <w:t>4.  CONFIRMED: Provider-connected Stripe sandbox/test evidence is the ordinary technical closure path.</w:t>
      </w:r>
    </w:p>
    <w:p>
      <w:pPr>
        <w:spacing w:after="120"/>
      </w:pPr>
      <w:r>
        <w:rPr>
          <w:rFonts w:ascii="Aptos" w:hAnsi="Aptos"/>
          <w:sz w:val="21"/>
        </w:rPr>
        <w:t>5.  CONFIRMED: A live transaction requires separate authority and is not automatically required for technical closure of this evidence gap.</w:t>
      </w:r>
    </w:p>
    <w:p>
      <w:pPr>
        <w:spacing w:after="120"/>
      </w:pPr>
      <w:r>
        <w:rPr>
          <w:rFonts w:ascii="Aptos" w:hAnsi="Aptos"/>
          <w:sz w:val="21"/>
        </w:rPr>
        <w:t>6.  NOT AUTHORIZED BY THIS APPROVAL: The provider-connected webhook and lifecycle evidence workstream requires a separate directive with exact scope and controls.</w:t>
      </w:r>
    </w:p>
    <w:p>
      <w:pPr>
        <w:spacing w:after="120"/>
      </w:pPr>
      <w:r>
        <w:rPr>
          <w:rFonts w:ascii="Aptos" w:hAnsi="Aptos"/>
          <w:sz w:val="21"/>
        </w:rPr>
        <w:t>7.  PRESERVED: Final closure review must satisfy the technical, financial-domain, security/privacy, contradictory-evidence, and compensating-assurance standards in this plan. 8.  CONFIRMED: Final gap closure requires completed evidence, express Founder closure disposition, protected integration, authorized status/register update, and required custody.</w:t>
      </w:r>
    </w:p>
    <w:p>
      <w:pPr>
        <w:pStyle w:val="Heading1"/>
        <w:spacing w:before="280" w:after="100"/>
        <w:keepNext/>
        <w:pBdr>
          <w:bottom w:val="single" w:sz="6" w:space="4" w:color="B8CDD8"/>
        </w:pBdr>
      </w:pPr>
      <w:r>
        <w:rPr>
          <w:rFonts w:ascii="Aptos" w:hAnsi="Aptos"/>
          <w:b/>
          <w:color w:val="17324D"/>
          <w:sz w:val="30"/>
        </w:rPr>
        <w:t>Appendix A. Revision Record</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864"/>
            <w:shd w:fill="17324D"/>
            <w:tcMar>
              <w:top w:w="100" w:type="dxa"/>
              <w:start w:w="105" w:type="dxa"/>
              <w:bottom w:w="100" w:type="dxa"/>
              <w:end w:w="105" w:type="dxa"/>
            </w:tcMar>
            <w:vAlign w:val="center"/>
          </w:tcPr>
          <w:p>
            <w:pPr>
              <w:spacing w:after="0"/>
              <w:jc w:val="center"/>
            </w:pPr>
            <w:r>
              <w:rPr>
                <w:rFonts w:ascii="Aptos" w:hAnsi="Aptos"/>
                <w:b/>
                <w:color w:val="FFFFFF"/>
                <w:sz w:val="18"/>
              </w:rPr>
              <w:t>ID</w:t>
            </w:r>
          </w:p>
        </w:tc>
        <w:tc>
          <w:tcPr>
            <w:tcW w:type="dxa" w:w="2736"/>
            <w:shd w:fill="17324D"/>
            <w:tcMar>
              <w:top w:w="100" w:type="dxa"/>
              <w:start w:w="105" w:type="dxa"/>
              <w:bottom w:w="100" w:type="dxa"/>
              <w:end w:w="105" w:type="dxa"/>
            </w:tcMar>
            <w:vAlign w:val="center"/>
          </w:tcPr>
          <w:p>
            <w:pPr>
              <w:spacing w:after="0"/>
              <w:jc w:val="center"/>
            </w:pPr>
            <w:r>
              <w:rPr>
                <w:rFonts w:ascii="Aptos" w:hAnsi="Aptos"/>
                <w:b/>
                <w:color w:val="FFFFFF"/>
                <w:sz w:val="18"/>
              </w:rPr>
              <w:t>V1.0 Weakness</w:t>
            </w:r>
          </w:p>
        </w:tc>
        <w:tc>
          <w:tcPr>
            <w:tcW w:type="dxa" w:w="3240"/>
            <w:shd w:fill="17324D"/>
            <w:tcMar>
              <w:top w:w="100" w:type="dxa"/>
              <w:start w:w="105" w:type="dxa"/>
              <w:bottom w:w="100" w:type="dxa"/>
              <w:end w:w="105" w:type="dxa"/>
            </w:tcMar>
            <w:vAlign w:val="center"/>
          </w:tcPr>
          <w:p>
            <w:pPr>
              <w:spacing w:after="0"/>
              <w:jc w:val="center"/>
            </w:pPr>
            <w:r>
              <w:rPr>
                <w:rFonts w:ascii="Aptos" w:hAnsi="Aptos"/>
                <w:b/>
                <w:color w:val="FFFFFF"/>
                <w:sz w:val="18"/>
              </w:rPr>
              <w:t>V1.1.0 Reform</w:t>
            </w:r>
          </w:p>
        </w:tc>
        <w:tc>
          <w:tcPr>
            <w:tcW w:type="dxa" w:w="2520"/>
            <w:shd w:fill="17324D"/>
            <w:tcMar>
              <w:top w:w="100" w:type="dxa"/>
              <w:start w:w="105" w:type="dxa"/>
              <w:bottom w:w="100" w:type="dxa"/>
              <w:end w:w="105" w:type="dxa"/>
            </w:tcMar>
            <w:vAlign w:val="center"/>
          </w:tcPr>
          <w:p>
            <w:pPr>
              <w:spacing w:after="0"/>
              <w:jc w:val="center"/>
            </w:pPr>
            <w:r>
              <w:rPr>
                <w:rFonts w:ascii="Aptos" w:hAnsi="Aptos"/>
                <w:b/>
                <w:color w:val="FFFFFF"/>
                <w:sz w:val="18"/>
              </w:rPr>
              <w:t>Effect</w:t>
            </w:r>
          </w:p>
        </w:tc>
      </w:tr>
      <w:tr>
        <w:trPr>
          <w:cantSplit/>
        </w:trPr>
        <w:tc>
          <w:tcPr>
            <w:tcW w:type="dxa" w:w="86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R-01</w:t>
            </w:r>
          </w:p>
        </w:tc>
        <w:tc>
          <w:tcPr>
            <w:tcW w:type="dxa" w:w="273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Generic title/no exact gap</w:t>
            </w:r>
          </w:p>
        </w:tc>
        <w:tc>
          <w:tcPr>
            <w:tcW w:type="dxa" w:w="324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Relabeled around CGP006-MAP-GAP-0005</w:t>
            </w:r>
          </w:p>
        </w:tc>
        <w:tc>
          <w:tcPr>
            <w:tcW w:type="dxa" w:w="252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Prevents broad financial-gap closure</w:t>
            </w:r>
          </w:p>
        </w:tc>
      </w:tr>
      <w:tr>
        <w:trPr>
          <w:cantSplit/>
        </w:trPr>
        <w:tc>
          <w:tcPr>
            <w:tcW w:type="dxa" w:w="864"/>
            <w:tcMar>
              <w:top w:w="90" w:type="dxa"/>
              <w:start w:w="105" w:type="dxa"/>
              <w:bottom w:w="90" w:type="dxa"/>
              <w:end w:w="105" w:type="dxa"/>
            </w:tcMar>
            <w:vAlign w:val="center"/>
          </w:tcPr>
          <w:p>
            <w:pPr>
              <w:spacing w:after="0" w:line="240" w:lineRule="auto"/>
              <w:jc w:val="left"/>
            </w:pPr>
            <w:r>
              <w:rPr>
                <w:rFonts w:ascii="Aptos" w:hAnsi="Aptos"/>
                <w:color w:val="1E2A32"/>
                <w:sz w:val="15"/>
              </w:rPr>
              <w:t>R-02</w:t>
            </w:r>
          </w:p>
        </w:tc>
        <w:tc>
          <w:tcPr>
            <w:tcW w:type="dxa" w:w="2736"/>
            <w:tcMar>
              <w:top w:w="90" w:type="dxa"/>
              <w:start w:w="105" w:type="dxa"/>
              <w:bottom w:w="90" w:type="dxa"/>
              <w:end w:w="105" w:type="dxa"/>
            </w:tcMar>
            <w:vAlign w:val="center"/>
          </w:tcPr>
          <w:p>
            <w:pPr>
              <w:spacing w:after="0" w:line="240" w:lineRule="auto"/>
              <w:jc w:val="left"/>
            </w:pPr>
            <w:r>
              <w:rPr>
                <w:rFonts w:ascii="Aptos" w:hAnsi="Aptos"/>
                <w:color w:val="1E2A32"/>
                <w:sz w:val="15"/>
              </w:rPr>
              <w:t>Path outside program</w:t>
            </w:r>
          </w:p>
        </w:tc>
        <w:tc>
          <w:tcPr>
            <w:tcW w:type="dxa" w:w="3240"/>
            <w:tcMar>
              <w:top w:w="90" w:type="dxa"/>
              <w:start w:w="105" w:type="dxa"/>
              <w:bottom w:w="90" w:type="dxa"/>
              <w:end w:w="105" w:type="dxa"/>
            </w:tcMar>
            <w:vAlign w:val="center"/>
          </w:tcPr>
          <w:p>
            <w:pPr>
              <w:spacing w:after="0" w:line="240" w:lineRule="auto"/>
              <w:jc w:val="left"/>
            </w:pPr>
            <w:r>
              <w:rPr>
                <w:rFonts w:ascii="Aptos" w:hAnsi="Aptos"/>
                <w:color w:val="1E2A32"/>
                <w:sz w:val="15"/>
              </w:rPr>
              <w:t>Moved beneath CGP-006 drafting hierarchy</w:t>
            </w:r>
          </w:p>
        </w:tc>
        <w:tc>
          <w:tcPr>
            <w:tcW w:type="dxa" w:w="2520"/>
            <w:tcMar>
              <w:top w:w="90" w:type="dxa"/>
              <w:start w:w="105" w:type="dxa"/>
              <w:bottom w:w="90" w:type="dxa"/>
              <w:end w:w="105" w:type="dxa"/>
            </w:tcMar>
            <w:vAlign w:val="center"/>
          </w:tcPr>
          <w:p>
            <w:pPr>
              <w:spacing w:after="0" w:line="240" w:lineRule="auto"/>
              <w:jc w:val="left"/>
            </w:pPr>
            <w:r>
              <w:rPr>
                <w:rFonts w:ascii="Aptos" w:hAnsi="Aptos"/>
                <w:color w:val="1E2A32"/>
                <w:sz w:val="15"/>
              </w:rPr>
              <w:t>Aligns lineage, validators, status, custody</w:t>
            </w:r>
          </w:p>
        </w:tc>
      </w:tr>
      <w:tr>
        <w:trPr>
          <w:cantSplit/>
        </w:trPr>
        <w:tc>
          <w:tcPr>
            <w:tcW w:type="dxa" w:w="86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R-03</w:t>
            </w:r>
          </w:p>
        </w:tc>
        <w:tc>
          <w:tcPr>
            <w:tcW w:type="dxa" w:w="273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Direct hierarchy omitted</w:t>
            </w:r>
          </w:p>
        </w:tc>
        <w:tc>
          <w:tcPr>
            <w:tcW w:type="dxa" w:w="324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Added gap, IWP, guides, PIA, PR #69/#70</w:t>
            </w:r>
          </w:p>
        </w:tc>
        <w:tc>
          <w:tcPr>
            <w:tcW w:type="dxa" w:w="252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Traceable parent-child relationship</w:t>
            </w:r>
          </w:p>
        </w:tc>
      </w:tr>
      <w:tr>
        <w:trPr>
          <w:cantSplit/>
        </w:trPr>
        <w:tc>
          <w:tcPr>
            <w:tcW w:type="dxa" w:w="864"/>
            <w:tcMar>
              <w:top w:w="90" w:type="dxa"/>
              <w:start w:w="105" w:type="dxa"/>
              <w:bottom w:w="90" w:type="dxa"/>
              <w:end w:w="105" w:type="dxa"/>
            </w:tcMar>
            <w:vAlign w:val="center"/>
          </w:tcPr>
          <w:p>
            <w:pPr>
              <w:spacing w:after="0" w:line="240" w:lineRule="auto"/>
              <w:jc w:val="left"/>
            </w:pPr>
            <w:r>
              <w:rPr>
                <w:rFonts w:ascii="Aptos" w:hAnsi="Aptos"/>
                <w:color w:val="1E2A32"/>
                <w:sz w:val="15"/>
              </w:rPr>
              <w:t>R-04</w:t>
            </w:r>
          </w:p>
        </w:tc>
        <w:tc>
          <w:tcPr>
            <w:tcW w:type="dxa" w:w="2736"/>
            <w:tcMar>
              <w:top w:w="90" w:type="dxa"/>
              <w:start w:w="105" w:type="dxa"/>
              <w:bottom w:w="90" w:type="dxa"/>
              <w:end w:w="105" w:type="dxa"/>
            </w:tcMar>
            <w:vAlign w:val="center"/>
          </w:tcPr>
          <w:p>
            <w:pPr>
              <w:spacing w:after="0" w:line="240" w:lineRule="auto"/>
              <w:jc w:val="left"/>
            </w:pPr>
            <w:r>
              <w:rPr>
                <w:rFonts w:ascii="Aptos" w:hAnsi="Aptos"/>
                <w:color w:val="1E2A32"/>
                <w:sz w:val="15"/>
              </w:rPr>
              <w:t>PIA could appear authoritative</w:t>
            </w:r>
          </w:p>
        </w:tc>
        <w:tc>
          <w:tcPr>
            <w:tcW w:type="dxa" w:w="3240"/>
            <w:tcMar>
              <w:top w:w="90" w:type="dxa"/>
              <w:start w:w="105" w:type="dxa"/>
              <w:bottom w:w="90" w:type="dxa"/>
              <w:end w:w="105" w:type="dxa"/>
            </w:tcMar>
            <w:vAlign w:val="center"/>
          </w:tcPr>
          <w:p>
            <w:pPr>
              <w:spacing w:after="0" w:line="240" w:lineRule="auto"/>
              <w:jc w:val="left"/>
            </w:pPr>
            <w:r>
              <w:rPr>
                <w:rFonts w:ascii="Aptos" w:hAnsi="Aptos"/>
                <w:color w:val="1E2A32"/>
                <w:sz w:val="15"/>
              </w:rPr>
              <w:t>Added documentary-only limitation</w:t>
            </w:r>
          </w:p>
        </w:tc>
        <w:tc>
          <w:tcPr>
            <w:tcW w:type="dxa" w:w="2520"/>
            <w:tcMar>
              <w:top w:w="90" w:type="dxa"/>
              <w:start w:w="105" w:type="dxa"/>
              <w:bottom w:w="90" w:type="dxa"/>
              <w:end w:w="105" w:type="dxa"/>
            </w:tcMar>
            <w:vAlign w:val="center"/>
          </w:tcPr>
          <w:p>
            <w:pPr>
              <w:spacing w:after="0" w:line="240" w:lineRule="auto"/>
              <w:jc w:val="left"/>
            </w:pPr>
            <w:r>
              <w:rPr>
                <w:rFonts w:ascii="Aptos" w:hAnsi="Aptos"/>
                <w:color w:val="1E2A32"/>
                <w:sz w:val="15"/>
              </w:rPr>
              <w:t>Prevents authority inflation</w:t>
            </w:r>
          </w:p>
        </w:tc>
      </w:tr>
      <w:tr>
        <w:trPr>
          <w:cantSplit/>
        </w:trPr>
        <w:tc>
          <w:tcPr>
            <w:tcW w:type="dxa" w:w="86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R-05</w:t>
            </w:r>
          </w:p>
        </w:tc>
        <w:tc>
          <w:tcPr>
            <w:tcW w:type="dxa" w:w="273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Live transaction universally mandatory</w:t>
            </w:r>
          </w:p>
        </w:tc>
        <w:tc>
          <w:tcPr>
            <w:tcW w:type="dxa" w:w="324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Separated technical closure from production readiness</w:t>
            </w:r>
          </w:p>
        </w:tc>
        <w:tc>
          <w:tcPr>
            <w:tcW w:type="dxa" w:w="252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Removes unsupported requirement</w:t>
            </w:r>
          </w:p>
        </w:tc>
      </w:tr>
      <w:tr>
        <w:trPr>
          <w:cantSplit/>
        </w:trPr>
        <w:tc>
          <w:tcPr>
            <w:tcW w:type="dxa" w:w="864"/>
            <w:tcMar>
              <w:top w:w="90" w:type="dxa"/>
              <w:start w:w="105" w:type="dxa"/>
              <w:bottom w:w="90" w:type="dxa"/>
              <w:end w:w="105" w:type="dxa"/>
            </w:tcMar>
            <w:vAlign w:val="center"/>
          </w:tcPr>
          <w:p>
            <w:pPr>
              <w:spacing w:after="0" w:line="240" w:lineRule="auto"/>
              <w:jc w:val="left"/>
            </w:pPr>
            <w:r>
              <w:rPr>
                <w:rFonts w:ascii="Aptos" w:hAnsi="Aptos"/>
                <w:color w:val="1E2A32"/>
                <w:sz w:val="15"/>
              </w:rPr>
              <w:t>R-06</w:t>
            </w:r>
          </w:p>
        </w:tc>
        <w:tc>
          <w:tcPr>
            <w:tcW w:type="dxa" w:w="2736"/>
            <w:tcMar>
              <w:top w:w="90" w:type="dxa"/>
              <w:start w:w="105" w:type="dxa"/>
              <w:bottom w:w="90" w:type="dxa"/>
              <w:end w:w="105" w:type="dxa"/>
            </w:tcMar>
            <w:vAlign w:val="center"/>
          </w:tcPr>
          <w:p>
            <w:pPr>
              <w:spacing w:after="0" w:line="240" w:lineRule="auto"/>
              <w:jc w:val="left"/>
            </w:pPr>
            <w:r>
              <w:rPr>
                <w:rFonts w:ascii="Aptos" w:hAnsi="Aptos"/>
                <w:color w:val="1E2A32"/>
                <w:sz w:val="15"/>
              </w:rPr>
              <w:t>PR #70 subset called closed gap</w:t>
            </w:r>
          </w:p>
        </w:tc>
        <w:tc>
          <w:tcPr>
            <w:tcW w:type="dxa" w:w="3240"/>
            <w:tcMar>
              <w:top w:w="90" w:type="dxa"/>
              <w:start w:w="105" w:type="dxa"/>
              <w:bottom w:w="90" w:type="dxa"/>
              <w:end w:w="105" w:type="dxa"/>
            </w:tcMar>
            <w:vAlign w:val="center"/>
          </w:tcPr>
          <w:p>
            <w:pPr>
              <w:spacing w:after="0" w:line="240" w:lineRule="auto"/>
              <w:jc w:val="left"/>
            </w:pPr>
            <w:r>
              <w:rPr>
                <w:rFonts w:ascii="Aptos" w:hAnsi="Aptos"/>
                <w:color w:val="1E2A32"/>
                <w:sz w:val="15"/>
              </w:rPr>
              <w:t>Uses evidence-subset token; parent remains open</w:t>
            </w:r>
          </w:p>
        </w:tc>
        <w:tc>
          <w:tcPr>
            <w:tcW w:type="dxa" w:w="2520"/>
            <w:tcMar>
              <w:top w:w="90" w:type="dxa"/>
              <w:start w:w="105" w:type="dxa"/>
              <w:bottom w:w="90" w:type="dxa"/>
              <w:end w:w="105" w:type="dxa"/>
            </w:tcMar>
            <w:vAlign w:val="center"/>
          </w:tcPr>
          <w:p>
            <w:pPr>
              <w:spacing w:after="0" w:line="240" w:lineRule="auto"/>
              <w:jc w:val="left"/>
            </w:pPr>
            <w:r>
              <w:rPr>
                <w:rFonts w:ascii="Aptos" w:hAnsi="Aptos"/>
                <w:color w:val="1E2A32"/>
                <w:sz w:val="15"/>
              </w:rPr>
              <w:t>Prevents premature closure</w:t>
            </w:r>
          </w:p>
        </w:tc>
      </w:tr>
      <w:tr>
        <w:trPr>
          <w:cantSplit/>
        </w:trPr>
        <w:tc>
          <w:tcPr>
            <w:tcW w:type="dxa" w:w="86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R-07</w:t>
            </w:r>
          </w:p>
        </w:tc>
        <w:tc>
          <w:tcPr>
            <w:tcW w:type="dxa" w:w="273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Raw evidence language overbroad</w:t>
            </w:r>
          </w:p>
        </w:tc>
        <w:tc>
          <w:tcPr>
            <w:tcW w:type="dxa" w:w="324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Minimum-necessary authenticated evidence</w:t>
            </w:r>
          </w:p>
        </w:tc>
        <w:tc>
          <w:tcPr>
            <w:tcW w:type="dxa" w:w="252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Aligns privacy/security</w:t>
            </w:r>
          </w:p>
        </w:tc>
      </w:tr>
      <w:tr>
        <w:trPr>
          <w:cantSplit/>
        </w:trPr>
        <w:tc>
          <w:tcPr>
            <w:tcW w:type="dxa" w:w="864"/>
            <w:tcMar>
              <w:top w:w="90" w:type="dxa"/>
              <w:start w:w="105" w:type="dxa"/>
              <w:bottom w:w="90" w:type="dxa"/>
              <w:end w:w="105" w:type="dxa"/>
            </w:tcMar>
            <w:vAlign w:val="center"/>
          </w:tcPr>
          <w:p>
            <w:pPr>
              <w:spacing w:after="0" w:line="240" w:lineRule="auto"/>
              <w:jc w:val="left"/>
            </w:pPr>
            <w:r>
              <w:rPr>
                <w:rFonts w:ascii="Aptos" w:hAnsi="Aptos"/>
                <w:color w:val="1E2A32"/>
                <w:sz w:val="15"/>
              </w:rPr>
              <w:t>R-08</w:t>
            </w:r>
          </w:p>
        </w:tc>
        <w:tc>
          <w:tcPr>
            <w:tcW w:type="dxa" w:w="2736"/>
            <w:tcMar>
              <w:top w:w="90" w:type="dxa"/>
              <w:start w:w="105" w:type="dxa"/>
              <w:bottom w:w="90" w:type="dxa"/>
              <w:end w:w="105" w:type="dxa"/>
            </w:tcMar>
            <w:vAlign w:val="center"/>
          </w:tcPr>
          <w:p>
            <w:pPr>
              <w:spacing w:after="0" w:line="240" w:lineRule="auto"/>
              <w:jc w:val="left"/>
            </w:pPr>
            <w:r>
              <w:rPr>
                <w:rFonts w:ascii="Aptos" w:hAnsi="Aptos"/>
                <w:color w:val="1E2A32"/>
                <w:sz w:val="15"/>
              </w:rPr>
              <w:t>No stale/divergent branch treatment</w:t>
            </w:r>
          </w:p>
        </w:tc>
        <w:tc>
          <w:tcPr>
            <w:tcW w:type="dxa" w:w="3240"/>
            <w:tcMar>
              <w:top w:w="90" w:type="dxa"/>
              <w:start w:w="105" w:type="dxa"/>
              <w:bottom w:w="90" w:type="dxa"/>
              <w:end w:w="105" w:type="dxa"/>
            </w:tcMar>
            <w:vAlign w:val="center"/>
          </w:tcPr>
          <w:p>
            <w:pPr>
              <w:spacing w:after="0" w:line="240" w:lineRule="auto"/>
              <w:jc w:val="left"/>
            </w:pPr>
            <w:r>
              <w:rPr>
                <w:rFonts w:ascii="Aptos" w:hAnsi="Aptos"/>
                <w:color w:val="1E2A32"/>
                <w:sz w:val="15"/>
              </w:rPr>
              <w:t>Requires PR #69/#70 refresh/reconciliation</w:t>
            </w:r>
          </w:p>
        </w:tc>
        <w:tc>
          <w:tcPr>
            <w:tcW w:type="dxa" w:w="2520"/>
            <w:tcMar>
              <w:top w:w="90" w:type="dxa"/>
              <w:start w:w="105" w:type="dxa"/>
              <w:bottom w:w="90" w:type="dxa"/>
              <w:end w:w="105" w:type="dxa"/>
            </w:tcMar>
            <w:vAlign w:val="center"/>
          </w:tcPr>
          <w:p>
            <w:pPr>
              <w:spacing w:after="0" w:line="240" w:lineRule="auto"/>
              <w:jc w:val="left"/>
            </w:pPr>
            <w:r>
              <w:rPr>
                <w:rFonts w:ascii="Aptos" w:hAnsi="Aptos"/>
                <w:color w:val="1E2A32"/>
                <w:sz w:val="15"/>
              </w:rPr>
              <w:t>Protects custody integrity</w:t>
            </w:r>
          </w:p>
        </w:tc>
      </w:tr>
      <w:tr>
        <w:trPr>
          <w:cantSplit/>
        </w:trPr>
        <w:tc>
          <w:tcPr>
            <w:tcW w:type="dxa" w:w="86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R-09</w:t>
            </w:r>
          </w:p>
        </w:tc>
        <w:tc>
          <w:tcPr>
            <w:tcW w:type="dxa" w:w="273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No FIN-001..018 posture</w:t>
            </w:r>
          </w:p>
        </w:tc>
        <w:tc>
          <w:tcPr>
            <w:tcW w:type="dxa" w:w="324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Added control matrix</w:t>
            </w:r>
          </w:p>
        </w:tc>
        <w:tc>
          <w:tcPr>
            <w:tcW w:type="dxa" w:w="252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Testable closure review</w:t>
            </w:r>
          </w:p>
        </w:tc>
      </w:tr>
      <w:tr>
        <w:trPr>
          <w:cantSplit/>
        </w:trPr>
        <w:tc>
          <w:tcPr>
            <w:tcW w:type="dxa" w:w="864"/>
            <w:tcMar>
              <w:top w:w="90" w:type="dxa"/>
              <w:start w:w="105" w:type="dxa"/>
              <w:bottom w:w="90" w:type="dxa"/>
              <w:end w:w="105" w:type="dxa"/>
            </w:tcMar>
            <w:vAlign w:val="center"/>
          </w:tcPr>
          <w:p>
            <w:pPr>
              <w:spacing w:after="0" w:line="240" w:lineRule="auto"/>
              <w:jc w:val="left"/>
            </w:pPr>
            <w:r>
              <w:rPr>
                <w:rFonts w:ascii="Aptos" w:hAnsi="Aptos"/>
                <w:color w:val="1E2A32"/>
                <w:sz w:val="15"/>
              </w:rPr>
              <w:t>R-10</w:t>
            </w:r>
          </w:p>
        </w:tc>
        <w:tc>
          <w:tcPr>
            <w:tcW w:type="dxa" w:w="2736"/>
            <w:tcMar>
              <w:top w:w="90" w:type="dxa"/>
              <w:start w:w="105" w:type="dxa"/>
              <w:bottom w:w="90" w:type="dxa"/>
              <w:end w:w="105" w:type="dxa"/>
            </w:tcMar>
            <w:vAlign w:val="center"/>
          </w:tcPr>
          <w:p>
            <w:pPr>
              <w:spacing w:after="0" w:line="240" w:lineRule="auto"/>
              <w:jc w:val="left"/>
            </w:pPr>
            <w:r>
              <w:rPr>
                <w:rFonts w:ascii="Aptos" w:hAnsi="Aptos"/>
                <w:color w:val="1E2A32"/>
                <w:sz w:val="15"/>
              </w:rPr>
              <w:t>No contradictory evidence/review rule</w:t>
            </w:r>
          </w:p>
        </w:tc>
        <w:tc>
          <w:tcPr>
            <w:tcW w:type="dxa" w:w="3240"/>
            <w:tcMar>
              <w:top w:w="90" w:type="dxa"/>
              <w:start w:w="105" w:type="dxa"/>
              <w:bottom w:w="90" w:type="dxa"/>
              <w:end w:w="105" w:type="dxa"/>
            </w:tcMar>
            <w:vAlign w:val="center"/>
          </w:tcPr>
          <w:p>
            <w:pPr>
              <w:spacing w:after="0" w:line="240" w:lineRule="auto"/>
              <w:jc w:val="left"/>
            </w:pPr>
            <w:r>
              <w:rPr>
                <w:rFonts w:ascii="Aptos" w:hAnsi="Aptos"/>
                <w:color w:val="1E2A32"/>
                <w:sz w:val="15"/>
              </w:rPr>
              <w:t>Added review integrity and solo-Founder limits</w:t>
            </w:r>
          </w:p>
        </w:tc>
        <w:tc>
          <w:tcPr>
            <w:tcW w:type="dxa" w:w="2520"/>
            <w:tcMar>
              <w:top w:w="90" w:type="dxa"/>
              <w:start w:w="105" w:type="dxa"/>
              <w:bottom w:w="90" w:type="dxa"/>
              <w:end w:w="105" w:type="dxa"/>
            </w:tcMar>
            <w:vAlign w:val="center"/>
          </w:tcPr>
          <w:p>
            <w:pPr>
              <w:spacing w:after="0" w:line="240" w:lineRule="auto"/>
              <w:jc w:val="left"/>
            </w:pPr>
            <w:r>
              <w:rPr>
                <w:rFonts w:ascii="Aptos" w:hAnsi="Aptos"/>
                <w:color w:val="1E2A32"/>
                <w:sz w:val="15"/>
              </w:rPr>
              <w:t>Resists circular assurance</w:t>
            </w:r>
          </w:p>
        </w:tc>
      </w:tr>
      <w:tr>
        <w:trPr>
          <w:cantSplit/>
        </w:trPr>
        <w:tc>
          <w:tcPr>
            <w:tcW w:type="dxa" w:w="864"/>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R-11</w:t>
            </w:r>
          </w:p>
        </w:tc>
        <w:tc>
          <w:tcPr>
            <w:tcW w:type="dxa" w:w="2736"/>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No revalidation triggers</w:t>
            </w:r>
          </w:p>
        </w:tc>
        <w:tc>
          <w:tcPr>
            <w:tcW w:type="dxa" w:w="324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Added material-change invalidation</w:t>
            </w:r>
          </w:p>
        </w:tc>
        <w:tc>
          <w:tcPr>
            <w:tcW w:type="dxa" w:w="2520"/>
            <w:tcMar>
              <w:top w:w="90" w:type="dxa"/>
              <w:start w:w="105" w:type="dxa"/>
              <w:bottom w:w="90" w:type="dxa"/>
              <w:end w:w="105" w:type="dxa"/>
            </w:tcMar>
            <w:vAlign w:val="center"/>
            <w:shd w:fill="FAFBFC"/>
          </w:tcPr>
          <w:p>
            <w:pPr>
              <w:spacing w:after="0" w:line="240" w:lineRule="auto"/>
              <w:jc w:val="left"/>
            </w:pPr>
            <w:r>
              <w:rPr>
                <w:rFonts w:ascii="Aptos" w:hAnsi="Aptos"/>
                <w:color w:val="1E2A32"/>
                <w:sz w:val="15"/>
              </w:rPr>
              <w:t>Prevents stale proof</w:t>
            </w:r>
          </w:p>
        </w:tc>
      </w:tr>
      <w:tr>
        <w:trPr>
          <w:cantSplit/>
        </w:trPr>
        <w:tc>
          <w:tcPr>
            <w:tcW w:type="dxa" w:w="864"/>
            <w:tcMar>
              <w:top w:w="90" w:type="dxa"/>
              <w:start w:w="105" w:type="dxa"/>
              <w:bottom w:w="90" w:type="dxa"/>
              <w:end w:w="105" w:type="dxa"/>
            </w:tcMar>
            <w:vAlign w:val="center"/>
          </w:tcPr>
          <w:p>
            <w:pPr>
              <w:spacing w:after="0" w:line="240" w:lineRule="auto"/>
              <w:jc w:val="left"/>
            </w:pPr>
            <w:r>
              <w:rPr>
                <w:rFonts w:ascii="Aptos" w:hAnsi="Aptos"/>
                <w:color w:val="1E2A32"/>
                <w:sz w:val="15"/>
              </w:rPr>
              <w:t>R-12</w:t>
            </w:r>
          </w:p>
        </w:tc>
        <w:tc>
          <w:tcPr>
            <w:tcW w:type="dxa" w:w="2736"/>
            <w:tcMar>
              <w:top w:w="90" w:type="dxa"/>
              <w:start w:w="105" w:type="dxa"/>
              <w:bottom w:w="90" w:type="dxa"/>
              <w:end w:w="105" w:type="dxa"/>
            </w:tcMar>
            <w:vAlign w:val="center"/>
          </w:tcPr>
          <w:p>
            <w:pPr>
              <w:spacing w:after="0" w:line="240" w:lineRule="auto"/>
              <w:jc w:val="left"/>
            </w:pPr>
            <w:r>
              <w:rPr>
                <w:rFonts w:ascii="Aptos" w:hAnsi="Aptos"/>
                <w:color w:val="1E2A32"/>
                <w:sz w:val="15"/>
              </w:rPr>
              <w:t>Broad unsourced closure token</w:t>
            </w:r>
          </w:p>
        </w:tc>
        <w:tc>
          <w:tcPr>
            <w:tcW w:type="dxa" w:w="3240"/>
            <w:tcMar>
              <w:top w:w="90" w:type="dxa"/>
              <w:start w:w="105" w:type="dxa"/>
              <w:bottom w:w="90" w:type="dxa"/>
              <w:end w:w="105" w:type="dxa"/>
            </w:tcMar>
            <w:vAlign w:val="center"/>
          </w:tcPr>
          <w:p>
            <w:pPr>
              <w:spacing w:after="0" w:line="240" w:lineRule="auto"/>
              <w:jc w:val="left"/>
            </w:pPr>
            <w:r>
              <w:rPr>
                <w:rFonts w:ascii="Aptos" w:hAnsi="Aptos"/>
                <w:color w:val="1E2A32"/>
                <w:sz w:val="15"/>
              </w:rPr>
              <w:t>Exact gap-bound Founder token</w:t>
            </w:r>
          </w:p>
        </w:tc>
        <w:tc>
          <w:tcPr>
            <w:tcW w:type="dxa" w:w="2520"/>
            <w:tcMar>
              <w:top w:w="90" w:type="dxa"/>
              <w:start w:w="105" w:type="dxa"/>
              <w:bottom w:w="90" w:type="dxa"/>
              <w:end w:w="105" w:type="dxa"/>
            </w:tcMar>
            <w:vAlign w:val="center"/>
          </w:tcPr>
          <w:p>
            <w:pPr>
              <w:spacing w:after="0" w:line="240" w:lineRule="auto"/>
              <w:jc w:val="left"/>
            </w:pPr>
            <w:r>
              <w:rPr>
                <w:rFonts w:ascii="Aptos" w:hAnsi="Aptos"/>
                <w:color w:val="1E2A32"/>
                <w:sz w:val="15"/>
              </w:rPr>
              <w:t>Limits legal/operational meaning</w:t>
            </w:r>
          </w:p>
        </w:tc>
      </w:tr>
      <w:tr>
        <w:tc>
          <w:tcPr>
            <w:tcW w:type="dxa" w:w="2498"/>
            <w:vAlign w:val="center"/>
            <w:tcMar>
              <w:top w:w="80" w:type="dxa"/>
              <w:start w:w="110" w:type="dxa"/>
              <w:bottom w:w="80" w:type="dxa"/>
              <w:end w:w="110" w:type="dxa"/>
            </w:tcMar>
          </w:tcPr>
          <w:p>
            <w:r>
              <w:rPr>
                <w:rFonts w:ascii="Aptos" w:hAnsi="Aptos"/>
                <w:sz w:val="15"/>
              </w:rPr>
              <w:t>R-13</w:t>
            </w:r>
          </w:p>
        </w:tc>
        <w:tc>
          <w:tcPr>
            <w:tcW w:type="dxa" w:w="2498"/>
            <w:vAlign w:val="center"/>
            <w:tcMar>
              <w:top w:w="80" w:type="dxa"/>
              <w:start w:w="110" w:type="dxa"/>
              <w:bottom w:w="80" w:type="dxa"/>
              <w:end w:w="110" w:type="dxa"/>
            </w:tcMar>
          </w:tcPr>
          <w:p>
            <w:r>
              <w:rPr>
                <w:rFonts w:ascii="Aptos" w:hAnsi="Aptos"/>
                <w:sz w:val="15"/>
              </w:rPr>
              <w:t>Plan remained a review candidate</w:t>
            </w:r>
          </w:p>
        </w:tc>
        <w:tc>
          <w:tcPr>
            <w:tcW w:type="dxa" w:w="2498"/>
            <w:vAlign w:val="center"/>
            <w:tcMar>
              <w:top w:w="80" w:type="dxa"/>
              <w:start w:w="110" w:type="dxa"/>
              <w:bottom w:w="80" w:type="dxa"/>
              <w:end w:w="110" w:type="dxa"/>
            </w:tcMar>
          </w:tcPr>
          <w:p>
            <w:r>
              <w:rPr>
                <w:rFonts w:ascii="Aptos" w:hAnsi="Aptos"/>
                <w:sz w:val="15"/>
              </w:rPr>
              <w:t>Recorded exact Founder approval while preserving separate accession, execution, evidence, and closure gates</w:t>
            </w:r>
          </w:p>
        </w:tc>
        <w:tc>
          <w:tcPr>
            <w:tcW w:type="dxa" w:w="2498"/>
            <w:vAlign w:val="center"/>
            <w:tcMar>
              <w:top w:w="80" w:type="dxa"/>
              <w:start w:w="110" w:type="dxa"/>
              <w:bottom w:w="80" w:type="dxa"/>
              <w:end w:w="110" w:type="dxa"/>
            </w:tcMar>
          </w:tcPr>
          <w:p>
            <w:r>
              <w:rPr>
                <w:rFonts w:ascii="Aptos" w:hAnsi="Aptos"/>
                <w:sz w:val="15"/>
              </w:rPr>
              <w:t>Creates documentary approval without authority inflation</w:t>
            </w:r>
          </w:p>
        </w:tc>
      </w:tr>
    </w:tbl>
    <w:p>
      <w:pPr>
        <w:spacing w:after="20"/>
      </w:pPr>
    </w:p>
    <w:p>
      <w:pPr>
        <w:pStyle w:val="Heading1"/>
        <w:spacing w:before="280" w:after="100"/>
        <w:keepNext/>
        <w:pBdr>
          <w:bottom w:val="single" w:sz="6" w:space="4" w:color="B8CDD8"/>
        </w:pBdr>
      </w:pPr>
      <w:r>
        <w:rPr>
          <w:rFonts w:ascii="Aptos" w:hAnsi="Aptos"/>
          <w:b/>
          <w:color w:val="17324D"/>
          <w:sz w:val="30"/>
        </w:rPr>
        <w:t>Appendix B. Proposed Repository Package Structure</w:t>
      </w:r>
    </w:p>
    <w:tbl>
      <w:tblPr>
        <w:tblW w:type="auto" w:w="0"/>
        <w:jc w:val="center"/>
        <w:tblLook w:firstColumn="1" w:firstRow="1" w:lastColumn="0" w:lastRow="0" w:noHBand="0" w:noVBand="1" w:val="04A0"/>
      </w:tblPr>
      <w:tblGrid>
        <w:gridCol w:w="9994"/>
      </w:tblGrid>
      <w:tr>
        <w:tc>
          <w:tcPr>
            <w:tcW w:type="dxa" w:w="9994"/>
            <w:shd w:fill="F2F4F6"/>
            <w:tcMar>
              <w:top w:w="110" w:type="dxa"/>
              <w:start w:w="130" w:type="dxa"/>
              <w:bottom w:w="110" w:type="dxa"/>
              <w:end w:w="130" w:type="dxa"/>
            </w:tcMar>
          </w:tcPr>
          <w:p>
            <w:pPr>
              <w:spacing w:after="0"/>
            </w:pPr>
            <w:r>
              <w:rPr>
                <w:rFonts w:ascii="Courier New" w:hAnsi="Courier New"/>
                <w:color w:val="1E2A32"/>
                <w:sz w:val="12"/>
              </w:rPr>
              <w:t>governance/implementation/code-guides/drafting/CGP-006/SAAS_SUBSCRIPTION_FINANCIAL_PROVIDER_RUNTIME_EVIDENCE_GAP_CLOSURE_CRITERIA_AND_ASSURANCE_PLAN_V1_1/</w:t>
            </w:r>
            <w:r>
              <w:br/>
            </w:r>
            <w:r>
              <w:rPr>
                <w:rFonts w:ascii="Courier New" w:hAnsi="Courier New"/>
                <w:color w:val="1E2A32"/>
                <w:sz w:val="12"/>
              </w:rPr>
              <w:t>├── README.md</w:t>
            </w:r>
            <w:r>
              <w:br/>
            </w:r>
            <w:r>
              <w:rPr>
                <w:rFonts w:ascii="Courier New" w:hAnsi="Courier New"/>
                <w:color w:val="1E2A32"/>
                <w:sz w:val="12"/>
              </w:rPr>
              <w:t>├── CGP006_MAP_GAP_0005_CLOSURE_CRITERIA_AND_ASSURANCE_PLAN_V1_1_0.md</w:t>
            </w:r>
            <w:r>
              <w:br/>
            </w:r>
            <w:r>
              <w:rPr>
                <w:rFonts w:ascii="Courier New" w:hAnsi="Courier New"/>
                <w:color w:val="1E2A32"/>
                <w:sz w:val="12"/>
              </w:rPr>
              <w:t>├── SOURCE_REGISTER.md</w:t>
            </w:r>
            <w:r>
              <w:br/>
            </w:r>
            <w:r>
              <w:rPr>
                <w:rFonts w:ascii="Courier New" w:hAnsi="Courier New"/>
                <w:color w:val="1E2A32"/>
                <w:sz w:val="12"/>
              </w:rPr>
              <w:t>├── AUTHORITY_AND_SCOPE_MATRIX.csv</w:t>
            </w:r>
            <w:r>
              <w:br/>
            </w:r>
            <w:r>
              <w:rPr>
                <w:rFonts w:ascii="Courier New" w:hAnsi="Courier New"/>
                <w:color w:val="1E2A32"/>
                <w:sz w:val="12"/>
              </w:rPr>
              <w:t>├── CURRENT_EVIDENCE_POSTURE.csv</w:t>
            </w:r>
            <w:r>
              <w:br/>
            </w:r>
            <w:r>
              <w:rPr>
                <w:rFonts w:ascii="Courier New" w:hAnsi="Courier New"/>
                <w:color w:val="1E2A32"/>
                <w:sz w:val="12"/>
              </w:rPr>
              <w:t>├── REQUIREMENT_TRACEABILITY_MATRIX.csv</w:t>
            </w:r>
            <w:r>
              <w:br/>
            </w:r>
            <w:r>
              <w:rPr>
                <w:rFonts w:ascii="Courier New" w:hAnsi="Courier New"/>
                <w:color w:val="1E2A32"/>
                <w:sz w:val="12"/>
              </w:rPr>
              <w:t>├── PROVIDER_TEST_SCENARIO_MATRIX.csv</w:t>
            </w:r>
            <w:r>
              <w:br/>
            </w:r>
            <w:r>
              <w:rPr>
                <w:rFonts w:ascii="Courier New" w:hAnsi="Courier New"/>
                <w:color w:val="1E2A32"/>
                <w:sz w:val="12"/>
              </w:rPr>
              <w:t>├── WEBHOOK_AND_EVENT_CUSTODY_REPORT.md</w:t>
            </w:r>
            <w:r>
              <w:br/>
            </w:r>
            <w:r>
              <w:rPr>
                <w:rFonts w:ascii="Courier New" w:hAnsi="Courier New"/>
                <w:color w:val="1E2A32"/>
                <w:sz w:val="12"/>
              </w:rPr>
              <w:t>├── SUBSCRIPTION_LIFECYCLE_ASSURANCE_REPORT.md</w:t>
            </w:r>
            <w:r>
              <w:br/>
            </w:r>
            <w:r>
              <w:rPr>
                <w:rFonts w:ascii="Courier New" w:hAnsi="Courier New"/>
                <w:color w:val="1E2A32"/>
                <w:sz w:val="12"/>
              </w:rPr>
              <w:t>├── RECONCILIATION_AND_CONTROL_TOTAL_REPORT.md</w:t>
            </w:r>
            <w:r>
              <w:br/>
            </w:r>
            <w:r>
              <w:rPr>
                <w:rFonts w:ascii="Courier New" w:hAnsi="Courier New"/>
                <w:color w:val="1E2A32"/>
                <w:sz w:val="12"/>
              </w:rPr>
              <w:t>├── TAX_CALCULATION_BOUNDARY_REPORT.md</w:t>
            </w:r>
            <w:r>
              <w:br/>
            </w:r>
            <w:r>
              <w:rPr>
                <w:rFonts w:ascii="Courier New" w:hAnsi="Courier New"/>
                <w:color w:val="1E2A32"/>
                <w:sz w:val="12"/>
              </w:rPr>
              <w:t>├── SECRET_AND_DATA_HYGIENE_REPORT.md</w:t>
            </w:r>
            <w:r>
              <w:br/>
            </w:r>
            <w:r>
              <w:rPr>
                <w:rFonts w:ascii="Courier New" w:hAnsi="Courier New"/>
                <w:color w:val="1E2A32"/>
                <w:sz w:val="12"/>
              </w:rPr>
              <w:t>├── RESIDUAL_RISK_AND_CONTRADICTORY_EVIDENCE_REGISTER.csv</w:t>
            </w:r>
            <w:r>
              <w:br/>
            </w:r>
            <w:r>
              <w:rPr>
                <w:rFonts w:ascii="Courier New" w:hAnsi="Courier New"/>
                <w:color w:val="1E2A32"/>
                <w:sz w:val="12"/>
              </w:rPr>
              <w:t>├── FOUNDER_CLOSURE_DISPOSITION.md</w:t>
            </w:r>
            <w:r>
              <w:br/>
            </w:r>
            <w:r>
              <w:rPr>
                <w:rFonts w:ascii="Courier New" w:hAnsi="Courier New"/>
                <w:color w:val="1E2A32"/>
                <w:sz w:val="12"/>
              </w:rPr>
              <w:t>├── PACKAGE_MANIFEST.json</w:t>
            </w:r>
            <w:r>
              <w:br/>
            </w:r>
            <w:r>
              <w:rPr>
                <w:rFonts w:ascii="Courier New" w:hAnsi="Courier New"/>
                <w:color w:val="1E2A32"/>
                <w:sz w:val="12"/>
              </w:rPr>
              <w:t>├── CHECKSUM_MANIFEST.sha256</w:t>
            </w:r>
            <w:r>
              <w:br/>
            </w:r>
            <w:r>
              <w:rPr>
                <w:rFonts w:ascii="Courier New" w:hAnsi="Courier New"/>
                <w:color w:val="1E2A32"/>
                <w:sz w:val="12"/>
              </w:rPr>
              <w:t>├── validators/</w:t>
            </w:r>
            <w:r>
              <w:br/>
            </w:r>
            <w:r>
              <w:rPr>
                <w:rFonts w:ascii="Courier New" w:hAnsi="Courier New"/>
                <w:color w:val="1E2A32"/>
                <w:sz w:val="12"/>
              </w:rPr>
              <w:t>└── tests/</w:t>
            </w:r>
          </w:p>
        </w:tc>
      </w:tr>
    </w:tbl>
    <w:p>
      <w:pPr>
        <w:spacing w:after="20"/>
      </w:pPr>
    </w:p>
    <w:p>
      <w:pPr>
        <w:spacing w:before="0" w:after="40" w:line="259" w:lineRule="auto"/>
      </w:pPr>
      <w:r>
        <w:rPr>
          <w:rFonts w:ascii="Aptos" w:hAnsi="Aptos"/>
          <w:i w:val="0"/>
          <w:color w:val="1E2A32"/>
          <w:sz w:val="21"/>
        </w:rPr>
        <w:t>Store the post-merge custody receipt in the established Code Guide receipt path or the path selected by Founder directive.</w:t>
      </w:r>
    </w:p>
    <w:p>
      <w:pPr>
        <w:pStyle w:val="Heading1"/>
        <w:spacing w:before="280" w:after="100"/>
        <w:keepNext/>
        <w:pBdr>
          <w:bottom w:val="single" w:sz="6" w:space="4" w:color="B8CDD8"/>
        </w:pBdr>
      </w:pPr>
      <w:r>
        <w:rPr>
          <w:rFonts w:ascii="Aptos" w:hAnsi="Aptos"/>
          <w:b/>
          <w:color w:val="17324D"/>
          <w:sz w:val="30"/>
        </w:rPr>
        <w:t>Appendix C. Terminal Boundary Statements</w:t>
      </w:r>
    </w:p>
    <w:tbl>
      <w:tblPr>
        <w:tblW w:type="auto" w:w="0"/>
        <w:jc w:val="center"/>
        <w:tblLook w:firstColumn="1" w:firstRow="1" w:lastColumn="0" w:lastRow="0" w:noHBand="0" w:noVBand="1" w:val="04A0"/>
      </w:tblPr>
      <w:tblGrid>
        <w:gridCol w:w="9994"/>
      </w:tblGrid>
      <w:tr>
        <w:tc>
          <w:tcPr>
            <w:tcW w:type="dxa" w:w="9994"/>
            <w:shd w:fill="F2F4F6"/>
            <w:tcMar>
              <w:top w:w="110" w:type="dxa"/>
              <w:start w:w="130" w:type="dxa"/>
              <w:bottom w:w="110" w:type="dxa"/>
              <w:end w:w="130" w:type="dxa"/>
            </w:tcMar>
          </w:tcPr>
          <w:p>
            <w:r>
              <w:rPr>
                <w:rFonts w:ascii="Aptos Mono" w:hAnsi="Aptos Mono"/>
                <w:sz w:val="16"/>
              </w:rPr>
              <w:t>FOUNDER_APPROVED_PENDING_PROTECTED_REPOSITORY_ACCESSION_AND_CUSTODY_NO_GAP_CLOSURE_EFFECT</w:t>
              <w:br/>
              <w:t>CGP006_MAP_GAP_0005_REMAINS_OPEN</w:t>
              <w:br/>
              <w:t>PR_69_EVIDENCE_CANDIDATE_NOT_PROTECTEDLY_ACCESSIONED</w:t>
              <w:br/>
              <w:t>PR_70_EVIDENCE_CANDIDATE_NOT_PROTECTEDLY_ACCESSIONED</w:t>
              <w:br/>
              <w:t>IMPLEMENTATION_AUTHORITY_NOT_CREATED_BY_THIS_PLAN</w:t>
              <w:br/>
              <w:t>PROVIDER_ACTIVATION_AUTHORITY_NOT_CREATED_BY_THIS_PLAN</w:t>
              <w:br/>
              <w:t>LIVE_PAYMENT_AUTHORITY_NOT_CREATED_BY_THIS_PLAN</w:t>
              <w:br/>
              <w:t>PRODUCTION_FINANCIAL_READINESS_NOT_ESTABLISHED</w:t>
              <w:br/>
              <w:t>NO_CUSTOMER_FUNDS_MOVEMENT_AUTHORIZED</w:t>
              <w:br/>
              <w:t>NO_DEPLOYMENT_PILOT_PRODUCTION_OR_PUBLIC_LAUNCH_AUTHORITY_CREATED</w:t>
              <w:br/>
              <w:t>UNRELATED_GAPS_AND_FINANCIAL_PROGRAMS_REMAIN_UNCHANGED</w:t>
            </w:r>
          </w:p>
        </w:tc>
      </w:tr>
    </w:tbl>
    <w:p>
      <w:pPr>
        <w:spacing w:after="20"/>
      </w:pPr>
    </w:p>
    <w:p>
      <w:pPr>
        <w:pStyle w:val="Heading1"/>
        <w:spacing w:before="280" w:after="100"/>
        <w:keepNext/>
        <w:pBdr>
          <w:bottom w:val="single" w:sz="6" w:space="4" w:color="B8CDD8"/>
        </w:pBdr>
      </w:pPr>
      <w:r>
        <w:rPr>
          <w:rFonts w:ascii="Aptos" w:hAnsi="Aptos"/>
          <w:b/>
          <w:color w:val="17324D"/>
          <w:sz w:val="30"/>
        </w:rPr>
        <w:t>Appendix D. Repository Sources Reviewed for V1.1.0</w:t>
      </w:r>
    </w:p>
    <w:p>
      <w:pPr>
        <w:pStyle w:val="ListBullet"/>
        <w:spacing w:after="50" w:line="252" w:lineRule="auto"/>
        <w:ind w:left="317" w:hanging="216"/>
      </w:pPr>
      <w:r>
        <w:rPr>
          <w:rFonts w:ascii="Aptos" w:hAnsi="Aptos"/>
          <w:color w:val="1E2A32"/>
          <w:sz w:val="20"/>
        </w:rPr>
        <w:t>docs/canon/CANON_INDEX.md</w:t>
      </w:r>
    </w:p>
    <w:p>
      <w:pPr>
        <w:pStyle w:val="ListBullet"/>
        <w:spacing w:after="50" w:line="252" w:lineRule="auto"/>
        <w:ind w:left="317" w:hanging="216"/>
      </w:pPr>
      <w:r>
        <w:rPr>
          <w:rFonts w:ascii="Aptos" w:hAnsi="Aptos"/>
          <w:color w:val="1E2A32"/>
          <w:sz w:val="20"/>
        </w:rPr>
        <w:t>docs/canon/companions/EQUINESYNC_CONSTITUTIONAL_AUTHORITY_MATRIX_V1_2.md</w:t>
      </w:r>
    </w:p>
    <w:p>
      <w:pPr>
        <w:pStyle w:val="ListBullet"/>
        <w:spacing w:after="50" w:line="252" w:lineRule="auto"/>
        <w:ind w:left="317" w:hanging="216"/>
      </w:pPr>
      <w:r>
        <w:rPr>
          <w:rFonts w:ascii="Aptos" w:hAnsi="Aptos"/>
          <w:color w:val="1E2A32"/>
          <w:sz w:val="20"/>
        </w:rPr>
        <w:t>docs/canon/MASTER_FINANCIAL_TRUTH_AND_RESPONSIBILITY_MODEL_V2_1.md</w:t>
      </w:r>
    </w:p>
    <w:p>
      <w:pPr>
        <w:pStyle w:val="ListBullet"/>
        <w:spacing w:after="50" w:line="252" w:lineRule="auto"/>
        <w:ind w:left="317" w:hanging="216"/>
      </w:pPr>
      <w:r>
        <w:rPr>
          <w:rFonts w:ascii="Aptos" w:hAnsi="Aptos"/>
          <w:color w:val="1E2A32"/>
          <w:sz w:val="20"/>
        </w:rPr>
        <w:t>docs/canon/MASTER_EXTERNAL_ARCHITECTURE_AND_ADAPTER_MODEL_V2_0.md</w:t>
      </w:r>
    </w:p>
    <w:p>
      <w:pPr>
        <w:pStyle w:val="ListBullet"/>
        <w:spacing w:after="50" w:line="252" w:lineRule="auto"/>
        <w:ind w:left="317" w:hanging="216"/>
      </w:pPr>
      <w:r>
        <w:rPr>
          <w:rFonts w:ascii="Aptos" w:hAnsi="Aptos"/>
          <w:color w:val="1E2A32"/>
          <w:sz w:val="20"/>
        </w:rPr>
        <w:t>governance/pia/items/09_billing_payments_financial_operations/founder_disposition/ITEM_09_BPF_FOUNDER_DISPOSITION_RECORD_EXECUTED.md</w:t>
      </w:r>
    </w:p>
    <w:p>
      <w:pPr>
        <w:pStyle w:val="ListBullet"/>
        <w:spacing w:after="50" w:line="252" w:lineRule="auto"/>
        <w:ind w:left="317" w:hanging="216"/>
      </w:pPr>
      <w:r>
        <w:rPr>
          <w:rFonts w:ascii="Aptos" w:hAnsi="Aptos"/>
          <w:color w:val="1E2A32"/>
          <w:sz w:val="20"/>
        </w:rPr>
        <w:t>governance/implementation/code-guides/PROGRAM_STATUS.md</w:t>
      </w:r>
    </w:p>
    <w:p>
      <w:pPr>
        <w:pStyle w:val="ListBullet"/>
        <w:spacing w:after="50" w:line="252" w:lineRule="auto"/>
        <w:ind w:left="317" w:hanging="216"/>
      </w:pPr>
      <w:r>
        <w:rPr>
          <w:rFonts w:ascii="Aptos" w:hAnsi="Aptos"/>
          <w:color w:val="1E2A32"/>
          <w:sz w:val="20"/>
        </w:rPr>
        <w:t>governance/implementation/code-guides/drafting/CGP-006/REPOSITORY_SPECIFIC_IMPLEMENTATION_MAPPING_AND_CURRENT_STATE_GAP_AUDIT_V1/CURRENT_STATE_GAP_REGISTER.csv</w:t>
      </w:r>
    </w:p>
    <w:p>
      <w:pPr>
        <w:pStyle w:val="ListBullet"/>
        <w:spacing w:after="50" w:line="252" w:lineRule="auto"/>
        <w:ind w:left="317" w:hanging="216"/>
      </w:pPr>
      <w:r>
        <w:rPr>
          <w:rFonts w:ascii="Aptos" w:hAnsi="Aptos"/>
          <w:color w:val="1E2A32"/>
          <w:sz w:val="20"/>
        </w:rPr>
        <w:t>governance/implementation/code-guides/drafting/CGP-006/REPOSITORY_SPECIFIC_IMPLEMENTATION_MAPPING_AND_CURRENT_STATE_GAP_AUDIT_V1/IMPLEMENTATION_WORK_PACKAGE_CANDIDATE_BACKLOG.csv</w:t>
      </w:r>
    </w:p>
    <w:p>
      <w:pPr>
        <w:pStyle w:val="ListBullet"/>
        <w:spacing w:after="50" w:line="252" w:lineRule="auto"/>
        <w:ind w:left="317" w:hanging="216"/>
      </w:pPr>
      <w:r>
        <w:rPr>
          <w:rFonts w:ascii="Aptos" w:hAnsi="Aptos"/>
          <w:color w:val="1E2A32"/>
          <w:sz w:val="20"/>
        </w:rPr>
        <w:t>PR #69: STRIPE_FINANCIAL_PROVIDER_RUNTIME_EVIDENCE_V1 package</w:t>
      </w:r>
    </w:p>
    <w:p>
      <w:pPr>
        <w:pStyle w:val="ListBullet"/>
        <w:spacing w:after="50" w:line="252" w:lineRule="auto"/>
        <w:ind w:left="317" w:hanging="216"/>
      </w:pPr>
      <w:r>
        <w:rPr>
          <w:rFonts w:ascii="Aptos" w:hAnsi="Aptos"/>
          <w:color w:val="1E2A32"/>
          <w:sz w:val="20"/>
        </w:rPr>
        <w:t>PR #70: docs/assurance/stripe_sandbox_catalog package and code/test changes</w:t>
      </w:r>
    </w:p>
    <w:sectPr>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12"/>
      <w:gridCol w:w="3312"/>
      <w:gridCol w:w="3312"/>
    </w:tblGrid>
    <w:tr>
      <w:tc>
        <w:tcPr>
          <w:tcW w:type="dxa" w:w="3888"/>
          <w:tcBorders/>
        </w:tcPr>
        <w:p>
          <w:pPr>
            <w:spacing w:after="0"/>
            <w:jc w:val="left"/>
          </w:pPr>
          <w:r>
            <w:rPr>
              <w:rFonts w:ascii="Aptos" w:hAnsi="Aptos"/>
              <w:color w:val="65747F"/>
              <w:sz w:val="14"/>
            </w:rPr>
            <w:t>CGP006-FIN-GAP-0005-CLOSURE-CRITERIA-AND-ASSURANCE-PLAN-V1.1.0</w:t>
          </w:r>
        </w:p>
      </w:tc>
      <w:tc>
        <w:tcPr>
          <w:tcW w:type="dxa" w:w="4464"/>
          <w:tcBorders/>
        </w:tcPr>
        <w:p>
          <w:r>
            <w:rPr>
              <w:rFonts w:ascii="Aptos" w:hAnsi="Aptos"/>
              <w:color w:val="64727A"/>
              <w:sz w:val="16"/>
            </w:rPr>
            <w:t>FOUNDER APPROVED - PENDING ACCESSION / NO CLOSURE EFFECT</w:t>
          </w:r>
        </w:p>
      </w:tc>
      <w:tc>
        <w:tcPr>
          <w:tcW w:type="dxa" w:w="1584"/>
          <w:tcBorders/>
        </w:tcPr>
        <w:p>
          <w:pPr>
            <w:spacing w:after="0"/>
            <w:jc w:val="right"/>
          </w:pPr>
          <w:r>
            <w:rPr>
              <w:rFonts w:ascii="Aptos" w:hAnsi="Aptos"/>
              <w:color w:val="65747F"/>
              <w:sz w:val="14"/>
            </w:rPr>
            <w:t xml:space="preserve">Page </w:t>
          </w:r>
          <w:r>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87F8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CGP-006 SaaS Subscription Financial Provider Runtime Evidence Gap Closure Criteria and Assurance Plan V1.1.0 - Founder Approved</dc:title>
  <dc:subject>Founder-approved subordinate documentary closure criteria and assurance plan for CGP006-MAP-GAP-0005</dc:subject>
  <dc:creator/>
  <cp:keywords>EquineSync, CGP-006, Stripe, financial assurance, gap closure, governance</cp:keywords>
  <dc:description>Founder approval recorded under ES-FD-CGP006-MAP-GAP-0005-CLOSURE-PLAN-V1.1.0-2026-08-01 at 2026-08-01T00:01:00-05:00. No gap closure or runtime authority.</dc:description>
  <cp:lastModifiedBy/>
  <cp:revision>1</cp:revision>
  <dcterms:created xsi:type="dcterms:W3CDTF">2013-12-23T23:15:00Z</dcterms:created>
  <dcterms:modified xsi:type="dcterms:W3CDTF">2013-12-23T23:15:00Z</dcterms:modified>
  <cp:category/>
</cp:coreProperties>
</file>