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B4F72"/>
          <w:sz w:val="52"/>
          <w:szCs w:val="52"/>
        </w:rPr>
        <w:t xml:space="preserve">INTERVIEW SCORECARD</w:t>
      </w:r>
    </w:p>
    <w:p>
      <w:pPr>
        <w:spacing w:after="80"/>
        <w:jc w:val="center"/>
      </w:pPr>
      <w:r>
        <w:rPr>
          <w:color w:val="2C3E50"/>
          <w:sz w:val="32"/>
          <w:szCs w:val="32"/>
        </w:rPr>
        <w:t xml:space="preserve">Senior Cloud Solutions Architect</w:t>
      </w:r>
    </w:p>
    <w:p>
      <w:pPr>
        <w:spacing w:after="80"/>
        <w:jc w:val="center"/>
      </w:pPr>
      <w:r>
        <w:rPr>
          <w:color w:val="566573"/>
          <w:sz w:val="22"/>
          <w:szCs w:val="22"/>
        </w:rPr>
        <w:t xml:space="preserve">AnyCompany | REQ-2026-0847</w:t>
      </w:r>
    </w:p>
    <w:p>
      <w:pPr>
        <w:spacing w:after="400"/>
        <w:jc w:val="center"/>
      </w:pPr>
      <w:r>
        <w:rPr>
          <w:i/>
          <w:iCs/>
          <w:color w:val="C0392B"/>
          <w:sz w:val="20"/>
          <w:szCs w:val="20"/>
        </w:rPr>
        <w:t xml:space="preserve">Confidential — For Interviewer Use Only</w:t>
      </w: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Candidate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Candidate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Interviewer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Interview Stage: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Sr. Cloud Solutions Architect</w:t>
            </w:r>
          </w:p>
        </w:tc>
        <w:tc>
          <w:tcPr>
            <w:tcW w:type="dxa" w:w="2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Requisition: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REQ-2026-0847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Rating Scale</w:t>
      </w:r>
    </w:p>
    <w:p>
      <w:pPr>
        <w:spacing w:after="80"/>
      </w:pPr>
      <w:r>
        <w:rPr>
          <w:sz w:val="20"/>
          <w:szCs w:val="20"/>
        </w:rPr>
        <w:t xml:space="preserve">Use the behavioral anchors for each dimension to assign a score. A '3' represents a solid hire at this level.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color="E74C3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Strong No Hire</w:t>
            </w:r>
          </w:p>
        </w:tc>
        <w:tc>
          <w:tcPr>
            <w:tcW w:type="dxa" w:w="800"/>
            <w:shd w:color="F39C1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Concerns</w:t>
            </w:r>
          </w:p>
        </w:tc>
        <w:tc>
          <w:tcPr>
            <w:tcW w:type="dxa" w:w="800"/>
            <w:shd w:color="27AE6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Meets Bar</w:t>
            </w:r>
          </w:p>
        </w:tc>
        <w:tc>
          <w:tcPr>
            <w:tcW w:type="dxa" w:w="800"/>
            <w:shd w:color="2980B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Exceeds Bar</w:t>
            </w:r>
          </w:p>
        </w:tc>
        <w:tc>
          <w:tcPr>
            <w:tcW w:type="dxa" w:w="800"/>
            <w:shd w:color="8E44AD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Exceptional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Weighted Scoring Summary</w:t>
      </w:r>
    </w:p>
    <w:p>
      <w:pPr>
        <w:spacing w:after="80"/>
      </w:pPr>
      <w:r>
        <w:rPr>
          <w:sz w:val="20"/>
          <w:szCs w:val="20"/>
        </w:rPr>
        <w:t xml:space="preserve">Final weighted score = Σ (category average × weight). A weighted score ≥ 3.0 is the hiring bar.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B4F72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 Dimensions</w:t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</w:tr>
      <w:tr>
        <w:tc>
          <w:tcPr>
            <w:shd w:color="D6EAF8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Technical Skills</w:t>
            </w:r>
          </w:p>
        </w:tc>
        <w:tc>
          <w:tcPr>
            <w:shd w:color="D6EAF8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color="D5F5E3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Behavioral &amp; Leadership</w:t>
            </w:r>
          </w:p>
        </w:tc>
        <w:tc>
          <w:tcPr>
            <w:shd w:color="D5F5E3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color="FEF9E7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 Solving</w:t>
            </w:r>
          </w:p>
        </w:tc>
        <w:tc>
          <w:tcPr>
            <w:shd w:color="FEF9E7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color="FADBD8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Culture Fit</w:t>
            </w:r>
          </w:p>
        </w:tc>
        <w:tc>
          <w:tcPr>
            <w:shd w:color="FADBD8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color="1B4F72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WEIGHTED SCORE</w:t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shd w:color="1B4F72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B4F72"/>
        </w:rPr>
        <w:t xml:space="preserve">Technical Skills (40%)</w:t>
      </w: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AWS Architecture &amp; Design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Design scalable, HA, fault-tolerant architectures; VPC, IAM, ECS/EKS, Lambda, RDS/Aurora, S3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Cannot design basic AWS architectures; unfamiliar with core services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Knows services but cannot combine them into coherent architectures; single-AZ thinking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Designs well-architected solutions across multiple AWS services; understands multi-AZ, proper service selection, and trade-offs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Deep expertise; designs for edge cases, cost optimization, and operational excellence; demonstrates Well-Architected Framework mastery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Innovates beyond standard patterns; cell-based architectures, shuffle sharding, blast radius reduction; influences AWS best practices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Distributed Systems &amp; Event-Driven Architecture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Event-driven architectures, messaging (SQS, SNS, EventBridge), microservices, containerization (Docker, K8s)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Cannot explain CAP theorem or basic distributed systems concepts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Theoretical understanding but no practical experience designing distributed systems at scale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Designs event-driven systems with appropriate messaging patterns; understands idempotency, ordering, and failure handling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Expert in saga patterns, CQRS, event sourcing; handles complex failure modes and backpressure; production experience at scale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Pushes industry boundaries; designs novel patterns for extreme scale; deep understanding of consensus protocols and consistency models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Infrastructure as Code &amp; DevOps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CloudFormation/CDK/Terraform; CI/CD pipelines; migration strategies (lift-and-shift, re-platform, re-architect)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Manual infrastructure management; no IaC experience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Basic CloudFormation/Terraform usage; single-environment, no modularity or testing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Well-structured IaC with modules, environments, state management; CI/CD integration with testing and approval gates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Advanced patterns: custom constructs/providers, policy-as-code, drift detection, multi-account pipelines, blue-green IaC deployments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Defines IaC standards for organizations; contributes to open-source tooling; designs self-service platforms for development teams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Security, Compliance &amp; Multi-Account Strategy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Security collaboration; compliant deployments; multi-account strategy (Organizations, Control Tower); SOC 2, HIPAA, PCI-DSS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 is an afterthought; cannot articulate least privilege or basic IAM concepts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Basic security awareness but no experience with compliance frameworks or multi-account governance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Implements least privilege, SCPs, centralized logging/monitoring; understands compliance requirements and maps them to AWS controls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Designs security programs: automated compliance, threat detection, incident response, permission boundaries at scale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Zero-trust architect; builds security culture across organizations; regulatory expertise with multiple frameworks simultaneously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Cost Optimization &amp; FinOps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Optimize cloud spend through FinOps practices, reserved instances, architectural efficiency; $5M+ annual spend experience preferred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No awareness of cost implications in architecture decisions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Knows about Reserved Instances/Savings Plans but no systematic cost optimization approach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Implements cost allocation, right-sizing, storage tiering, and commitment strategies; can build showback reports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FinOps practitioner: unit economics, automated anomaly detection, cost-aware architecture patterns, governance processes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Organizational FinOps leader: $M+ documented savings, C-suite cost narratives, engineering culture transformation around cost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B4F72"/>
        </w:rPr>
        <w:t xml:space="preserve">Behavioral &amp; Leadership (25%)</w:t>
      </w: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Customer Obsession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Translate complex technical concepts for business stakeholders; work backwards from customer needs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Technology-first mindset; cannot connect architecture decisions to customer outcomes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Acknowledges customer needs but defaults to technical preferences when they conflict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Consistently works backwards from customer needs; balances stakeholder trade-offs with clear communication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Champions customer voice in technical forums; creates mechanisms to gather and act on customer feedback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Transforms organizational approach to customer-centricity through systems, culture, and leading by example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Ownership &amp; Accountability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Lead technical decision-making; think long-term; act on behalf of the entire company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Limited to assigned tasks; blames external factors for failures; 'not my job' mentality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Takes ownership of immediate work but stops at team boundaries; reactive to problems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Proactively identifies and addresses risks beyond their scope; drives cross-team solutions; owns outcomes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Thinks like a company owner; invests in long-term systemic improvements; mentors ownership mindset in others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Transformative ownership: identifies company-level opportunities, mobilizes cross-functional investment, delivers outsized impact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Technical Leadership &amp; Mentoring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Mentor team of 4 cloud engineers; conduct code reviews and architecture critiques; present to leadership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No evidence of mentoring or technical influence beyond individual contribution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Provides code reviews and answers questions but no structured development approach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Active mentor: structured development plans, tailored coaching, celebrates growth; effective technical presenter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Builds high-performing teams: hiring bar-raiser, creates learning culture, develops future leaders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Organizational multiplier: influences engineering culture at scale, attracts talent, establishes lasting technical standards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Communication &amp; Influence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Excellent written and verbal communication for technical and non-technical audiences; present architecture proposals to leadership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Cannot adjust communication for audience; overly technical or overly vague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Adequate within team but struggles to influence across boundaries or present to leadership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Clear, audience-appropriate communication; can present complex trade-offs and gain alignment; effective documentation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Influences without authority; brings opposing parties to consensus; compelling storytelling with data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Executive presence; shapes organizational technical direction through exceptional communication and strategic framing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B4F72"/>
        </w:rPr>
        <w:t xml:space="preserve">Problem Solving (25%)</w:t>
      </w: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System Design &amp; Architecture Thinking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Design scalable systems (whiteboard exercise); multi-region HA applications; evaluate emerging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Cannot decompose a problem into components; no systematic design approach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Identifies components but misses non-functional requirements (scale, reliability, cost); shallow trade-off analysis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Structured approach: clarifies requirements, identifies components, considers scale/reliability/cost, discusses trade-offs clearly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Deep design thinking: addresses edge cases, proposes phased delivery, quantifies trade-offs, considers operational concerns upfront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Exceptional: novel solutions, first-principles reasoning, anticipates future evolution, presents multiple viable approaches with clear recommendation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Troubleshooting &amp; Incident Response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Support incident response for production infrastructure (on-call rotation); remediate identified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No systematic troubleshooting methodology; guesses or panics under pressure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Basic approach but cannot isolate root cause efficiently; poor communication during incidents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Systematic triage: assess blast radius, check recent changes, analyze metrics, isolate root cause, communicate clearly throughout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Expert incident commander: parallel investigation tracks, distributed tracing mastery, pre-built runbooks, excellent stakeholder comms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Builds incident response culture: blameless postmortems, automated detection/remediation, measurably reduces incident frequency and duration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Strategic &amp; Analytical Thinking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Lead migration projects; evaluate emerging services; recommend adoption strategies aligned with business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Tactical only; cannot connect technical decisions to business strategy or long-term outcomes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Understands business context but struggles to translate it into actionable technical strategy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Connects technical decisions to business outcomes; develops phased roadmaps; evaluates build/buy/adopt decisions systematically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Shapes technical strategy: anticipates market/technology shifts, builds optionality, quantifies ROI for leadership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Visionary strategist: influences company direction through technology insight, creates competitive advantage through architecture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B4F72"/>
        </w:rPr>
        <w:t xml:space="preserve">Culture Fit (10%)</w:t>
      </w: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Collaboration &amp; Team Dynamics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Collaborate with Security, DevOps, and Application teams; facilitate technical design 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Works in isolation; adversarial approach to cross-team interactions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Cooperative when asked but doesn't proactively build bridges across teams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Effective cross-team collaborator; builds trust, seeks diverse input, handles disagreements constructively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Creates collaboration mechanisms (guilds, forums, shared standards) that outlast their direct involvement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Cultural catalyst: transforms organizational collaboration patterns; makes teams around them measurably more effective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pPr>
        <w:pStyle w:val="Heading3"/>
        <w:spacing w:after="60" w:before="180"/>
      </w:pPr>
      <w:r>
        <w:rPr>
          <w:b/>
          <w:bCs/>
          <w:color w:val="566573"/>
        </w:rPr>
        <w:t xml:space="preserve">Growth Mindset &amp; Adaptability</w:t>
      </w:r>
    </w:p>
    <w:p>
      <w:pPr>
        <w:spacing w:after="80"/>
      </w:pPr>
      <w:r>
        <w:rPr>
          <w:b/>
          <w:bCs/>
          <w:sz w:val="18"/>
          <w:szCs w:val="18"/>
        </w:rPr>
        <w:t xml:space="preserve">JD Requirement: </w:t>
      </w:r>
      <w:r>
        <w:rPr>
          <w:i/>
          <w:iCs/>
          <w:color w:val="566573"/>
          <w:sz w:val="18"/>
          <w:szCs w:val="18"/>
        </w:rPr>
        <w:t xml:space="preserve">Never stop learning; seek to improve; evaluate emerging services; bias for action with calculated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Rigid; uncomfortable with change; relies on what they already know</w:t>
            </w:r>
          </w:p>
        </w:tc>
      </w:tr>
      <w:tr>
        <w:tc>
          <w:tcPr>
            <w:tcW w:type="dxa" w:w="600"/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Learns when required but prefers familiar approaches; hesitant to experiment</w:t>
            </w:r>
          </w:p>
        </w:tc>
      </w:tr>
      <w:tr>
        <w:tc>
          <w:tcPr>
            <w:tcW w:type="dxa" w:w="600"/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Actively curious; experiments with new approaches; shares learnings; recovers quickly from setbacks</w:t>
            </w:r>
          </w:p>
        </w:tc>
      </w:tr>
      <w:tr>
        <w:tc>
          <w:tcPr>
            <w:tcW w:type="dxa" w:w="600"/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Learning culture builder: creates space for experimentation, normalizes failure as learning, systematically evaluates new technology</w:t>
            </w:r>
          </w:p>
        </w:tc>
      </w:tr>
      <w:tr>
        <w:tc>
          <w:tcPr>
            <w:tcW w:type="dxa" w:w="600"/>
            <w:shd w:color="D2B4DE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20"/>
            </w:pPr>
            <w:r>
              <w:rPr>
                <w:sz w:val="18"/>
                <w:szCs w:val="18"/>
              </w:rPr>
              <w:t xml:space="preserve">Thought leader: contributes to community, influences industry direction, demonstrates extraordinary intellectual humility and growth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1    ☐ 2    ☐ 3    ☐ 4    ☐ 5</w:t>
            </w:r>
          </w:p>
        </w:tc>
        <w:tc>
          <w:tcPr>
            <w:tcW w:type="dxa" w:w="1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Evidence/Notes:</w:t>
            </w:r>
          </w:p>
        </w:tc>
        <w:tc>
          <w:tcPr>
            <w:tcW w:type="dxa" w:w="3500"/>
          </w:tcPr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  <w:p>
            <w:pPr>
              <w:spacing w:after="60"/>
            </w:pPr>
            <w:r>
              <w:rPr>
                <w:color w:val="BDC3C7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B4F72"/>
        </w:rPr>
        <w:t xml:space="preserve">Final Recommendation</w:t>
      </w: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Overall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B4F72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shd w:color="1B4F72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Select One</w:t>
            </w:r>
          </w:p>
        </w:tc>
      </w:tr>
      <w:tr>
        <w:tc>
          <w:tcPr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Hiring Decision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Strong Hire    ☐ Hire    ☐ No Hire    ☐ Strong No Hire</w:t>
            </w:r>
          </w:p>
        </w:tc>
      </w:tr>
      <w:tr>
        <w:tc>
          <w:tcPr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Bar Raiser Aligned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Yes    ☐ No — Discuss in Debrief</w:t>
            </w:r>
          </w:p>
        </w:tc>
      </w:tr>
      <w:tr>
        <w:tc>
          <w:tcPr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Appropriate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 Under-leveled    ☐ At Level    ☐ Over-leveled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Key Strengths (Top 3)</w:t>
      </w:r>
    </w:p>
    <w:p>
      <w:pPr>
        <w:spacing w:after="80"/>
      </w:pPr>
      <w:r>
        <w:rPr>
          <w:b/>
          <w:bCs/>
        </w:rPr>
        <w:t xml:space="preserve">1. </w:t>
      </w:r>
      <w:r>
        <w:rPr>
          <w:color w:val="BDC3C7"/>
        </w:rPr>
        <w:t xml:space="preserve">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2. </w:t>
      </w:r>
      <w:r>
        <w:rPr>
          <w:color w:val="BDC3C7"/>
        </w:rPr>
        <w:t xml:space="preserve">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3. </w:t>
      </w:r>
      <w:r>
        <w:rPr>
          <w:color w:val="BDC3C7"/>
        </w:rPr>
        <w:t xml:space="preserve">_______________________________________________________________</w:t>
      </w:r>
    </w:p>
    <w:p>
      <w:pPr>
        <w:spacing w:after="150"/>
      </w:pP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Key Concerns / Risks</w:t>
      </w:r>
    </w:p>
    <w:p>
      <w:pPr>
        <w:spacing w:after="80"/>
      </w:pPr>
      <w:r>
        <w:rPr>
          <w:b/>
          <w:bCs/>
        </w:rPr>
        <w:t xml:space="preserve">1. </w:t>
      </w:r>
      <w:r>
        <w:rPr>
          <w:color w:val="BDC3C7"/>
        </w:rPr>
        <w:t xml:space="preserve">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2. </w:t>
      </w:r>
      <w:r>
        <w:rPr>
          <w:color w:val="BDC3C7"/>
        </w:rPr>
        <w:t xml:space="preserve">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3. </w:t>
      </w:r>
      <w:r>
        <w:rPr>
          <w:color w:val="BDC3C7"/>
        </w:rPr>
        <w:t xml:space="preserve">_______________________________________________________________</w:t>
      </w:r>
    </w:p>
    <w:p>
      <w:pPr>
        <w:spacing w:after="150"/>
      </w:pP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Additional Notes for Debrief</w:t>
      </w:r>
    </w:p>
    <w:p>
      <w:pPr>
        <w:spacing w:after="80"/>
      </w:pPr>
      <w:r>
        <w:rPr>
          <w:color w:val="BDC3C7"/>
        </w:rPr>
        <w:t xml:space="preserve">________________________________________________________________________</w:t>
      </w:r>
    </w:p>
    <w:p>
      <w:pPr>
        <w:spacing w:after="80"/>
      </w:pPr>
      <w:r>
        <w:rPr>
          <w:color w:val="BDC3C7"/>
        </w:rPr>
        <w:t xml:space="preserve">________________________________________________________________________</w:t>
      </w:r>
    </w:p>
    <w:p>
      <w:pPr>
        <w:spacing w:after="80"/>
      </w:pPr>
      <w:r>
        <w:rPr>
          <w:color w:val="BDC3C7"/>
        </w:rPr>
        <w:t xml:space="preserve">________________________________________________________________________</w:t>
      </w:r>
    </w:p>
    <w:p>
      <w:pPr>
        <w:spacing w:after="80"/>
      </w:pPr>
      <w:r>
        <w:rPr>
          <w:color w:val="BDC3C7"/>
        </w:rPr>
        <w:t xml:space="preserve">________________________________________________________________________</w:t>
      </w:r>
    </w:p>
    <w:p>
      <w:pPr>
        <w:spacing w:after="80"/>
      </w:pPr>
      <w:r>
        <w:rPr>
          <w:color w:val="BDC3C7"/>
        </w:rPr>
        <w:t xml:space="preserve">________________________________________________________________________</w:t>
      </w:r>
    </w:p>
    <w:p>
      <w:pPr>
        <w:spacing w:after="200"/>
      </w:pPr>
    </w:p>
    <w:p>
      <w:pPr>
        <w:pStyle w:val="Heading2"/>
        <w:spacing w:after="80" w:before="240"/>
      </w:pPr>
      <w:r>
        <w:rPr>
          <w:b/>
          <w:bCs/>
          <w:color w:val="2C3E50"/>
        </w:rPr>
        <w:t xml:space="preserve">Decision Guidance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B4F7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  <w:tc>
          <w:tcPr>
            <w:shd w:color="1B4F72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Recommendation</w:t>
            </w:r>
          </w:p>
        </w:tc>
        <w:tc>
          <w:tcPr>
            <w:shd w:color="1B4F72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shd w:color="D5F5E3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4.0 – 5.0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Strong Hire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Raises the bar significantly. Fast-track offer.</w:t>
            </w:r>
          </w:p>
        </w:tc>
      </w:tr>
      <w:tr>
        <w:tc>
          <w:tcPr>
            <w:shd w:color="D6EAF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3.0 – 3.9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Hire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Meets the hiring bar. Discuss any dimension below 3.</w:t>
            </w:r>
          </w:p>
        </w:tc>
      </w:tr>
      <w:tr>
        <w:tc>
          <w:tcPr>
            <w:shd w:color="FCF3CF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2.0 – 2.9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No Hire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the bar. Document specific gaps for candidate feedback.</w:t>
            </w:r>
          </w:p>
        </w:tc>
      </w:tr>
      <w:tr>
        <w:tc>
          <w:tcPr>
            <w:shd w:color="FADBD8" w:val="solid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1.0 – 1.9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Strong No Hire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 concerns. Raise in debrief immediately.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Interviewer Signature: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color="F2F3F4" w:val="solid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F65666181F641ABC7F99B7B2DDD95" ma:contentTypeVersion="3" ma:contentTypeDescription="Create a new document." ma:contentTypeScope="" ma:versionID="4d3df40803a1002221b36939de4d41b4">
  <xsd:schema xmlns:xsd="http://www.w3.org/2001/XMLSchema" xmlns:xs="http://www.w3.org/2001/XMLSchema" xmlns:p="http://schemas.microsoft.com/office/2006/metadata/properties" xmlns:ns2="af0d1e73-fbe3-4b9e-a1dd-228a7d8516be" targetNamespace="http://schemas.microsoft.com/office/2006/metadata/properties" ma:root="true" ma:fieldsID="05653bcc509c0938dfbd2eae2d7712bc" ns2:_="">
    <xsd:import namespace="af0d1e73-fbe3-4b9e-a1dd-228a7d8516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d1e73-fbe3-4b9e-a1dd-228a7d8516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55A08B-923F-43EF-BE0C-C1C6B2383363}"/>
</file>

<file path=customXml/itemProps2.xml><?xml version="1.0" encoding="utf-8"?>
<ds:datastoreItem xmlns:ds="http://schemas.openxmlformats.org/officeDocument/2006/customXml" ds:itemID="{2596DB90-C11C-4CCC-95DE-1B6B86FA2269}"/>
</file>

<file path=customXml/itemProps3.xml><?xml version="1.0" encoding="utf-8"?>
<ds:datastoreItem xmlns:ds="http://schemas.openxmlformats.org/officeDocument/2006/customXml" ds:itemID="{869E527B-8E8A-458C-97F0-A4FD917E3B0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2026-05-14T18:34:29Z</dcterms:created>
  <dcterms:modified xsi:type="dcterms:W3CDTF">2026-05-14T18:34:29Z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0x010100DB1F65666181F641ABC7F99B7B2DDD95</vt:lpwstr>
  </property>
</Properties>
</file>