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margin" w:tblpXSpec="right" w:tblpY="2716"/>
        <w:tblW w:w="8584" w:type="dxa"/>
        <w:tblLook w:val="04A0" w:firstRow="1" w:lastRow="0" w:firstColumn="1" w:lastColumn="0" w:noHBand="0" w:noVBand="1"/>
      </w:tblPr>
      <w:tblGrid>
        <w:gridCol w:w="3005"/>
        <w:gridCol w:w="3005"/>
        <w:gridCol w:w="2574"/>
      </w:tblGrid>
      <w:tr w:rsidR="00E8090C" w:rsidTr="00BF432F">
        <w:tc>
          <w:tcPr>
            <w:tcW w:w="3005" w:type="dxa"/>
          </w:tcPr>
          <w:p w:rsidR="00E8090C" w:rsidRPr="009B3C7F" w:rsidRDefault="00E8090C" w:rsidP="00BF432F">
            <w:pPr>
              <w:rPr>
                <w:rFonts w:ascii="Calibri" w:hAnsi="Calibri"/>
                <w:lang w:eastAsia="en-NZ"/>
              </w:rPr>
            </w:pPr>
            <w:r w:rsidRPr="009B3C7F">
              <w:rPr>
                <w:rFonts w:ascii="Calibri" w:hAnsi="Calibri"/>
                <w:color w:val="1F497D"/>
                <w:lang w:eastAsia="en-NZ"/>
              </w:rPr>
              <w:t>Status</w:t>
            </w:r>
          </w:p>
        </w:tc>
        <w:tc>
          <w:tcPr>
            <w:tcW w:w="3005" w:type="dxa"/>
          </w:tcPr>
          <w:p w:rsidR="00E8090C" w:rsidRDefault="00E8090C" w:rsidP="00BF432F">
            <w:pPr>
              <w:rPr>
                <w:rFonts w:ascii="Calibri" w:hAnsi="Calibri"/>
                <w:color w:val="1F497D"/>
                <w:lang w:eastAsia="en-NZ"/>
              </w:rPr>
            </w:pPr>
            <w:r>
              <w:rPr>
                <w:rFonts w:ascii="Calibri" w:hAnsi="Calibri"/>
                <w:color w:val="1F497D"/>
                <w:lang w:eastAsia="en-NZ"/>
              </w:rPr>
              <w:t>Journals</w:t>
            </w:r>
          </w:p>
        </w:tc>
        <w:tc>
          <w:tcPr>
            <w:tcW w:w="2574" w:type="dxa"/>
          </w:tcPr>
          <w:p w:rsidR="00E8090C" w:rsidRDefault="00E8090C" w:rsidP="00BF432F">
            <w:pPr>
              <w:rPr>
                <w:rFonts w:ascii="Calibri" w:hAnsi="Calibri"/>
                <w:color w:val="1F497D"/>
                <w:lang w:eastAsia="en-NZ"/>
              </w:rPr>
            </w:pPr>
            <w:r>
              <w:rPr>
                <w:rFonts w:ascii="Calibri" w:hAnsi="Calibri"/>
                <w:color w:val="1F497D"/>
                <w:lang w:eastAsia="en-NZ"/>
              </w:rPr>
              <w:t>Conferences</w:t>
            </w:r>
          </w:p>
        </w:tc>
      </w:tr>
      <w:tr w:rsidR="00E8090C" w:rsidTr="00BF432F">
        <w:tc>
          <w:tcPr>
            <w:tcW w:w="3005" w:type="dxa"/>
          </w:tcPr>
          <w:p w:rsidR="00E8090C" w:rsidRPr="007636A6" w:rsidRDefault="00E8090C" w:rsidP="00BF432F">
            <w:pPr>
              <w:rPr>
                <w:rFonts w:ascii="Calibri" w:hAnsi="Calibri"/>
                <w:b/>
                <w:lang w:eastAsia="en-NZ"/>
              </w:rPr>
            </w:pPr>
            <w:r w:rsidRPr="007636A6">
              <w:rPr>
                <w:rFonts w:ascii="Calibri" w:hAnsi="Calibri"/>
                <w:b/>
                <w:lang w:eastAsia="en-NZ"/>
              </w:rPr>
              <w:t>Published</w:t>
            </w:r>
          </w:p>
        </w:tc>
        <w:tc>
          <w:tcPr>
            <w:tcW w:w="3005" w:type="dxa"/>
          </w:tcPr>
          <w:p w:rsidR="00E8090C" w:rsidRDefault="00E8090C" w:rsidP="00BF432F">
            <w:pPr>
              <w:rPr>
                <w:rFonts w:ascii="Calibri" w:hAnsi="Calibri"/>
                <w:color w:val="1F497D"/>
                <w:lang w:eastAsia="en-NZ"/>
              </w:rPr>
            </w:pPr>
            <w:r>
              <w:rPr>
                <w:rFonts w:ascii="Calibri" w:hAnsi="Calibri"/>
                <w:color w:val="1F497D"/>
                <w:lang w:eastAsia="en-NZ"/>
              </w:rPr>
              <w:t>12</w:t>
            </w:r>
          </w:p>
        </w:tc>
        <w:tc>
          <w:tcPr>
            <w:tcW w:w="2574" w:type="dxa"/>
          </w:tcPr>
          <w:p w:rsidR="00E8090C" w:rsidRDefault="00E8090C" w:rsidP="00BF432F">
            <w:pPr>
              <w:rPr>
                <w:rFonts w:ascii="Calibri" w:hAnsi="Calibri"/>
                <w:color w:val="1F497D"/>
                <w:lang w:eastAsia="en-NZ"/>
              </w:rPr>
            </w:pPr>
            <w:r>
              <w:rPr>
                <w:rFonts w:ascii="Calibri" w:hAnsi="Calibri"/>
                <w:color w:val="1F497D"/>
                <w:lang w:eastAsia="en-NZ"/>
              </w:rPr>
              <w:t>12</w:t>
            </w:r>
          </w:p>
        </w:tc>
      </w:tr>
      <w:tr w:rsidR="00E8090C" w:rsidTr="00BF432F">
        <w:tc>
          <w:tcPr>
            <w:tcW w:w="3005" w:type="dxa"/>
          </w:tcPr>
          <w:p w:rsidR="00E8090C" w:rsidRPr="007636A6" w:rsidRDefault="00E8090C" w:rsidP="00BF432F">
            <w:pPr>
              <w:rPr>
                <w:rFonts w:ascii="Calibri" w:hAnsi="Calibri"/>
                <w:b/>
                <w:lang w:eastAsia="en-NZ"/>
              </w:rPr>
            </w:pPr>
            <w:r w:rsidRPr="007636A6">
              <w:rPr>
                <w:rFonts w:ascii="Calibri" w:hAnsi="Calibri"/>
                <w:b/>
                <w:lang w:eastAsia="en-NZ"/>
              </w:rPr>
              <w:t>Accepted</w:t>
            </w:r>
          </w:p>
        </w:tc>
        <w:tc>
          <w:tcPr>
            <w:tcW w:w="3005" w:type="dxa"/>
          </w:tcPr>
          <w:p w:rsidR="00E8090C" w:rsidRDefault="00E8090C" w:rsidP="00BF432F">
            <w:pPr>
              <w:rPr>
                <w:rFonts w:ascii="Calibri" w:hAnsi="Calibri"/>
                <w:color w:val="1F497D"/>
                <w:lang w:eastAsia="en-NZ"/>
              </w:rPr>
            </w:pPr>
            <w:r>
              <w:rPr>
                <w:rFonts w:ascii="Calibri" w:hAnsi="Calibri"/>
                <w:color w:val="1F497D"/>
                <w:lang w:eastAsia="en-NZ"/>
              </w:rPr>
              <w:t>6</w:t>
            </w:r>
          </w:p>
        </w:tc>
        <w:tc>
          <w:tcPr>
            <w:tcW w:w="2574" w:type="dxa"/>
          </w:tcPr>
          <w:p w:rsidR="00E8090C" w:rsidRDefault="00E8090C" w:rsidP="00BF432F">
            <w:pPr>
              <w:rPr>
                <w:rFonts w:ascii="Calibri" w:hAnsi="Calibri"/>
                <w:color w:val="1F497D"/>
                <w:lang w:eastAsia="en-NZ"/>
              </w:rPr>
            </w:pPr>
            <w:r>
              <w:rPr>
                <w:rFonts w:ascii="Calibri" w:hAnsi="Calibri"/>
                <w:color w:val="1F497D"/>
                <w:lang w:eastAsia="en-NZ"/>
              </w:rPr>
              <w:t>-</w:t>
            </w:r>
          </w:p>
        </w:tc>
      </w:tr>
      <w:tr w:rsidR="00E8090C" w:rsidTr="00BF432F">
        <w:tc>
          <w:tcPr>
            <w:tcW w:w="3005" w:type="dxa"/>
          </w:tcPr>
          <w:p w:rsidR="00E8090C" w:rsidRPr="007636A6" w:rsidRDefault="00E8090C" w:rsidP="00BF432F">
            <w:pPr>
              <w:rPr>
                <w:rFonts w:ascii="Calibri" w:hAnsi="Calibri"/>
                <w:b/>
                <w:lang w:eastAsia="en-NZ"/>
              </w:rPr>
            </w:pPr>
            <w:r w:rsidRPr="007636A6">
              <w:rPr>
                <w:rFonts w:ascii="Calibri" w:hAnsi="Calibri"/>
                <w:b/>
                <w:lang w:eastAsia="en-NZ"/>
              </w:rPr>
              <w:t>Submitted</w:t>
            </w:r>
          </w:p>
        </w:tc>
        <w:tc>
          <w:tcPr>
            <w:tcW w:w="3005" w:type="dxa"/>
          </w:tcPr>
          <w:p w:rsidR="00E8090C" w:rsidRDefault="00E8090C" w:rsidP="00BF432F">
            <w:pPr>
              <w:rPr>
                <w:rFonts w:ascii="Calibri" w:hAnsi="Calibri"/>
                <w:color w:val="1F497D"/>
                <w:lang w:eastAsia="en-NZ"/>
              </w:rPr>
            </w:pPr>
            <w:r>
              <w:rPr>
                <w:rFonts w:ascii="Calibri" w:hAnsi="Calibri"/>
                <w:color w:val="1F497D"/>
                <w:lang w:eastAsia="en-NZ"/>
              </w:rPr>
              <w:t>6</w:t>
            </w:r>
          </w:p>
        </w:tc>
        <w:tc>
          <w:tcPr>
            <w:tcW w:w="2574" w:type="dxa"/>
          </w:tcPr>
          <w:p w:rsidR="00E8090C" w:rsidRDefault="00E8090C" w:rsidP="00BF432F">
            <w:pPr>
              <w:rPr>
                <w:rFonts w:ascii="Calibri" w:hAnsi="Calibri"/>
                <w:color w:val="1F497D"/>
                <w:lang w:eastAsia="en-NZ"/>
              </w:rPr>
            </w:pPr>
            <w:r>
              <w:rPr>
                <w:rFonts w:ascii="Calibri" w:hAnsi="Calibri"/>
                <w:color w:val="1F497D"/>
                <w:lang w:eastAsia="en-NZ"/>
              </w:rPr>
              <w:t>-</w:t>
            </w:r>
          </w:p>
        </w:tc>
      </w:tr>
    </w:tbl>
    <w:p w:rsidR="00541861" w:rsidRDefault="007636A6" w:rsidP="00BF432F">
      <w:pPr>
        <w:pStyle w:val="Heading1"/>
        <w:jc w:val="center"/>
        <w:rPr>
          <w:sz w:val="40"/>
          <w:szCs w:val="40"/>
          <w:lang w:eastAsia="en-NZ"/>
        </w:rPr>
      </w:pPr>
      <w:proofErr w:type="spellStart"/>
      <w:r w:rsidRPr="00BF432F">
        <w:rPr>
          <w:sz w:val="40"/>
          <w:szCs w:val="40"/>
          <w:lang w:eastAsia="en-NZ"/>
        </w:rPr>
        <w:t>QuakeCore</w:t>
      </w:r>
      <w:proofErr w:type="spellEnd"/>
      <w:r w:rsidRPr="00BF432F">
        <w:rPr>
          <w:sz w:val="40"/>
          <w:szCs w:val="40"/>
          <w:lang w:eastAsia="en-NZ"/>
        </w:rPr>
        <w:t xml:space="preserve"> publications list</w:t>
      </w:r>
    </w:p>
    <w:p w:rsidR="00BF432F" w:rsidRPr="00BF432F" w:rsidRDefault="00E663FE" w:rsidP="00BF432F">
      <w:pPr>
        <w:rPr>
          <w:lang w:eastAsia="en-NZ"/>
        </w:rPr>
      </w:pPr>
      <w:r>
        <w:rPr>
          <w:lang w:eastAsia="en-NZ"/>
        </w:rPr>
        <w:t xml:space="preserve"> </w:t>
      </w:r>
    </w:p>
    <w:p w:rsidR="00BF432F" w:rsidRPr="00BF432F" w:rsidRDefault="00BF432F" w:rsidP="00BF432F">
      <w:pPr>
        <w:rPr>
          <w:lang w:eastAsia="en-NZ"/>
        </w:rPr>
      </w:pPr>
    </w:p>
    <w:p w:rsidR="00890C2B" w:rsidRDefault="00890C2B" w:rsidP="00E71D24">
      <w:pPr>
        <w:rPr>
          <w:color w:val="000000"/>
        </w:rPr>
      </w:pPr>
    </w:p>
    <w:tbl>
      <w:tblPr>
        <w:tblW w:w="8687" w:type="dxa"/>
        <w:tblInd w:w="55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9"/>
        <w:gridCol w:w="6626"/>
        <w:gridCol w:w="1147"/>
        <w:gridCol w:w="1050"/>
      </w:tblGrid>
      <w:tr w:rsidR="00BE2E0F" w:rsidRPr="003943BD" w:rsidTr="00C53E26">
        <w:trPr>
          <w:trHeight w:val="1303"/>
        </w:trPr>
        <w:tc>
          <w:tcPr>
            <w:tcW w:w="10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E2E0F" w:rsidRPr="003943BD" w:rsidRDefault="00BE2E0F" w:rsidP="00E97F71">
            <w:pPr>
              <w:jc w:val="center"/>
              <w:rPr>
                <w:rFonts w:ascii="Calibri" w:hAnsi="Calibri"/>
                <w:b/>
              </w:rPr>
            </w:pPr>
            <w:proofErr w:type="spellStart"/>
            <w:r w:rsidRPr="003943BD">
              <w:rPr>
                <w:rFonts w:ascii="Calibri" w:hAnsi="Calibri"/>
                <w:b/>
              </w:rPr>
              <w:t>QuakeCore</w:t>
            </w:r>
            <w:proofErr w:type="spellEnd"/>
            <w:r w:rsidRPr="003943BD">
              <w:rPr>
                <w:rFonts w:ascii="Calibri" w:hAnsi="Calibri"/>
                <w:b/>
              </w:rPr>
              <w:t xml:space="preserve"> Publication Number</w:t>
            </w:r>
          </w:p>
        </w:tc>
        <w:tc>
          <w:tcPr>
            <w:tcW w:w="54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2E0F" w:rsidRPr="003943BD" w:rsidRDefault="00BE2E0F" w:rsidP="00E97F71">
            <w:pPr>
              <w:ind w:left="567" w:hanging="567"/>
              <w:jc w:val="center"/>
              <w:rPr>
                <w:rFonts w:ascii="Verdana" w:hAnsi="Verdana"/>
                <w:b/>
                <w:color w:val="000000"/>
                <w:sz w:val="20"/>
                <w:szCs w:val="20"/>
                <w:shd w:val="clear" w:color="auto" w:fill="FFFFFF"/>
              </w:rPr>
            </w:pPr>
            <w:r w:rsidRPr="003943BD">
              <w:rPr>
                <w:rFonts w:ascii="Verdana" w:hAnsi="Verdana"/>
                <w:b/>
                <w:color w:val="000000"/>
                <w:sz w:val="20"/>
                <w:szCs w:val="20"/>
                <w:shd w:val="clear" w:color="auto" w:fill="FFFFFF"/>
              </w:rPr>
              <w:t>Publication</w:t>
            </w:r>
          </w:p>
        </w:tc>
        <w:tc>
          <w:tcPr>
            <w:tcW w:w="110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2E0F" w:rsidRPr="003943BD" w:rsidRDefault="00BE2E0F" w:rsidP="00E97F71">
            <w:pPr>
              <w:jc w:val="center"/>
              <w:rPr>
                <w:rFonts w:ascii="Calibri" w:hAnsi="Calibri"/>
                <w:b/>
              </w:rPr>
            </w:pPr>
            <w:r w:rsidRPr="003943BD">
              <w:rPr>
                <w:rFonts w:ascii="Calibri" w:hAnsi="Calibri"/>
                <w:b/>
              </w:rPr>
              <w:t>Status</w:t>
            </w:r>
          </w:p>
        </w:tc>
        <w:tc>
          <w:tcPr>
            <w:tcW w:w="105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BE2E0F" w:rsidRPr="003943BD" w:rsidRDefault="00BE2E0F" w:rsidP="00E97F71">
            <w:pPr>
              <w:jc w:val="center"/>
              <w:rPr>
                <w:rFonts w:ascii="Calibri" w:hAnsi="Calibri"/>
                <w:b/>
              </w:rPr>
            </w:pPr>
            <w:r w:rsidRPr="003943BD">
              <w:rPr>
                <w:rFonts w:ascii="Calibri" w:hAnsi="Calibri"/>
                <w:b/>
              </w:rPr>
              <w:t>Article Type</w:t>
            </w:r>
          </w:p>
        </w:tc>
      </w:tr>
      <w:tr w:rsidR="00BE2E0F" w:rsidRPr="003943BD" w:rsidTr="00C53E26">
        <w:trPr>
          <w:trHeight w:val="1303"/>
        </w:trPr>
        <w:tc>
          <w:tcPr>
            <w:tcW w:w="10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E2E0F" w:rsidRPr="00C53E26" w:rsidRDefault="00BE2E0F" w:rsidP="00BE2E0F">
            <w:r w:rsidRPr="00C53E26">
              <w:t>0001</w:t>
            </w:r>
          </w:p>
        </w:tc>
        <w:tc>
          <w:tcPr>
            <w:tcW w:w="54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2E0F" w:rsidRPr="00C53E26" w:rsidRDefault="00BE2E0F" w:rsidP="00BE2E0F">
            <w:pPr>
              <w:pStyle w:val="NormalWeb"/>
              <w:shd w:val="clear" w:color="auto" w:fill="FFFFFF"/>
              <w:spacing w:line="250" w:lineRule="atLeast"/>
              <w:ind w:left="360"/>
              <w:jc w:val="both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C53E26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 xml:space="preserve">Baker J, </w:t>
            </w:r>
            <w:proofErr w:type="spellStart"/>
            <w:r w:rsidRPr="00C53E26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Cremen</w:t>
            </w:r>
            <w:proofErr w:type="spellEnd"/>
            <w:r w:rsidRPr="00C53E26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 xml:space="preserve"> G, </w:t>
            </w:r>
            <w:proofErr w:type="spellStart"/>
            <w:r w:rsidRPr="00C53E26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Giovinazzi</w:t>
            </w:r>
            <w:proofErr w:type="spellEnd"/>
            <w:r w:rsidRPr="00C53E26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 xml:space="preserve"> S, Seville E (2016) “Benchmarking FEMA P-58 seismic performance predictions against observed earthquake data – A preliminary evaluation for the Canterbury earthquake sequence”, New Zealand Society for Earthquake Engineering Conference.</w:t>
            </w:r>
          </w:p>
        </w:tc>
        <w:tc>
          <w:tcPr>
            <w:tcW w:w="110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2E0F" w:rsidRPr="00C53E26" w:rsidRDefault="00BE2E0F" w:rsidP="00E97F71">
            <w:pPr>
              <w:jc w:val="center"/>
            </w:pPr>
            <w:r w:rsidRPr="00C53E26">
              <w:t>Published</w:t>
            </w:r>
          </w:p>
        </w:tc>
        <w:tc>
          <w:tcPr>
            <w:tcW w:w="105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BE2E0F" w:rsidRPr="00C53E26" w:rsidRDefault="00BE2E0F" w:rsidP="00E97F71">
            <w:pPr>
              <w:jc w:val="center"/>
            </w:pPr>
            <w:r w:rsidRPr="00C53E26">
              <w:t>Conference</w:t>
            </w:r>
          </w:p>
        </w:tc>
      </w:tr>
      <w:tr w:rsidR="00BE2E0F" w:rsidTr="00C53E26">
        <w:trPr>
          <w:trHeight w:val="1303"/>
        </w:trPr>
        <w:tc>
          <w:tcPr>
            <w:tcW w:w="10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E2E0F" w:rsidRPr="00C53E26" w:rsidRDefault="00BE2E0F" w:rsidP="00E97F71">
            <w:r w:rsidRPr="00C53E26">
              <w:t xml:space="preserve"> 0002</w:t>
            </w:r>
          </w:p>
        </w:tc>
        <w:tc>
          <w:tcPr>
            <w:tcW w:w="54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E0F" w:rsidRPr="00C53E26" w:rsidRDefault="00BE2E0F" w:rsidP="00E97F71">
            <w:pPr>
              <w:pStyle w:val="NormalWeb"/>
              <w:shd w:val="clear" w:color="auto" w:fill="FFFFFF"/>
              <w:spacing w:line="250" w:lineRule="atLeast"/>
              <w:ind w:left="360"/>
              <w:jc w:val="both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C53E26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Clare RM, Bradley BA, Sun D, Bae S, McGann CR.  </w:t>
            </w:r>
            <w:proofErr w:type="spellStart"/>
            <w:r w:rsidRPr="00C53E26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QuakeCoRE</w:t>
            </w:r>
            <w:proofErr w:type="spellEnd"/>
            <w:r w:rsidRPr="00C53E26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 xml:space="preserve"> and </w:t>
            </w:r>
            <w:proofErr w:type="spellStart"/>
            <w:r w:rsidRPr="00C53E26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NeSI’s</w:t>
            </w:r>
            <w:proofErr w:type="spellEnd"/>
            <w:r w:rsidRPr="00C53E26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 xml:space="preserve"> strategic partnership towards earthquake resilience via High Performance Computing.  </w:t>
            </w:r>
            <w:proofErr w:type="spellStart"/>
            <w:proofErr w:type="gramStart"/>
            <w:r w:rsidRPr="00C53E26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eResearch</w:t>
            </w:r>
            <w:proofErr w:type="spellEnd"/>
            <w:proofErr w:type="gramEnd"/>
            <w:r w:rsidRPr="00C53E26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 xml:space="preserve"> NZ Conference.  Queenstown, NZ, 9-11 February 2016. (poster)”</w:t>
            </w:r>
          </w:p>
          <w:p w:rsidR="00BE2E0F" w:rsidRPr="00C53E26" w:rsidRDefault="00BE2E0F" w:rsidP="00E97F71">
            <w:pPr>
              <w:pStyle w:val="NormalWeb"/>
              <w:shd w:val="clear" w:color="auto" w:fill="FFFFFF"/>
              <w:spacing w:line="250" w:lineRule="atLeast"/>
              <w:ind w:left="360"/>
              <w:jc w:val="both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</w:p>
        </w:tc>
        <w:tc>
          <w:tcPr>
            <w:tcW w:w="110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E0F" w:rsidRDefault="00BE2E0F" w:rsidP="00E97F71">
            <w:r w:rsidRPr="00C53E26">
              <w:t>Published</w:t>
            </w:r>
          </w:p>
        </w:tc>
        <w:tc>
          <w:tcPr>
            <w:tcW w:w="105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BE2E0F" w:rsidRPr="00C53E26" w:rsidRDefault="00BE2E0F" w:rsidP="00E97F71">
            <w:r w:rsidRPr="00C53E26">
              <w:t>Conference</w:t>
            </w:r>
          </w:p>
        </w:tc>
      </w:tr>
      <w:tr w:rsidR="00863528" w:rsidTr="00C53E26">
        <w:trPr>
          <w:trHeight w:val="1303"/>
        </w:trPr>
        <w:tc>
          <w:tcPr>
            <w:tcW w:w="10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63528" w:rsidRPr="00C53E26" w:rsidRDefault="00863528" w:rsidP="00863528">
            <w:r w:rsidRPr="00C53E26">
              <w:t>0003</w:t>
            </w:r>
          </w:p>
        </w:tc>
        <w:tc>
          <w:tcPr>
            <w:tcW w:w="54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042C" w:rsidRDefault="00863528" w:rsidP="0096042C">
            <w:pPr>
              <w:spacing w:after="240"/>
            </w:pPr>
            <w:r w:rsidRPr="00C53E26">
              <w:t xml:space="preserve"> GIARETTON, M., DIZHUR, D., INGHAM, J. </w:t>
            </w:r>
            <w:r w:rsidR="0096042C">
              <w:t xml:space="preserve">(2016). "Dynamic testing of as-built clay brick unreinforced masonry parapets". In </w:t>
            </w:r>
            <w:r w:rsidR="0096042C">
              <w:rPr>
                <w:i/>
                <w:iCs/>
              </w:rPr>
              <w:t>Engineering Structures</w:t>
            </w:r>
            <w:r w:rsidR="0096042C">
              <w:t>, 127, pp 676-685, DOI 10.1016/j.engstruct.2016.09.016</w:t>
            </w:r>
          </w:p>
          <w:p w:rsidR="0096042C" w:rsidRDefault="00276C22" w:rsidP="0096042C">
            <w:pPr>
              <w:spacing w:after="240"/>
            </w:pPr>
            <w:hyperlink r:id="rId4" w:history="1">
              <w:r w:rsidR="0096042C">
                <w:rPr>
                  <w:rStyle w:val="Hyperlink"/>
                </w:rPr>
                <w:t>http://www.sciencedirect.com/science/article/pii/S0141029616305788</w:t>
              </w:r>
            </w:hyperlink>
          </w:p>
          <w:p w:rsidR="00863528" w:rsidRDefault="00863528" w:rsidP="00863528">
            <w:pPr>
              <w:ind w:left="567" w:hanging="567"/>
            </w:pPr>
          </w:p>
        </w:tc>
        <w:tc>
          <w:tcPr>
            <w:tcW w:w="110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3528" w:rsidRDefault="0096042C" w:rsidP="00863528">
            <w:r>
              <w:rPr>
                <w:rFonts w:ascii="Calibri" w:hAnsi="Calibri"/>
              </w:rPr>
              <w:t>Published</w:t>
            </w:r>
          </w:p>
        </w:tc>
        <w:tc>
          <w:tcPr>
            <w:tcW w:w="105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863528" w:rsidRDefault="00863528" w:rsidP="00863528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Journal</w:t>
            </w:r>
          </w:p>
        </w:tc>
      </w:tr>
      <w:tr w:rsidR="00863528" w:rsidTr="00C53E26">
        <w:trPr>
          <w:trHeight w:val="1303"/>
        </w:trPr>
        <w:tc>
          <w:tcPr>
            <w:tcW w:w="10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63528" w:rsidRPr="00C53E26" w:rsidRDefault="00863528" w:rsidP="00863528">
            <w:r w:rsidRPr="00C53E26">
              <w:t>0004</w:t>
            </w:r>
          </w:p>
        </w:tc>
        <w:tc>
          <w:tcPr>
            <w:tcW w:w="54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3528" w:rsidRDefault="00863528" w:rsidP="00863528">
            <w:pPr>
              <w:ind w:left="567" w:hanging="567"/>
            </w:pPr>
            <w:r w:rsidRPr="00C53E26">
              <w:t xml:space="preserve">DIZHUR, D., LUMANTARNA, R., BIGGS, D., INGHAM, J. ‘In-situ assessment of the physical and mechanical properties of vintage solid clay bricks’. Materials and Structures (third round of reviews). </w:t>
            </w:r>
          </w:p>
        </w:tc>
        <w:tc>
          <w:tcPr>
            <w:tcW w:w="110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3528" w:rsidRDefault="00863528" w:rsidP="00863528">
            <w:r>
              <w:rPr>
                <w:rFonts w:ascii="Calibri" w:hAnsi="Calibri"/>
              </w:rPr>
              <w:t>Submitted</w:t>
            </w:r>
          </w:p>
        </w:tc>
        <w:tc>
          <w:tcPr>
            <w:tcW w:w="105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863528" w:rsidRDefault="00863528" w:rsidP="00863528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Journal</w:t>
            </w:r>
          </w:p>
        </w:tc>
      </w:tr>
      <w:tr w:rsidR="00863528" w:rsidTr="00C53E26">
        <w:trPr>
          <w:trHeight w:val="1303"/>
        </w:trPr>
        <w:tc>
          <w:tcPr>
            <w:tcW w:w="10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63528" w:rsidRPr="00C53E26" w:rsidRDefault="00863528" w:rsidP="00863528">
            <w:r w:rsidRPr="00C53E26">
              <w:t>0005</w:t>
            </w:r>
          </w:p>
        </w:tc>
        <w:tc>
          <w:tcPr>
            <w:tcW w:w="54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3528" w:rsidRDefault="00264BBF" w:rsidP="00863528">
            <w:pPr>
              <w:ind w:left="567" w:hanging="567"/>
            </w:pPr>
            <w:r>
              <w:t xml:space="preserve"> GIARETTON, M., DIZHUR, D., INGHAM, J. ‘Shaking table testing of as-built and retrofitted clay brick URM cavity-walls’. </w:t>
            </w:r>
            <w:r>
              <w:rPr>
                <w:i/>
                <w:iCs/>
              </w:rPr>
              <w:t>Engineering Structures</w:t>
            </w:r>
            <w:r>
              <w:t xml:space="preserve">. </w:t>
            </w:r>
            <w:r>
              <w:rPr>
                <w:i/>
                <w:iCs/>
              </w:rPr>
              <w:t>125,</w:t>
            </w:r>
            <w:r>
              <w:t xml:space="preserve"> 70-79. </w:t>
            </w:r>
            <w:hyperlink r:id="rId5" w:history="1">
              <w:r>
                <w:rPr>
                  <w:rStyle w:val="Hyperlink"/>
                </w:rPr>
                <w:t>http://dx.doi.org/10.1016/j.engstruct.2016.06.032</w:t>
              </w:r>
            </w:hyperlink>
            <w:r>
              <w:t>.</w:t>
            </w:r>
          </w:p>
        </w:tc>
        <w:tc>
          <w:tcPr>
            <w:tcW w:w="110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3528" w:rsidRDefault="00264BBF" w:rsidP="00863528">
            <w:r>
              <w:rPr>
                <w:rFonts w:ascii="Calibri" w:hAnsi="Calibri"/>
              </w:rPr>
              <w:t>Published</w:t>
            </w:r>
          </w:p>
        </w:tc>
        <w:tc>
          <w:tcPr>
            <w:tcW w:w="105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863528" w:rsidRDefault="00863528" w:rsidP="00863528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Journal</w:t>
            </w:r>
          </w:p>
        </w:tc>
      </w:tr>
      <w:tr w:rsidR="00863528" w:rsidTr="00C53E26">
        <w:trPr>
          <w:trHeight w:val="1303"/>
        </w:trPr>
        <w:tc>
          <w:tcPr>
            <w:tcW w:w="10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63528" w:rsidRPr="00C53E26" w:rsidRDefault="00863528" w:rsidP="00863528">
            <w:r w:rsidRPr="00C53E26">
              <w:t>0006</w:t>
            </w:r>
          </w:p>
        </w:tc>
        <w:tc>
          <w:tcPr>
            <w:tcW w:w="54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3528" w:rsidRDefault="00863528" w:rsidP="00863528">
            <w:pPr>
              <w:ind w:left="567" w:hanging="567"/>
            </w:pPr>
            <w:r w:rsidRPr="00C53E26">
              <w:t xml:space="preserve">GIARETTON, M., DIZHUR, D., INGHAM, J. ‘Experimental validation of seismic retrofit solutions for URM chimneys’. Bulletin of Earthquake Engineering (first round of reviews). </w:t>
            </w:r>
          </w:p>
        </w:tc>
        <w:tc>
          <w:tcPr>
            <w:tcW w:w="110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3528" w:rsidRDefault="00863528" w:rsidP="00863528">
            <w:r>
              <w:rPr>
                <w:rFonts w:ascii="Calibri" w:hAnsi="Calibri"/>
              </w:rPr>
              <w:t>Submitted</w:t>
            </w:r>
          </w:p>
        </w:tc>
        <w:tc>
          <w:tcPr>
            <w:tcW w:w="105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863528" w:rsidRDefault="00863528" w:rsidP="00863528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Journal</w:t>
            </w:r>
          </w:p>
        </w:tc>
      </w:tr>
      <w:tr w:rsidR="00863528" w:rsidTr="00C53E26">
        <w:trPr>
          <w:trHeight w:val="1303"/>
        </w:trPr>
        <w:tc>
          <w:tcPr>
            <w:tcW w:w="10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63528" w:rsidRPr="00C53E26" w:rsidRDefault="00863528" w:rsidP="00863528">
            <w:r w:rsidRPr="00C53E26">
              <w:lastRenderedPageBreak/>
              <w:t>0007</w:t>
            </w:r>
          </w:p>
        </w:tc>
        <w:tc>
          <w:tcPr>
            <w:tcW w:w="54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3528" w:rsidRDefault="00863528" w:rsidP="00863528">
            <w:pPr>
              <w:ind w:left="567" w:hanging="567"/>
            </w:pPr>
            <w:r w:rsidRPr="00C53E26">
              <w:t xml:space="preserve">GIARETTON, M., DIZHUR, D., INGHAM, J. ‘Out-Of-Plane Earthquake Performance of As-Built Clay Brick Unreinforced Masonry Parapets’. Engineering Structures (second round of reviews). </w:t>
            </w:r>
          </w:p>
        </w:tc>
        <w:tc>
          <w:tcPr>
            <w:tcW w:w="110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3528" w:rsidRDefault="00863528" w:rsidP="00863528">
            <w:r>
              <w:rPr>
                <w:rFonts w:ascii="Calibri" w:hAnsi="Calibri"/>
              </w:rPr>
              <w:t>Submitted</w:t>
            </w:r>
          </w:p>
        </w:tc>
        <w:tc>
          <w:tcPr>
            <w:tcW w:w="105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863528" w:rsidRDefault="00863528" w:rsidP="00863528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Journal</w:t>
            </w:r>
          </w:p>
        </w:tc>
      </w:tr>
      <w:tr w:rsidR="00863528" w:rsidTr="00C53E26">
        <w:trPr>
          <w:trHeight w:val="1303"/>
        </w:trPr>
        <w:tc>
          <w:tcPr>
            <w:tcW w:w="10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63528" w:rsidRPr="00C53E26" w:rsidRDefault="00863528" w:rsidP="00863528">
            <w:r w:rsidRPr="00C53E26">
              <w:t>0008</w:t>
            </w:r>
          </w:p>
        </w:tc>
        <w:tc>
          <w:tcPr>
            <w:tcW w:w="54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3528" w:rsidRDefault="005D4E5A" w:rsidP="00863528">
            <w:pPr>
              <w:ind w:left="567" w:hanging="567"/>
            </w:pPr>
            <w:r>
              <w:t xml:space="preserve">KNOX, C., DIZHUR, D., </w:t>
            </w:r>
            <w:r>
              <w:rPr>
                <w:b/>
                <w:bCs/>
              </w:rPr>
              <w:t>INGHAM, J.</w:t>
            </w:r>
            <w:r>
              <w:t xml:space="preserve"> ‘Experimental cyclic testing of replicated URM pier-spandrel substructures’, Journal of Structural Engineering. </w:t>
            </w:r>
            <w:hyperlink r:id="rId6" w:history="1">
              <w:r>
                <w:rPr>
                  <w:rStyle w:val="Hyperlink"/>
                </w:rPr>
                <w:t>http://dx.doi.org/10.1061/(ASCE)ST.1943-541X.0001650</w:t>
              </w:r>
            </w:hyperlink>
          </w:p>
        </w:tc>
        <w:tc>
          <w:tcPr>
            <w:tcW w:w="110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3528" w:rsidRDefault="005D4E5A" w:rsidP="00863528">
            <w:r>
              <w:rPr>
                <w:rFonts w:ascii="Calibri" w:hAnsi="Calibri"/>
              </w:rPr>
              <w:t>Published</w:t>
            </w:r>
          </w:p>
        </w:tc>
        <w:tc>
          <w:tcPr>
            <w:tcW w:w="105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863528" w:rsidRDefault="00863528" w:rsidP="00863528">
            <w:pPr>
              <w:rPr>
                <w:rFonts w:ascii="Calibri" w:hAnsi="Calibri"/>
              </w:rPr>
            </w:pPr>
            <w:r>
              <w:rPr>
                <w:lang w:val="en-US"/>
              </w:rPr>
              <w:t>Journal</w:t>
            </w:r>
          </w:p>
        </w:tc>
      </w:tr>
      <w:tr w:rsidR="00863528" w:rsidTr="00C53E26">
        <w:trPr>
          <w:trHeight w:val="1303"/>
        </w:trPr>
        <w:tc>
          <w:tcPr>
            <w:tcW w:w="10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63528" w:rsidRPr="00C53E26" w:rsidRDefault="00863528" w:rsidP="00863528">
            <w:r w:rsidRPr="00C53E26">
              <w:t>0009</w:t>
            </w:r>
          </w:p>
        </w:tc>
        <w:tc>
          <w:tcPr>
            <w:tcW w:w="54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3528" w:rsidRDefault="00863528" w:rsidP="00863528">
            <w:pPr>
              <w:ind w:left="567" w:hanging="567"/>
            </w:pPr>
            <w:r w:rsidRPr="00C53E26">
              <w:t xml:space="preserve">GIARETTON, M., DIZHUR, D., DA PORTO, F., INGHAM, J. M. ‘Post-Earthquake Reconnaissance of Unreinforced and Retrofitted Masonry Parapets’. Earthquake Spectra. In-Press. </w:t>
            </w:r>
            <w:hyperlink r:id="rId7" w:history="1">
              <w:r w:rsidRPr="00C53E26">
                <w:t>http://dx.doi.org/10.1193/121715EQS184M</w:t>
              </w:r>
            </w:hyperlink>
          </w:p>
        </w:tc>
        <w:tc>
          <w:tcPr>
            <w:tcW w:w="110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3528" w:rsidRDefault="00863528" w:rsidP="00863528">
            <w:r>
              <w:rPr>
                <w:rFonts w:ascii="Calibri" w:hAnsi="Calibri"/>
              </w:rPr>
              <w:t>Accepted</w:t>
            </w:r>
          </w:p>
        </w:tc>
        <w:tc>
          <w:tcPr>
            <w:tcW w:w="105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863528" w:rsidRDefault="00863528" w:rsidP="00863528">
            <w:pPr>
              <w:rPr>
                <w:rFonts w:ascii="Calibri" w:hAnsi="Calibri"/>
              </w:rPr>
            </w:pPr>
            <w:r>
              <w:rPr>
                <w:lang w:val="en-US"/>
              </w:rPr>
              <w:t>Journal</w:t>
            </w:r>
          </w:p>
        </w:tc>
      </w:tr>
      <w:tr w:rsidR="00863528" w:rsidTr="00C53E26">
        <w:trPr>
          <w:trHeight w:val="1303"/>
        </w:trPr>
        <w:tc>
          <w:tcPr>
            <w:tcW w:w="10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63528" w:rsidRPr="00C53E26" w:rsidRDefault="00863528" w:rsidP="00863528">
            <w:r w:rsidRPr="00C53E26">
              <w:t>0010</w:t>
            </w:r>
          </w:p>
        </w:tc>
        <w:tc>
          <w:tcPr>
            <w:tcW w:w="54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3528" w:rsidRDefault="00863528" w:rsidP="00863528">
            <w:pPr>
              <w:ind w:left="567" w:hanging="567"/>
            </w:pPr>
            <w:r w:rsidRPr="00C53E26">
              <w:t xml:space="preserve">DIZHUR, D., SCHULTZ, A., INGHAM, J. ‘Pull-Out </w:t>
            </w:r>
            <w:proofErr w:type="spellStart"/>
            <w:r w:rsidRPr="00C53E26">
              <w:t>Behavior</w:t>
            </w:r>
            <w:proofErr w:type="spellEnd"/>
            <w:r w:rsidRPr="00C53E26">
              <w:t xml:space="preserve"> of Adhesive Connections in URM Walls’, Earthquake Spectra. In-Press. </w:t>
            </w:r>
            <w:hyperlink r:id="rId8" w:history="1">
              <w:r w:rsidRPr="00C53E26">
                <w:t>http://dx.doi.org/10.1193/011115EQS006M</w:t>
              </w:r>
            </w:hyperlink>
          </w:p>
        </w:tc>
        <w:tc>
          <w:tcPr>
            <w:tcW w:w="110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3528" w:rsidRDefault="00863528" w:rsidP="00863528">
            <w:r>
              <w:rPr>
                <w:rFonts w:ascii="Calibri" w:hAnsi="Calibri"/>
              </w:rPr>
              <w:t>Accepted</w:t>
            </w:r>
          </w:p>
        </w:tc>
        <w:tc>
          <w:tcPr>
            <w:tcW w:w="105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863528" w:rsidRDefault="00863528" w:rsidP="00863528">
            <w:pPr>
              <w:rPr>
                <w:rFonts w:ascii="Calibri" w:hAnsi="Calibri"/>
              </w:rPr>
            </w:pPr>
            <w:r>
              <w:rPr>
                <w:lang w:val="en-US"/>
              </w:rPr>
              <w:t>Journal</w:t>
            </w:r>
          </w:p>
        </w:tc>
      </w:tr>
      <w:tr w:rsidR="00863528" w:rsidTr="00C53E26">
        <w:trPr>
          <w:trHeight w:val="1303"/>
        </w:trPr>
        <w:tc>
          <w:tcPr>
            <w:tcW w:w="10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63528" w:rsidRPr="00C53E26" w:rsidRDefault="00863528" w:rsidP="00863528">
            <w:r w:rsidRPr="00C53E26">
              <w:t>0011</w:t>
            </w:r>
          </w:p>
        </w:tc>
        <w:tc>
          <w:tcPr>
            <w:tcW w:w="54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3528" w:rsidRDefault="00863528" w:rsidP="00863528">
            <w:pPr>
              <w:ind w:left="567" w:hanging="567"/>
            </w:pPr>
            <w:r w:rsidRPr="00C53E26">
              <w:t xml:space="preserve">LIN, Y.-W., </w:t>
            </w:r>
            <w:r w:rsidR="006C64E0" w:rsidRPr="006C64E0">
              <w:t>LAWLEY, D.,</w:t>
            </w:r>
            <w:r w:rsidR="006C64E0">
              <w:rPr>
                <w:color w:val="FF0000"/>
              </w:rPr>
              <w:t xml:space="preserve"> </w:t>
            </w:r>
            <w:r w:rsidRPr="00C53E26">
              <w:t xml:space="preserve">WOTHERSPOON, L. INGHAM, J. M. ‘Out-of-plane testing of unreinforced masonry walls using ECC shotcrete’, Structures, 7, 33-42. </w:t>
            </w:r>
            <w:hyperlink r:id="rId9" w:history="1">
              <w:r w:rsidRPr="00C53E26">
                <w:t>http://dx.doi.org/10.1016/j.istruc.2016.04.005</w:t>
              </w:r>
            </w:hyperlink>
          </w:p>
        </w:tc>
        <w:tc>
          <w:tcPr>
            <w:tcW w:w="110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3528" w:rsidRDefault="00863528" w:rsidP="00863528">
            <w:r>
              <w:rPr>
                <w:rFonts w:ascii="Calibri" w:hAnsi="Calibri"/>
              </w:rPr>
              <w:t>Published</w:t>
            </w:r>
          </w:p>
        </w:tc>
        <w:tc>
          <w:tcPr>
            <w:tcW w:w="105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863528" w:rsidRDefault="00863528" w:rsidP="00863528">
            <w:pPr>
              <w:rPr>
                <w:rFonts w:ascii="Calibri" w:hAnsi="Calibri"/>
              </w:rPr>
            </w:pPr>
            <w:r>
              <w:rPr>
                <w:lang w:val="en-US"/>
              </w:rPr>
              <w:t>Journal</w:t>
            </w:r>
          </w:p>
        </w:tc>
      </w:tr>
      <w:tr w:rsidR="00863528" w:rsidTr="00C53E26">
        <w:trPr>
          <w:trHeight w:val="1303"/>
        </w:trPr>
        <w:tc>
          <w:tcPr>
            <w:tcW w:w="10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63528" w:rsidRPr="00C53E26" w:rsidRDefault="00863528" w:rsidP="00863528">
            <w:r w:rsidRPr="00C53E26">
              <w:t>0012</w:t>
            </w:r>
          </w:p>
        </w:tc>
        <w:tc>
          <w:tcPr>
            <w:tcW w:w="54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3528" w:rsidRDefault="00863528" w:rsidP="00863528">
            <w:pPr>
              <w:ind w:left="567" w:hanging="567"/>
            </w:pPr>
            <w:r w:rsidRPr="00C53E26">
              <w:t xml:space="preserve">GIARETTON, M., DIZHUR, D., DA PORTO, F., INGHAM, J. M. ‘Construction Details and Observed Earthquake Performance of Unreinforced Clay Brick Masonry Cavity-walls’, Structures, 6, 159-169. </w:t>
            </w:r>
            <w:hyperlink r:id="rId10" w:history="1">
              <w:r w:rsidRPr="00C53E26">
                <w:t>http://dx.doi.org/10.1016/j.istruc.2016.04.004</w:t>
              </w:r>
            </w:hyperlink>
          </w:p>
        </w:tc>
        <w:tc>
          <w:tcPr>
            <w:tcW w:w="110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3528" w:rsidRDefault="00863528" w:rsidP="00863528">
            <w:r>
              <w:rPr>
                <w:rFonts w:ascii="Calibri" w:hAnsi="Calibri"/>
              </w:rPr>
              <w:t>Published</w:t>
            </w:r>
          </w:p>
        </w:tc>
        <w:tc>
          <w:tcPr>
            <w:tcW w:w="105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863528" w:rsidRDefault="00863528" w:rsidP="00863528">
            <w:pPr>
              <w:rPr>
                <w:rFonts w:ascii="Calibri" w:hAnsi="Calibri"/>
              </w:rPr>
            </w:pPr>
            <w:r>
              <w:rPr>
                <w:lang w:val="en-US"/>
              </w:rPr>
              <w:t>Journal</w:t>
            </w:r>
          </w:p>
        </w:tc>
      </w:tr>
      <w:tr w:rsidR="00863528" w:rsidTr="00C53E26">
        <w:trPr>
          <w:trHeight w:val="1303"/>
        </w:trPr>
        <w:tc>
          <w:tcPr>
            <w:tcW w:w="10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63528" w:rsidRPr="00C53E26" w:rsidRDefault="00863528" w:rsidP="00863528">
            <w:r w:rsidRPr="00C53E26">
              <w:t>0013</w:t>
            </w:r>
          </w:p>
        </w:tc>
        <w:tc>
          <w:tcPr>
            <w:tcW w:w="54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3528" w:rsidRPr="00C53E26" w:rsidRDefault="00863528" w:rsidP="00863528">
            <w:pPr>
              <w:ind w:left="567" w:hanging="567"/>
            </w:pPr>
            <w:r w:rsidRPr="00C53E26">
              <w:t xml:space="preserve">DIZHUR, D. LUMANTARNA, R., INGHAM, J. M. ‘Assessment of mortar properties in vintage clay brick unreinforced masonry buildings’, Materials and Structures, 49, 5, 1677-1692. </w:t>
            </w:r>
            <w:hyperlink r:id="rId11" w:history="1">
              <w:r w:rsidRPr="00C53E26">
                <w:t>http://dx.doi.org/10.1617/s11527-015-0604-8</w:t>
              </w:r>
            </w:hyperlink>
          </w:p>
        </w:tc>
        <w:tc>
          <w:tcPr>
            <w:tcW w:w="110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3528" w:rsidRDefault="00863528" w:rsidP="00863528">
            <w:r>
              <w:rPr>
                <w:rFonts w:ascii="Calibri" w:hAnsi="Calibri"/>
              </w:rPr>
              <w:t>Published</w:t>
            </w:r>
          </w:p>
        </w:tc>
        <w:tc>
          <w:tcPr>
            <w:tcW w:w="105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863528" w:rsidRDefault="00863528" w:rsidP="00863528">
            <w:pPr>
              <w:rPr>
                <w:rFonts w:ascii="Calibri" w:hAnsi="Calibri"/>
              </w:rPr>
            </w:pPr>
            <w:r>
              <w:rPr>
                <w:lang w:val="en-US"/>
              </w:rPr>
              <w:t>Journal</w:t>
            </w:r>
          </w:p>
        </w:tc>
      </w:tr>
      <w:tr w:rsidR="00863528" w:rsidTr="00C53E26">
        <w:trPr>
          <w:trHeight w:val="1303"/>
        </w:trPr>
        <w:tc>
          <w:tcPr>
            <w:tcW w:w="10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63528" w:rsidRPr="00C53E26" w:rsidRDefault="00863528" w:rsidP="00863528">
            <w:r w:rsidRPr="00C53E26">
              <w:t>0014</w:t>
            </w:r>
          </w:p>
        </w:tc>
        <w:tc>
          <w:tcPr>
            <w:tcW w:w="54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3528" w:rsidRDefault="00863528" w:rsidP="00863528">
            <w:pPr>
              <w:ind w:left="567" w:hanging="567"/>
            </w:pPr>
            <w:r w:rsidRPr="00C53E26">
              <w:t xml:space="preserve">ISMAIL, N., INGHAM, J. M. ‘In-plane and out-of-plane testing of unreinforced masonry walls strengthened using polymer textile reinforced mortar’, Engineering Structures, 118, 167-177. </w:t>
            </w:r>
            <w:hyperlink r:id="rId12" w:history="1">
              <w:r w:rsidRPr="00C53E26">
                <w:t>http://dx.doi.org/10.1016/j.engstruct.2016.03.041</w:t>
              </w:r>
            </w:hyperlink>
          </w:p>
        </w:tc>
        <w:tc>
          <w:tcPr>
            <w:tcW w:w="110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3528" w:rsidRDefault="00863528" w:rsidP="00863528">
            <w:r>
              <w:rPr>
                <w:rFonts w:ascii="Calibri" w:hAnsi="Calibri"/>
              </w:rPr>
              <w:t>Published</w:t>
            </w:r>
          </w:p>
        </w:tc>
        <w:tc>
          <w:tcPr>
            <w:tcW w:w="105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863528" w:rsidRDefault="00863528" w:rsidP="00863528">
            <w:pPr>
              <w:rPr>
                <w:rFonts w:ascii="Calibri" w:hAnsi="Calibri"/>
              </w:rPr>
            </w:pPr>
            <w:r>
              <w:rPr>
                <w:lang w:val="en-US"/>
              </w:rPr>
              <w:t>Journal</w:t>
            </w:r>
          </w:p>
        </w:tc>
      </w:tr>
      <w:tr w:rsidR="00863528" w:rsidTr="00C53E26">
        <w:trPr>
          <w:trHeight w:val="1303"/>
        </w:trPr>
        <w:tc>
          <w:tcPr>
            <w:tcW w:w="10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63528" w:rsidRPr="00C53E26" w:rsidRDefault="00863528" w:rsidP="00863528">
            <w:r w:rsidRPr="00C53E26">
              <w:t>0015</w:t>
            </w:r>
          </w:p>
        </w:tc>
        <w:tc>
          <w:tcPr>
            <w:tcW w:w="54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3528" w:rsidRDefault="00863528" w:rsidP="00863528">
            <w:pPr>
              <w:ind w:left="567" w:hanging="567"/>
            </w:pPr>
            <w:r w:rsidRPr="00C53E26">
              <w:t xml:space="preserve">DERAKHSHAN, H., GRIFFITH, M. C., INGHAM, J. M. ‘Out-of-plane seismic response of vertically spanning unreinforced masonry walls connected to flexible diaphragms’, Earthquake Engineering and Structural Dynamics, 45, 4, 563-580. </w:t>
            </w:r>
            <w:hyperlink r:id="rId13" w:history="1">
              <w:r w:rsidRPr="00C53E26">
                <w:t>http://dx.doi.org/10.1002/eqe.2671</w:t>
              </w:r>
            </w:hyperlink>
          </w:p>
        </w:tc>
        <w:tc>
          <w:tcPr>
            <w:tcW w:w="110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3528" w:rsidRDefault="00863528" w:rsidP="00863528">
            <w:r>
              <w:rPr>
                <w:rFonts w:ascii="Calibri" w:hAnsi="Calibri"/>
              </w:rPr>
              <w:t>Published</w:t>
            </w:r>
          </w:p>
        </w:tc>
        <w:tc>
          <w:tcPr>
            <w:tcW w:w="105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863528" w:rsidRDefault="00863528" w:rsidP="00863528">
            <w:pPr>
              <w:rPr>
                <w:rFonts w:ascii="Calibri" w:hAnsi="Calibri"/>
              </w:rPr>
            </w:pPr>
            <w:r>
              <w:rPr>
                <w:lang w:val="en-US"/>
              </w:rPr>
              <w:t>Journal</w:t>
            </w:r>
          </w:p>
        </w:tc>
      </w:tr>
      <w:tr w:rsidR="00863528" w:rsidTr="00C53E26">
        <w:trPr>
          <w:trHeight w:val="1303"/>
        </w:trPr>
        <w:tc>
          <w:tcPr>
            <w:tcW w:w="10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63528" w:rsidRPr="00C53E26" w:rsidRDefault="00863528" w:rsidP="00863528">
            <w:r w:rsidRPr="00C53E26">
              <w:t>0016</w:t>
            </w:r>
          </w:p>
        </w:tc>
        <w:tc>
          <w:tcPr>
            <w:tcW w:w="54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3528" w:rsidRDefault="00863528" w:rsidP="00863528">
            <w:pPr>
              <w:ind w:left="567" w:hanging="567"/>
            </w:pPr>
            <w:r w:rsidRPr="00C53E26">
              <w:t xml:space="preserve">ABDUL KARIM, A. R., M.SA’DON, N., INGHAM, J. M. ‘Structural Dynamic Response of an Unreinforced Masonry House using Non-Destructive Forced Vibration’, Journal of Earthquake Engineering, 20, 1, 1-11. </w:t>
            </w:r>
            <w:hyperlink r:id="rId14" w:history="1">
              <w:r w:rsidRPr="00C53E26">
                <w:t>http://dx.doi.org/10.1080/13632469.2015.1051247</w:t>
              </w:r>
            </w:hyperlink>
          </w:p>
        </w:tc>
        <w:tc>
          <w:tcPr>
            <w:tcW w:w="110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3528" w:rsidRDefault="00863528" w:rsidP="00863528">
            <w:r>
              <w:rPr>
                <w:rFonts w:ascii="Calibri" w:hAnsi="Calibri"/>
              </w:rPr>
              <w:t>Published</w:t>
            </w:r>
          </w:p>
        </w:tc>
        <w:tc>
          <w:tcPr>
            <w:tcW w:w="105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863528" w:rsidRDefault="00863528" w:rsidP="00863528">
            <w:pPr>
              <w:rPr>
                <w:rFonts w:ascii="Calibri" w:hAnsi="Calibri"/>
              </w:rPr>
            </w:pPr>
            <w:r>
              <w:rPr>
                <w:lang w:val="en-US"/>
              </w:rPr>
              <w:t>Journal</w:t>
            </w:r>
          </w:p>
        </w:tc>
      </w:tr>
      <w:tr w:rsidR="00863528" w:rsidTr="00C53E26">
        <w:trPr>
          <w:trHeight w:val="1303"/>
        </w:trPr>
        <w:tc>
          <w:tcPr>
            <w:tcW w:w="10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63528" w:rsidRPr="00C53E26" w:rsidRDefault="00863528" w:rsidP="00863528">
            <w:r w:rsidRPr="00C53E26">
              <w:lastRenderedPageBreak/>
              <w:t>0017</w:t>
            </w:r>
          </w:p>
        </w:tc>
        <w:tc>
          <w:tcPr>
            <w:tcW w:w="54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3528" w:rsidRDefault="00863528" w:rsidP="00863528">
            <w:r w:rsidRPr="00C53E26">
              <w:t xml:space="preserve">WALSH, K. Q., CUMMUSKEY, P. A., JAFARSADEH, R., INGHAM, J. M. ‘Rapid identification and taxonomical classification of structural seismic attributes in a </w:t>
            </w:r>
            <w:proofErr w:type="spellStart"/>
            <w:r w:rsidRPr="00C53E26">
              <w:t>regionwide</w:t>
            </w:r>
            <w:proofErr w:type="spellEnd"/>
            <w:r w:rsidRPr="00C53E26">
              <w:t xml:space="preserve"> commercial building stock’, ASCE Journal of Constructed Facilities, </w:t>
            </w:r>
            <w:hyperlink r:id="rId15" w:history="1">
              <w:r w:rsidRPr="00C53E26">
                <w:t>http://dx.doi.org/10.1061/(ASCE)CF.1943-5509.0000927</w:t>
              </w:r>
            </w:hyperlink>
          </w:p>
        </w:tc>
        <w:tc>
          <w:tcPr>
            <w:tcW w:w="110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3528" w:rsidRDefault="00AE6562" w:rsidP="00863528">
            <w:r>
              <w:rPr>
                <w:lang w:val="en-US"/>
              </w:rPr>
              <w:t>Published</w:t>
            </w:r>
            <w:r>
              <w:t xml:space="preserve"> </w:t>
            </w:r>
          </w:p>
        </w:tc>
        <w:tc>
          <w:tcPr>
            <w:tcW w:w="105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863528" w:rsidRDefault="00863528" w:rsidP="00863528">
            <w:pPr>
              <w:rPr>
                <w:rFonts w:ascii="Calibri" w:hAnsi="Calibri"/>
              </w:rPr>
            </w:pPr>
            <w:r>
              <w:rPr>
                <w:lang w:val="en-US"/>
              </w:rPr>
              <w:t>Journal</w:t>
            </w:r>
          </w:p>
        </w:tc>
      </w:tr>
      <w:tr w:rsidR="00863528" w:rsidTr="00C53E26">
        <w:trPr>
          <w:trHeight w:val="1303"/>
        </w:trPr>
        <w:tc>
          <w:tcPr>
            <w:tcW w:w="10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63528" w:rsidRPr="00C53E26" w:rsidRDefault="00863528" w:rsidP="00863528">
            <w:r w:rsidRPr="00C53E26">
              <w:t>0018</w:t>
            </w:r>
          </w:p>
        </w:tc>
        <w:tc>
          <w:tcPr>
            <w:tcW w:w="54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3528" w:rsidRDefault="00863528" w:rsidP="00863528">
            <w:pPr>
              <w:ind w:left="567" w:hanging="567"/>
            </w:pPr>
            <w:r>
              <w:t>WALSH, K., DIZHUR, D., INGHAM, J. ‘Estimating Thrust Forces Due To Arching Action of Clay Brick Masonry Infill’. Journal of Structural Engineering (third round of reviews).</w:t>
            </w:r>
          </w:p>
          <w:p w:rsidR="00863528" w:rsidRPr="00C53E26" w:rsidRDefault="00863528" w:rsidP="00863528">
            <w:pPr>
              <w:ind w:left="567" w:hanging="567"/>
            </w:pPr>
          </w:p>
        </w:tc>
        <w:tc>
          <w:tcPr>
            <w:tcW w:w="110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3528" w:rsidRDefault="00863528" w:rsidP="00863528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Accepted</w:t>
            </w:r>
          </w:p>
          <w:p w:rsidR="00863528" w:rsidRDefault="00863528" w:rsidP="00863528">
            <w:pPr>
              <w:rPr>
                <w:rFonts w:ascii="Calibri" w:hAnsi="Calibri"/>
              </w:rPr>
            </w:pPr>
          </w:p>
        </w:tc>
        <w:tc>
          <w:tcPr>
            <w:tcW w:w="105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863528" w:rsidRDefault="00863528" w:rsidP="00863528">
            <w:pPr>
              <w:rPr>
                <w:rFonts w:ascii="Calibri" w:hAnsi="Calibri"/>
              </w:rPr>
            </w:pPr>
            <w:r>
              <w:rPr>
                <w:lang w:val="en-US"/>
              </w:rPr>
              <w:t>Journal</w:t>
            </w:r>
          </w:p>
        </w:tc>
      </w:tr>
      <w:tr w:rsidR="00863528" w:rsidTr="00C53E26">
        <w:trPr>
          <w:trHeight w:val="1303"/>
        </w:trPr>
        <w:tc>
          <w:tcPr>
            <w:tcW w:w="10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63528" w:rsidRPr="00C53E26" w:rsidRDefault="00863528" w:rsidP="00863528">
            <w:r w:rsidRPr="00C53E26">
              <w:t>0019</w:t>
            </w:r>
          </w:p>
        </w:tc>
        <w:tc>
          <w:tcPr>
            <w:tcW w:w="54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3528" w:rsidRPr="00B52ECD" w:rsidRDefault="00863528" w:rsidP="00863528">
            <w:pPr>
              <w:ind w:left="567" w:hanging="567"/>
            </w:pPr>
            <w:r w:rsidRPr="00C53E26">
              <w:t xml:space="preserve"> HENRY, R. S., SRITHARAN, S., INGHAM, J. M. ‘Finite element analysis of the </w:t>
            </w:r>
            <w:proofErr w:type="spellStart"/>
            <w:r w:rsidRPr="00C53E26">
              <w:t>PreWEC</w:t>
            </w:r>
            <w:proofErr w:type="spellEnd"/>
            <w:r w:rsidRPr="00C53E26">
              <w:t xml:space="preserve"> self-</w:t>
            </w:r>
            <w:proofErr w:type="spellStart"/>
            <w:r w:rsidRPr="00C53E26">
              <w:t>centering</w:t>
            </w:r>
            <w:proofErr w:type="spellEnd"/>
            <w:r w:rsidRPr="00C53E26">
              <w:t xml:space="preserve"> concrete wall system’, Engineering Structures, 115, 28-41. </w:t>
            </w:r>
            <w:hyperlink r:id="rId16" w:history="1">
              <w:r w:rsidRPr="00C53E26">
                <w:t>http://dx.doi.org/10.1016/j.engstruct.2016.02.029</w:t>
              </w:r>
            </w:hyperlink>
          </w:p>
        </w:tc>
        <w:tc>
          <w:tcPr>
            <w:tcW w:w="110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3528" w:rsidRDefault="00863528" w:rsidP="00863528">
            <w:pPr>
              <w:rPr>
                <w:rFonts w:ascii="Calibri" w:hAnsi="Calibri"/>
              </w:rPr>
            </w:pPr>
            <w:r>
              <w:rPr>
                <w:lang w:val="en-US"/>
              </w:rPr>
              <w:t>Published</w:t>
            </w:r>
          </w:p>
        </w:tc>
        <w:tc>
          <w:tcPr>
            <w:tcW w:w="105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863528" w:rsidRDefault="00863528" w:rsidP="00863528">
            <w:pPr>
              <w:rPr>
                <w:lang w:val="en-US"/>
              </w:rPr>
            </w:pPr>
            <w:r>
              <w:rPr>
                <w:lang w:val="en-US"/>
              </w:rPr>
              <w:t>Journal</w:t>
            </w:r>
          </w:p>
        </w:tc>
      </w:tr>
      <w:tr w:rsidR="00863528" w:rsidTr="00C53E26">
        <w:trPr>
          <w:trHeight w:val="1303"/>
        </w:trPr>
        <w:tc>
          <w:tcPr>
            <w:tcW w:w="10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63528" w:rsidRPr="00C53E26" w:rsidRDefault="00863528" w:rsidP="00863528">
            <w:r w:rsidRPr="00C53E26">
              <w:t>0020</w:t>
            </w:r>
          </w:p>
        </w:tc>
        <w:tc>
          <w:tcPr>
            <w:tcW w:w="54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3528" w:rsidRPr="00B52ECD" w:rsidRDefault="00863528" w:rsidP="00863528">
            <w:pPr>
              <w:ind w:left="567" w:hanging="567"/>
            </w:pPr>
            <w:r>
              <w:t xml:space="preserve">WALSH, K., HENRY, R., SIMKIN, G., BROOKE, N., DAVIDSON, B., INGHAM, J. ‘Testing of Reinforced Concrete Frames Extracted from a Building Damaged during the Canterbury Earthquakes’, </w:t>
            </w:r>
            <w:r w:rsidRPr="00C53E26">
              <w:t>ACI Structural Journal, 113</w:t>
            </w:r>
            <w:r>
              <w:t>, 2, 349-362.</w:t>
            </w:r>
          </w:p>
        </w:tc>
        <w:tc>
          <w:tcPr>
            <w:tcW w:w="110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3528" w:rsidRDefault="00863528" w:rsidP="00863528">
            <w:pPr>
              <w:rPr>
                <w:rFonts w:ascii="Calibri" w:hAnsi="Calibri"/>
              </w:rPr>
            </w:pPr>
            <w:r>
              <w:rPr>
                <w:lang w:val="en-US"/>
              </w:rPr>
              <w:t>Published</w:t>
            </w:r>
          </w:p>
        </w:tc>
        <w:tc>
          <w:tcPr>
            <w:tcW w:w="105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863528" w:rsidRDefault="00863528" w:rsidP="00863528">
            <w:pPr>
              <w:rPr>
                <w:lang w:val="en-US"/>
              </w:rPr>
            </w:pPr>
            <w:r>
              <w:rPr>
                <w:lang w:val="en-US"/>
              </w:rPr>
              <w:t>Journal</w:t>
            </w:r>
          </w:p>
        </w:tc>
      </w:tr>
      <w:tr w:rsidR="00863528" w:rsidTr="00C53E26">
        <w:trPr>
          <w:trHeight w:val="1303"/>
        </w:trPr>
        <w:tc>
          <w:tcPr>
            <w:tcW w:w="10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63528" w:rsidRPr="00C53E26" w:rsidRDefault="00863528" w:rsidP="00863528">
            <w:r w:rsidRPr="00C53E26">
              <w:t>0021</w:t>
            </w:r>
          </w:p>
        </w:tc>
        <w:tc>
          <w:tcPr>
            <w:tcW w:w="54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3528" w:rsidRPr="00B52ECD" w:rsidRDefault="00863528" w:rsidP="00863528">
            <w:pPr>
              <w:ind w:left="567" w:hanging="567"/>
            </w:pPr>
            <w:r w:rsidRPr="00C53E26">
              <w:t xml:space="preserve"> HENRY, R. S., SRITHARAN, S., INGHAM, J. M. ‘Residual drift analyses of realistic self-</w:t>
            </w:r>
            <w:proofErr w:type="spellStart"/>
            <w:r w:rsidRPr="00C53E26">
              <w:t>centering</w:t>
            </w:r>
            <w:proofErr w:type="spellEnd"/>
            <w:r w:rsidRPr="00C53E26">
              <w:t xml:space="preserve"> concrete wall systems, Earthquake and Structures, 10, 2, 409-428. </w:t>
            </w:r>
            <w:hyperlink r:id="rId17" w:history="1">
              <w:r w:rsidRPr="00C53E26">
                <w:t>http://dx.doi.org/10.12989/eas.2016.10.2.409</w:t>
              </w:r>
            </w:hyperlink>
          </w:p>
        </w:tc>
        <w:tc>
          <w:tcPr>
            <w:tcW w:w="110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3528" w:rsidRDefault="00863528" w:rsidP="00863528">
            <w:pPr>
              <w:rPr>
                <w:rFonts w:ascii="Calibri" w:hAnsi="Calibri"/>
              </w:rPr>
            </w:pPr>
            <w:r>
              <w:rPr>
                <w:lang w:val="en-US"/>
              </w:rPr>
              <w:t>Published</w:t>
            </w:r>
          </w:p>
        </w:tc>
        <w:tc>
          <w:tcPr>
            <w:tcW w:w="105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863528" w:rsidRDefault="00863528" w:rsidP="00863528">
            <w:pPr>
              <w:rPr>
                <w:lang w:val="en-US"/>
              </w:rPr>
            </w:pPr>
            <w:r>
              <w:rPr>
                <w:lang w:val="en-US"/>
              </w:rPr>
              <w:t>Journal</w:t>
            </w:r>
          </w:p>
        </w:tc>
      </w:tr>
      <w:tr w:rsidR="00863528" w:rsidTr="00C53E26">
        <w:trPr>
          <w:trHeight w:val="1303"/>
        </w:trPr>
        <w:tc>
          <w:tcPr>
            <w:tcW w:w="10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63528" w:rsidRPr="00C53E26" w:rsidRDefault="00863528" w:rsidP="00863528">
            <w:r w:rsidRPr="00C53E26">
              <w:t>0022</w:t>
            </w:r>
          </w:p>
        </w:tc>
        <w:tc>
          <w:tcPr>
            <w:tcW w:w="54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3528" w:rsidRPr="00B52ECD" w:rsidRDefault="00863528" w:rsidP="00863528">
            <w:pPr>
              <w:ind w:left="567" w:hanging="567"/>
            </w:pPr>
            <w:r w:rsidRPr="00C53E26">
              <w:tab/>
            </w:r>
            <w:r>
              <w:t xml:space="preserve">EDKINS, D. J., ORENSE, R. P., HENRY, R. S., INGHAM, J. M. ‘Signature failure modes of pipelines constructed of different materials when subjected to earthquakes’, </w:t>
            </w:r>
            <w:r w:rsidRPr="00C53E26">
              <w:t>Journal of Pipeline Systems Engineering and Practice, 7</w:t>
            </w:r>
            <w:r>
              <w:t xml:space="preserve">, 1, 04015014, </w:t>
            </w:r>
            <w:hyperlink r:id="rId18" w:history="1">
              <w:r w:rsidRPr="00C53E26">
                <w:t>http://dx.doi.org/10.1061/(ASCE)PS.1949-1204.0000213</w:t>
              </w:r>
            </w:hyperlink>
          </w:p>
        </w:tc>
        <w:tc>
          <w:tcPr>
            <w:tcW w:w="110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3528" w:rsidRDefault="00863528" w:rsidP="00863528">
            <w:pPr>
              <w:rPr>
                <w:rFonts w:ascii="Calibri" w:hAnsi="Calibri"/>
              </w:rPr>
            </w:pPr>
            <w:r>
              <w:rPr>
                <w:lang w:val="en-US"/>
              </w:rPr>
              <w:t>Published</w:t>
            </w:r>
          </w:p>
        </w:tc>
        <w:tc>
          <w:tcPr>
            <w:tcW w:w="105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863528" w:rsidRDefault="00863528" w:rsidP="00863528">
            <w:pPr>
              <w:rPr>
                <w:lang w:val="en-US"/>
              </w:rPr>
            </w:pPr>
            <w:r>
              <w:rPr>
                <w:lang w:val="en-US"/>
              </w:rPr>
              <w:t>Journal</w:t>
            </w:r>
          </w:p>
        </w:tc>
      </w:tr>
      <w:tr w:rsidR="00863528" w:rsidTr="00C53E26">
        <w:trPr>
          <w:trHeight w:val="1303"/>
        </w:trPr>
        <w:tc>
          <w:tcPr>
            <w:tcW w:w="10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63528" w:rsidRPr="00C53E26" w:rsidRDefault="00863528" w:rsidP="00863528">
            <w:r w:rsidRPr="00C53E26">
              <w:t xml:space="preserve"> 0023</w:t>
            </w:r>
          </w:p>
        </w:tc>
        <w:tc>
          <w:tcPr>
            <w:tcW w:w="54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3528" w:rsidRPr="00C53E26" w:rsidRDefault="00863528" w:rsidP="00863528">
            <w:pPr>
              <w:pStyle w:val="NormalWeb"/>
              <w:shd w:val="clear" w:color="auto" w:fill="FFFFFF"/>
              <w:spacing w:line="250" w:lineRule="atLeast"/>
              <w:ind w:left="360"/>
              <w:jc w:val="both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proofErr w:type="spellStart"/>
            <w:r w:rsidRPr="00C53E26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Bastin</w:t>
            </w:r>
            <w:proofErr w:type="spellEnd"/>
            <w:r w:rsidRPr="00C53E26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 xml:space="preserve"> S, Bassett K, Quigley M, Maurer B, Green RA, Bradley BA, Jacobsen D. Late Holocene liquefaction at sites of contemporary liquefaction during the 2010-2011 Canterbury earthquake sequence.  Bulletin of the Seismological Society of America. 2016, Vol 106, No. 3, pp 881-903</w:t>
            </w:r>
          </w:p>
        </w:tc>
        <w:tc>
          <w:tcPr>
            <w:tcW w:w="110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3528" w:rsidRDefault="00863528" w:rsidP="00863528">
            <w:r w:rsidRPr="00C53E26">
              <w:t>Published</w:t>
            </w:r>
          </w:p>
        </w:tc>
        <w:tc>
          <w:tcPr>
            <w:tcW w:w="105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863528" w:rsidRPr="00C53E26" w:rsidRDefault="00863528" w:rsidP="00863528">
            <w:r w:rsidRPr="00C53E26">
              <w:t>Journal</w:t>
            </w:r>
          </w:p>
        </w:tc>
      </w:tr>
      <w:tr w:rsidR="00863528" w:rsidTr="00C53E26">
        <w:trPr>
          <w:trHeight w:val="1303"/>
        </w:trPr>
        <w:tc>
          <w:tcPr>
            <w:tcW w:w="10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63528" w:rsidRPr="00C53E26" w:rsidRDefault="00863528" w:rsidP="00863528">
            <w:r w:rsidRPr="00C53E26">
              <w:t>0024</w:t>
            </w:r>
          </w:p>
        </w:tc>
        <w:tc>
          <w:tcPr>
            <w:tcW w:w="54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3528" w:rsidRPr="00C53E26" w:rsidRDefault="00863528" w:rsidP="00863528">
            <w:pPr>
              <w:pStyle w:val="NormalWeb"/>
              <w:shd w:val="clear" w:color="auto" w:fill="FFFFFF"/>
              <w:spacing w:line="250" w:lineRule="atLeast"/>
              <w:ind w:left="360"/>
              <w:jc w:val="both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proofErr w:type="spellStart"/>
            <w:r w:rsidRPr="00C53E26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Kaklamanos</w:t>
            </w:r>
            <w:proofErr w:type="spellEnd"/>
            <w:r w:rsidRPr="00C53E26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 xml:space="preserve"> J, Bradley BA. Improving our understanding of 1D site response model behaviour: Physical insights for statistical deviations from 114 </w:t>
            </w:r>
            <w:proofErr w:type="spellStart"/>
            <w:r w:rsidRPr="00C53E26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KiK</w:t>
            </w:r>
            <w:proofErr w:type="spellEnd"/>
            <w:r w:rsidRPr="00C53E26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-net sites.  Seismological Society of America (SSA) Annual Meeting. 22-22 April 2016. </w:t>
            </w:r>
            <w:hyperlink r:id="rId19" w:tgtFrame="_blank" w:history="1">
              <w:r w:rsidRPr="00C53E26">
                <w:rPr>
                  <w:rFonts w:asciiTheme="minorHAnsi" w:eastAsiaTheme="minorHAnsi" w:hAnsiTheme="minorHAnsi" w:cstheme="minorBidi"/>
                  <w:sz w:val="22"/>
                  <w:szCs w:val="22"/>
                  <w:lang w:eastAsia="en-US"/>
                </w:rPr>
                <w:t>(poster)</w:t>
              </w:r>
            </w:hyperlink>
          </w:p>
          <w:p w:rsidR="00863528" w:rsidRPr="00C53E26" w:rsidRDefault="00863528" w:rsidP="00863528">
            <w:pPr>
              <w:ind w:left="567" w:hanging="567"/>
              <w:jc w:val="both"/>
            </w:pPr>
          </w:p>
        </w:tc>
        <w:tc>
          <w:tcPr>
            <w:tcW w:w="110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3528" w:rsidRPr="00C53E26" w:rsidRDefault="00863528" w:rsidP="00863528">
            <w:r w:rsidRPr="00C53E26">
              <w:t>Published</w:t>
            </w:r>
          </w:p>
        </w:tc>
        <w:tc>
          <w:tcPr>
            <w:tcW w:w="105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863528" w:rsidRPr="00C53E26" w:rsidRDefault="00863528" w:rsidP="00863528">
            <w:r w:rsidRPr="00C53E26">
              <w:t>Conference</w:t>
            </w:r>
          </w:p>
        </w:tc>
      </w:tr>
      <w:tr w:rsidR="00863528" w:rsidTr="00C53E26">
        <w:trPr>
          <w:trHeight w:val="1303"/>
        </w:trPr>
        <w:tc>
          <w:tcPr>
            <w:tcW w:w="10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63528" w:rsidRPr="00C53E26" w:rsidRDefault="00863528" w:rsidP="00863528">
            <w:r w:rsidRPr="00C53E26">
              <w:t>0025</w:t>
            </w:r>
          </w:p>
        </w:tc>
        <w:tc>
          <w:tcPr>
            <w:tcW w:w="54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3528" w:rsidRPr="00C53E26" w:rsidRDefault="00863528" w:rsidP="00863528">
            <w:pPr>
              <w:pStyle w:val="NormalWeb"/>
              <w:shd w:val="clear" w:color="auto" w:fill="FFFFFF"/>
              <w:spacing w:line="250" w:lineRule="atLeast"/>
              <w:ind w:left="360"/>
              <w:jc w:val="both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proofErr w:type="spellStart"/>
            <w:r w:rsidRPr="00C53E26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Razafindrakoto</w:t>
            </w:r>
            <w:proofErr w:type="spellEnd"/>
            <w:r w:rsidRPr="00C53E26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 xml:space="preserve"> HNT, Bradley BA, Graves RW. Broadband ground motion simulation of the 2010-2011 Canterbury earthquake sequence. New Zealand Society for Earthquake Engineering Conference.  1-3 April 2016. Christchurch, New Zealand. </w:t>
            </w:r>
          </w:p>
        </w:tc>
        <w:tc>
          <w:tcPr>
            <w:tcW w:w="110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3528" w:rsidRPr="00C53E26" w:rsidRDefault="00863528" w:rsidP="00863528">
            <w:r w:rsidRPr="00C53E26">
              <w:t>Published</w:t>
            </w:r>
          </w:p>
        </w:tc>
        <w:tc>
          <w:tcPr>
            <w:tcW w:w="105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863528" w:rsidRPr="00C53E26" w:rsidRDefault="00863528" w:rsidP="00863528">
            <w:r w:rsidRPr="00C53E26">
              <w:t>Conference</w:t>
            </w:r>
          </w:p>
        </w:tc>
      </w:tr>
      <w:tr w:rsidR="00863528" w:rsidTr="00C53E26">
        <w:trPr>
          <w:trHeight w:val="1303"/>
        </w:trPr>
        <w:tc>
          <w:tcPr>
            <w:tcW w:w="10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63528" w:rsidRPr="00C53E26" w:rsidRDefault="00863528" w:rsidP="00863528">
            <w:r w:rsidRPr="00C53E26">
              <w:lastRenderedPageBreak/>
              <w:t>0026</w:t>
            </w:r>
          </w:p>
        </w:tc>
        <w:tc>
          <w:tcPr>
            <w:tcW w:w="54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3528" w:rsidRPr="00C53E26" w:rsidRDefault="00863528" w:rsidP="00863528">
            <w:pPr>
              <w:pStyle w:val="NormalWeb"/>
              <w:shd w:val="clear" w:color="auto" w:fill="FFFFFF"/>
              <w:spacing w:line="250" w:lineRule="atLeast"/>
              <w:ind w:left="360"/>
              <w:jc w:val="both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C53E26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Lee RL, Bradley BA. Investigation of regional quality factors from a New Zealand-wide velocity model. New Zealand Society for Earthquake Engineering Conference.  1-3 April 2016.Christchurch, New Zealand.</w:t>
            </w:r>
          </w:p>
          <w:p w:rsidR="00863528" w:rsidRPr="00C53E26" w:rsidRDefault="00863528" w:rsidP="00863528">
            <w:pPr>
              <w:ind w:left="567" w:hanging="567"/>
              <w:jc w:val="both"/>
            </w:pPr>
          </w:p>
        </w:tc>
        <w:tc>
          <w:tcPr>
            <w:tcW w:w="110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3528" w:rsidRPr="00C53E26" w:rsidRDefault="00863528" w:rsidP="00863528">
            <w:r w:rsidRPr="00C53E26">
              <w:t>Published</w:t>
            </w:r>
          </w:p>
        </w:tc>
        <w:tc>
          <w:tcPr>
            <w:tcW w:w="105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863528" w:rsidRPr="00C53E26" w:rsidRDefault="00863528" w:rsidP="00863528">
            <w:r w:rsidRPr="00C53E26">
              <w:t>Conference</w:t>
            </w:r>
          </w:p>
        </w:tc>
      </w:tr>
      <w:tr w:rsidR="00863528" w:rsidTr="00C53E26">
        <w:trPr>
          <w:trHeight w:val="1303"/>
        </w:trPr>
        <w:tc>
          <w:tcPr>
            <w:tcW w:w="10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63528" w:rsidRPr="00C53E26" w:rsidRDefault="00863528" w:rsidP="00863528">
            <w:r w:rsidRPr="00C53E26">
              <w:t>0027</w:t>
            </w:r>
          </w:p>
        </w:tc>
        <w:tc>
          <w:tcPr>
            <w:tcW w:w="54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3528" w:rsidRPr="00C53E26" w:rsidRDefault="00863528" w:rsidP="00863528">
            <w:pPr>
              <w:pStyle w:val="NormalWeb"/>
              <w:shd w:val="clear" w:color="auto" w:fill="FFFFFF"/>
              <w:spacing w:line="250" w:lineRule="atLeast"/>
              <w:ind w:left="360"/>
              <w:jc w:val="both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C53E26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Thomson EM, Bradley BA, Lee RL. The Canterbury velocity model (</w:t>
            </w:r>
            <w:proofErr w:type="spellStart"/>
            <w:r w:rsidRPr="00C53E26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CantVM</w:t>
            </w:r>
            <w:proofErr w:type="spellEnd"/>
            <w:r w:rsidRPr="00C53E26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 xml:space="preserve">) version 1.  Computational implementation, south island extension, and integration within the UCVM framework. New Zealand Society for Earthquake Engineering Conference.  1-3 April 2016.Christchurch, New Zealand.  </w:t>
            </w:r>
          </w:p>
        </w:tc>
        <w:tc>
          <w:tcPr>
            <w:tcW w:w="110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3528" w:rsidRPr="00C53E26" w:rsidRDefault="00863528" w:rsidP="00863528">
            <w:r w:rsidRPr="00C53E26">
              <w:t>Published</w:t>
            </w:r>
          </w:p>
        </w:tc>
        <w:tc>
          <w:tcPr>
            <w:tcW w:w="105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863528" w:rsidRPr="00C53E26" w:rsidRDefault="00863528" w:rsidP="00863528">
            <w:r w:rsidRPr="00C53E26">
              <w:t>Conference</w:t>
            </w:r>
          </w:p>
        </w:tc>
      </w:tr>
      <w:tr w:rsidR="00863528" w:rsidTr="00C53E26">
        <w:trPr>
          <w:trHeight w:val="1303"/>
        </w:trPr>
        <w:tc>
          <w:tcPr>
            <w:tcW w:w="10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63528" w:rsidRPr="00C53E26" w:rsidRDefault="00863528" w:rsidP="00863528">
            <w:r w:rsidRPr="00C53E26">
              <w:t>0028</w:t>
            </w:r>
          </w:p>
        </w:tc>
        <w:tc>
          <w:tcPr>
            <w:tcW w:w="54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3528" w:rsidRPr="00C53E26" w:rsidRDefault="00863528" w:rsidP="00863528">
            <w:pPr>
              <w:pStyle w:val="NormalWeb"/>
              <w:shd w:val="clear" w:color="auto" w:fill="FFFFFF"/>
              <w:spacing w:line="250" w:lineRule="atLeast"/>
              <w:ind w:left="360"/>
              <w:jc w:val="both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C53E26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 xml:space="preserve">Jeong S, Bradley BA. Simulation of strong asymmetrical vertical acceleration at Heathcote Valley in the 2010-2011 Canterbury earthquakes. New Zealand Society for Earthquake Engineering Conference.  1-3 April 2016. Christchurch, New Zealand.   </w:t>
            </w:r>
          </w:p>
        </w:tc>
        <w:tc>
          <w:tcPr>
            <w:tcW w:w="110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3528" w:rsidRPr="00C53E26" w:rsidRDefault="00863528" w:rsidP="00863528">
            <w:r w:rsidRPr="00C53E26">
              <w:t>Published</w:t>
            </w:r>
          </w:p>
        </w:tc>
        <w:tc>
          <w:tcPr>
            <w:tcW w:w="105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863528" w:rsidRPr="00C53E26" w:rsidRDefault="00863528" w:rsidP="00863528">
            <w:r w:rsidRPr="00C53E26">
              <w:t>Conference</w:t>
            </w:r>
          </w:p>
        </w:tc>
      </w:tr>
      <w:tr w:rsidR="00863528" w:rsidTr="00C53E26">
        <w:trPr>
          <w:trHeight w:val="1303"/>
        </w:trPr>
        <w:tc>
          <w:tcPr>
            <w:tcW w:w="10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63528" w:rsidRPr="00C53E26" w:rsidRDefault="00863528" w:rsidP="00863528">
            <w:r w:rsidRPr="00C53E26">
              <w:t>0029</w:t>
            </w:r>
          </w:p>
        </w:tc>
        <w:tc>
          <w:tcPr>
            <w:tcW w:w="54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3528" w:rsidRPr="00C53E26" w:rsidRDefault="00863528" w:rsidP="00863528">
            <w:pPr>
              <w:pStyle w:val="NormalWeb"/>
              <w:shd w:val="clear" w:color="auto" w:fill="FFFFFF"/>
              <w:spacing w:line="250" w:lineRule="atLeast"/>
              <w:ind w:left="360"/>
              <w:jc w:val="both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C53E26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Tarbali K, Bradley BA. Nationwide seismic hazard maps of New Zealand using recent developments in rupture forecast and ground motion prediction. New Zealand Society for Earthquake Engineering Conference.  1-3 April 2016. Christchurch, New Zealand. </w:t>
            </w:r>
          </w:p>
        </w:tc>
        <w:tc>
          <w:tcPr>
            <w:tcW w:w="110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3528" w:rsidRPr="00C53E26" w:rsidRDefault="00863528" w:rsidP="00863528">
            <w:r w:rsidRPr="00C53E26">
              <w:t>Published</w:t>
            </w:r>
          </w:p>
        </w:tc>
        <w:tc>
          <w:tcPr>
            <w:tcW w:w="105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863528" w:rsidRPr="00C53E26" w:rsidRDefault="00863528" w:rsidP="00863528">
            <w:r w:rsidRPr="00C53E26">
              <w:t>Conference</w:t>
            </w:r>
          </w:p>
        </w:tc>
      </w:tr>
      <w:tr w:rsidR="00863528" w:rsidTr="00C53E26">
        <w:trPr>
          <w:trHeight w:val="1303"/>
        </w:trPr>
        <w:tc>
          <w:tcPr>
            <w:tcW w:w="10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63528" w:rsidRPr="00C53E26" w:rsidRDefault="00863528" w:rsidP="00863528">
            <w:r w:rsidRPr="00C53E26">
              <w:t>0030</w:t>
            </w:r>
          </w:p>
        </w:tc>
        <w:tc>
          <w:tcPr>
            <w:tcW w:w="54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3528" w:rsidRPr="00C53E26" w:rsidRDefault="00863528" w:rsidP="00863528">
            <w:pPr>
              <w:pStyle w:val="NormalWeb"/>
              <w:shd w:val="clear" w:color="auto" w:fill="FFFFFF"/>
              <w:spacing w:line="250" w:lineRule="atLeast"/>
              <w:ind w:left="360"/>
              <w:jc w:val="both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proofErr w:type="spellStart"/>
            <w:r w:rsidRPr="00C53E26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Moghaddasi</w:t>
            </w:r>
            <w:proofErr w:type="spellEnd"/>
            <w:r w:rsidRPr="00C53E26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 xml:space="preserve"> M, Bradley BA, Elwood K. Seismic performance and loss assessment of a typical New Zealand code-conforming reinforced concrete building. New Zealand Society for Earthquake Engineering Conference.  1-3 April 2016. Christchurch, New Zealand. </w:t>
            </w:r>
          </w:p>
        </w:tc>
        <w:tc>
          <w:tcPr>
            <w:tcW w:w="110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3528" w:rsidRPr="00C53E26" w:rsidRDefault="00863528" w:rsidP="00863528">
            <w:r w:rsidRPr="00C53E26">
              <w:t>Published</w:t>
            </w:r>
          </w:p>
        </w:tc>
        <w:tc>
          <w:tcPr>
            <w:tcW w:w="105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863528" w:rsidRPr="00C53E26" w:rsidRDefault="00863528" w:rsidP="00863528">
            <w:r w:rsidRPr="00C53E26">
              <w:t>Conference</w:t>
            </w:r>
          </w:p>
        </w:tc>
      </w:tr>
      <w:tr w:rsidR="00863528" w:rsidTr="00C53E26">
        <w:trPr>
          <w:trHeight w:val="1303"/>
        </w:trPr>
        <w:tc>
          <w:tcPr>
            <w:tcW w:w="10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63528" w:rsidRPr="00C53E26" w:rsidRDefault="00863528" w:rsidP="00863528">
            <w:r w:rsidRPr="00C53E26">
              <w:t>0031</w:t>
            </w:r>
          </w:p>
        </w:tc>
        <w:tc>
          <w:tcPr>
            <w:tcW w:w="54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3528" w:rsidRPr="00C53E26" w:rsidRDefault="00863528" w:rsidP="00863528">
            <w:pPr>
              <w:pStyle w:val="NormalWeb"/>
              <w:shd w:val="clear" w:color="auto" w:fill="FFFFFF"/>
              <w:spacing w:line="250" w:lineRule="atLeast"/>
              <w:ind w:left="360"/>
              <w:jc w:val="both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C53E26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 xml:space="preserve">Kaiser A, Van </w:t>
            </w:r>
            <w:proofErr w:type="spellStart"/>
            <w:r w:rsidRPr="00C53E26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Houtte</w:t>
            </w:r>
            <w:proofErr w:type="spellEnd"/>
            <w:r w:rsidRPr="00C53E26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 xml:space="preserve"> C, Perrin N, </w:t>
            </w:r>
            <w:proofErr w:type="spellStart"/>
            <w:r w:rsidRPr="00C53E26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McVerry</w:t>
            </w:r>
            <w:proofErr w:type="spellEnd"/>
            <w:r w:rsidRPr="00C53E26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 xml:space="preserve"> G, Cousins J, </w:t>
            </w:r>
            <w:proofErr w:type="spellStart"/>
            <w:r w:rsidRPr="00C53E26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Dellow</w:t>
            </w:r>
            <w:proofErr w:type="spellEnd"/>
            <w:r w:rsidRPr="00C53E26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 xml:space="preserve"> S, </w:t>
            </w:r>
            <w:proofErr w:type="spellStart"/>
            <w:r w:rsidRPr="00C53E26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Wotherspoon</w:t>
            </w:r>
            <w:proofErr w:type="spellEnd"/>
            <w:r w:rsidRPr="00C53E26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 xml:space="preserve"> L, Bradley BA, Lee R. Characterizing </w:t>
            </w:r>
            <w:proofErr w:type="spellStart"/>
            <w:r w:rsidRPr="00C53E26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GeoNet</w:t>
            </w:r>
            <w:proofErr w:type="spellEnd"/>
            <w:r w:rsidRPr="00C53E26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 xml:space="preserve"> strong motion sites: Site metadata update for the 2015 Strong motion database. New Zealand Society for Earthquake Engineering Conference.  1-3 April 2016. Christchurch, New Zealand. 8pp. </w:t>
            </w:r>
          </w:p>
        </w:tc>
        <w:tc>
          <w:tcPr>
            <w:tcW w:w="110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3528" w:rsidRPr="00C53E26" w:rsidRDefault="00863528" w:rsidP="00863528">
            <w:r w:rsidRPr="00C53E26">
              <w:t>Published</w:t>
            </w:r>
          </w:p>
        </w:tc>
        <w:tc>
          <w:tcPr>
            <w:tcW w:w="105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863528" w:rsidRPr="00C53E26" w:rsidRDefault="00863528" w:rsidP="00863528">
            <w:r w:rsidRPr="00C53E26">
              <w:t>Conference</w:t>
            </w:r>
          </w:p>
        </w:tc>
      </w:tr>
      <w:tr w:rsidR="00863528" w:rsidTr="00C53E26">
        <w:trPr>
          <w:trHeight w:val="1303"/>
        </w:trPr>
        <w:tc>
          <w:tcPr>
            <w:tcW w:w="10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63528" w:rsidRPr="00C53E26" w:rsidRDefault="00863528" w:rsidP="00863528">
            <w:r w:rsidRPr="00C53E26">
              <w:t>0032</w:t>
            </w:r>
          </w:p>
        </w:tc>
        <w:tc>
          <w:tcPr>
            <w:tcW w:w="54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3528" w:rsidRPr="00C53E26" w:rsidRDefault="00863528" w:rsidP="00863528">
            <w:pPr>
              <w:pStyle w:val="NormalWeb"/>
              <w:shd w:val="clear" w:color="auto" w:fill="FFFFFF"/>
              <w:spacing w:line="250" w:lineRule="atLeast"/>
              <w:ind w:left="360"/>
              <w:jc w:val="both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C53E26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Bullock Z, Bradley BA. Systematic vertical ground motion observations in the Canterbury earthquakes.  University of Canterbury Research Report No. 2016-03. Department of Civil and Natural Resources Engineering, University of Canterbury. March 2016. 75pp. </w:t>
            </w:r>
          </w:p>
        </w:tc>
        <w:tc>
          <w:tcPr>
            <w:tcW w:w="110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3528" w:rsidRPr="00C53E26" w:rsidRDefault="00863528" w:rsidP="00863528">
            <w:r w:rsidRPr="00C53E26">
              <w:t>Published</w:t>
            </w:r>
          </w:p>
        </w:tc>
        <w:tc>
          <w:tcPr>
            <w:tcW w:w="105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863528" w:rsidRPr="00C53E26" w:rsidRDefault="00863528" w:rsidP="00863528">
            <w:r w:rsidRPr="00C53E26">
              <w:t>Conference</w:t>
            </w:r>
          </w:p>
        </w:tc>
      </w:tr>
      <w:tr w:rsidR="00863528" w:rsidTr="00C53E26">
        <w:trPr>
          <w:trHeight w:val="1303"/>
        </w:trPr>
        <w:tc>
          <w:tcPr>
            <w:tcW w:w="10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63528" w:rsidRPr="00C53E26" w:rsidRDefault="00863528" w:rsidP="00863528">
            <w:r w:rsidRPr="00C53E26">
              <w:t>0033</w:t>
            </w:r>
          </w:p>
        </w:tc>
        <w:tc>
          <w:tcPr>
            <w:tcW w:w="54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3528" w:rsidRPr="00C53E26" w:rsidRDefault="00863528" w:rsidP="00863528">
            <w:pPr>
              <w:pStyle w:val="NormalWeb"/>
              <w:shd w:val="clear" w:color="auto" w:fill="FFFFFF"/>
              <w:spacing w:line="250" w:lineRule="atLeast"/>
              <w:ind w:left="360"/>
              <w:jc w:val="both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C53E26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 xml:space="preserve">Bradley BA, </w:t>
            </w:r>
            <w:proofErr w:type="spellStart"/>
            <w:r w:rsidRPr="00C53E26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Razafindrakoto</w:t>
            </w:r>
            <w:proofErr w:type="spellEnd"/>
            <w:r w:rsidRPr="00C53E26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 xml:space="preserve"> HNT, Graves RW, Thomson EM, Bae S, Clare R.  Ground motion simulations of damaging recent and future earthquakes using </w:t>
            </w:r>
            <w:proofErr w:type="spellStart"/>
            <w:r w:rsidRPr="00C53E26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NeSI</w:t>
            </w:r>
            <w:proofErr w:type="spellEnd"/>
            <w:r w:rsidRPr="00C53E26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 xml:space="preserve"> HPC resources. </w:t>
            </w:r>
            <w:proofErr w:type="spellStart"/>
            <w:proofErr w:type="gramStart"/>
            <w:r w:rsidRPr="00C53E26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eResearch</w:t>
            </w:r>
            <w:proofErr w:type="spellEnd"/>
            <w:proofErr w:type="gramEnd"/>
            <w:r w:rsidRPr="00C53E26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 xml:space="preserve"> NZ Conference. 9-11 February 2016. Queenstown, New Zealand.  </w:t>
            </w:r>
          </w:p>
        </w:tc>
        <w:tc>
          <w:tcPr>
            <w:tcW w:w="110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3528" w:rsidRPr="00C53E26" w:rsidRDefault="00863528" w:rsidP="00863528">
            <w:r w:rsidRPr="00C53E26">
              <w:t>Published</w:t>
            </w:r>
          </w:p>
        </w:tc>
        <w:tc>
          <w:tcPr>
            <w:tcW w:w="105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863528" w:rsidRPr="00C53E26" w:rsidRDefault="00863528" w:rsidP="00863528">
            <w:r w:rsidRPr="00C53E26">
              <w:t>Conference</w:t>
            </w:r>
          </w:p>
        </w:tc>
      </w:tr>
      <w:tr w:rsidR="00863528" w:rsidTr="00C53E26">
        <w:trPr>
          <w:trHeight w:val="1303"/>
        </w:trPr>
        <w:tc>
          <w:tcPr>
            <w:tcW w:w="10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63528" w:rsidRPr="00C53E26" w:rsidRDefault="00863528" w:rsidP="00863528">
            <w:r w:rsidRPr="00C53E26">
              <w:t>0034</w:t>
            </w:r>
          </w:p>
        </w:tc>
        <w:tc>
          <w:tcPr>
            <w:tcW w:w="54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3528" w:rsidRPr="00C53E26" w:rsidRDefault="00863528" w:rsidP="00863528">
            <w:pPr>
              <w:pStyle w:val="NormalWeb"/>
              <w:shd w:val="clear" w:color="auto" w:fill="FFFFFF"/>
              <w:spacing w:line="250" w:lineRule="atLeast"/>
              <w:ind w:left="360"/>
              <w:jc w:val="both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C53E26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 xml:space="preserve">Quigley M, Hughes MW, Bradley BA, Van </w:t>
            </w:r>
            <w:proofErr w:type="spellStart"/>
            <w:r w:rsidRPr="00C53E26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Ballegooy</w:t>
            </w:r>
            <w:proofErr w:type="spellEnd"/>
            <w:r w:rsidRPr="00C53E26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 xml:space="preserve"> S, Reid C, </w:t>
            </w:r>
            <w:proofErr w:type="spellStart"/>
            <w:r w:rsidRPr="00C53E26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Morgenroth</w:t>
            </w:r>
            <w:proofErr w:type="spellEnd"/>
            <w:r w:rsidRPr="00C53E26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 xml:space="preserve"> J, Horton T, Duffy B, </w:t>
            </w:r>
            <w:proofErr w:type="spellStart"/>
            <w:r w:rsidRPr="00C53E26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Pettinga</w:t>
            </w:r>
            <w:proofErr w:type="spellEnd"/>
            <w:r w:rsidRPr="00C53E26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 xml:space="preserve"> J. The 2010-2011 Canterbury earthquake sequence: Environmental effects, seismic triggering thresholds and geologic legacy. Tectonophysics. </w:t>
            </w:r>
          </w:p>
        </w:tc>
        <w:tc>
          <w:tcPr>
            <w:tcW w:w="110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3528" w:rsidRPr="00C53E26" w:rsidRDefault="00863528" w:rsidP="00863528">
            <w:r w:rsidRPr="00C53E26">
              <w:t>Accepted</w:t>
            </w:r>
          </w:p>
        </w:tc>
        <w:tc>
          <w:tcPr>
            <w:tcW w:w="105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863528" w:rsidRPr="00C53E26" w:rsidRDefault="00863528" w:rsidP="00863528">
            <w:r w:rsidRPr="00C53E26">
              <w:t>Journal</w:t>
            </w:r>
          </w:p>
        </w:tc>
      </w:tr>
      <w:tr w:rsidR="00863528" w:rsidTr="00C53E26">
        <w:trPr>
          <w:trHeight w:val="1303"/>
        </w:trPr>
        <w:tc>
          <w:tcPr>
            <w:tcW w:w="10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63528" w:rsidRPr="00C53E26" w:rsidRDefault="00863528" w:rsidP="00863528">
            <w:r w:rsidRPr="00C53E26">
              <w:t>0035</w:t>
            </w:r>
          </w:p>
        </w:tc>
        <w:tc>
          <w:tcPr>
            <w:tcW w:w="54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3528" w:rsidRPr="00C53E26" w:rsidRDefault="00863528" w:rsidP="00863528">
            <w:pPr>
              <w:pStyle w:val="NormalWeb"/>
              <w:shd w:val="clear" w:color="auto" w:fill="FFFFFF"/>
              <w:spacing w:line="250" w:lineRule="atLeast"/>
              <w:ind w:left="360"/>
              <w:jc w:val="both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C53E26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Tarbali K, Bradley BA.  The effect of causal parameter bounds on PSHA-based ground motion selection. Earthquake Engineering and Structural Dynamics.</w:t>
            </w:r>
          </w:p>
        </w:tc>
        <w:tc>
          <w:tcPr>
            <w:tcW w:w="110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3528" w:rsidRPr="00C53E26" w:rsidRDefault="00863528" w:rsidP="00863528">
            <w:r w:rsidRPr="00C53E26">
              <w:t>Accepted</w:t>
            </w:r>
          </w:p>
        </w:tc>
        <w:tc>
          <w:tcPr>
            <w:tcW w:w="105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863528" w:rsidRPr="00C53E26" w:rsidRDefault="00863528" w:rsidP="00863528">
            <w:r w:rsidRPr="00C53E26">
              <w:t>Journal</w:t>
            </w:r>
          </w:p>
        </w:tc>
      </w:tr>
      <w:tr w:rsidR="00863528" w:rsidTr="00C53E26">
        <w:trPr>
          <w:trHeight w:val="1303"/>
        </w:trPr>
        <w:tc>
          <w:tcPr>
            <w:tcW w:w="10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63528" w:rsidRPr="00C53E26" w:rsidRDefault="00863528" w:rsidP="00863528">
            <w:r w:rsidRPr="00C53E26">
              <w:lastRenderedPageBreak/>
              <w:t>0036</w:t>
            </w:r>
          </w:p>
        </w:tc>
        <w:tc>
          <w:tcPr>
            <w:tcW w:w="54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3528" w:rsidRPr="00C53E26" w:rsidRDefault="00863528" w:rsidP="00863528">
            <w:pPr>
              <w:pStyle w:val="NormalWeb"/>
              <w:shd w:val="clear" w:color="auto" w:fill="FFFFFF"/>
              <w:spacing w:line="250" w:lineRule="atLeast"/>
              <w:ind w:left="360"/>
              <w:jc w:val="both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C53E26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 xml:space="preserve">SHAFAEI, J., HOSSEINI, A., MAREFAT, M. S., INGHAM, J. M., ZARE, H. ‘Experimental evaluation of seismically and non-seismically detailed external RC beam-column joints’, Journal of Earthquake Engineering, </w:t>
            </w:r>
            <w:hyperlink r:id="rId20" w:history="1">
              <w:r w:rsidRPr="00C53E26">
                <w:rPr>
                  <w:rFonts w:asciiTheme="minorHAnsi" w:eastAsiaTheme="minorHAnsi" w:hAnsiTheme="minorHAnsi" w:cstheme="minorBidi"/>
                  <w:sz w:val="22"/>
                  <w:szCs w:val="22"/>
                  <w:lang w:eastAsia="en-US"/>
                </w:rPr>
                <w:t>http://dx.doi.org/10.1080/13632469.2016.1185052</w:t>
              </w:r>
            </w:hyperlink>
          </w:p>
          <w:p w:rsidR="00863528" w:rsidRDefault="00863528" w:rsidP="00863528">
            <w:pPr>
              <w:ind w:left="567" w:hanging="567"/>
            </w:pPr>
          </w:p>
        </w:tc>
        <w:tc>
          <w:tcPr>
            <w:tcW w:w="110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3528" w:rsidRDefault="00863528" w:rsidP="00863528">
            <w:pPr>
              <w:jc w:val="both"/>
            </w:pPr>
            <w:r w:rsidRPr="00C53E26">
              <w:t>Published</w:t>
            </w:r>
          </w:p>
        </w:tc>
        <w:tc>
          <w:tcPr>
            <w:tcW w:w="105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863528" w:rsidRDefault="00863528" w:rsidP="00863528">
            <w:pPr>
              <w:jc w:val="both"/>
            </w:pPr>
            <w:r>
              <w:t>Journal</w:t>
            </w:r>
          </w:p>
        </w:tc>
      </w:tr>
    </w:tbl>
    <w:p w:rsidR="00E71D24" w:rsidRDefault="00E71D24"/>
    <w:p w:rsidR="002105D7" w:rsidRDefault="002105D7">
      <w:r>
        <w:t>After TEC reporting on 22 June 2016</w:t>
      </w:r>
    </w:p>
    <w:tbl>
      <w:tblPr>
        <w:tblW w:w="900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7"/>
        <w:gridCol w:w="5014"/>
        <w:gridCol w:w="1655"/>
        <w:gridCol w:w="1510"/>
      </w:tblGrid>
      <w:tr w:rsidR="008405B7" w:rsidRPr="0004290F" w:rsidTr="003C6A19">
        <w:trPr>
          <w:trHeight w:val="2162"/>
        </w:trPr>
        <w:tc>
          <w:tcPr>
            <w:tcW w:w="8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405B7" w:rsidRPr="0004290F" w:rsidRDefault="008405B7" w:rsidP="0004290F">
            <w:pPr>
              <w:pStyle w:val="NormalWeb"/>
              <w:shd w:val="clear" w:color="auto" w:fill="FFFFFF"/>
              <w:spacing w:line="250" w:lineRule="atLeast"/>
              <w:ind w:left="360"/>
              <w:jc w:val="both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04290F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0037</w:t>
            </w:r>
          </w:p>
        </w:tc>
        <w:tc>
          <w:tcPr>
            <w:tcW w:w="49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405B7" w:rsidRPr="0004290F" w:rsidRDefault="008405B7" w:rsidP="0004290F">
            <w:pPr>
              <w:pStyle w:val="NormalWeb"/>
              <w:shd w:val="clear" w:color="auto" w:fill="FFFFFF"/>
              <w:spacing w:line="250" w:lineRule="atLeast"/>
              <w:ind w:left="360"/>
              <w:jc w:val="both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04290F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 xml:space="preserve">DIZHUR, D., DHAKAL, R. P., BOTHARA, J., INGHAM, J. M. ‘Building typologies and failure modes observed in the 2015 </w:t>
            </w:r>
            <w:proofErr w:type="spellStart"/>
            <w:r w:rsidRPr="0004290F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Gorkha</w:t>
            </w:r>
            <w:proofErr w:type="spellEnd"/>
            <w:r w:rsidRPr="0004290F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 xml:space="preserve"> (Nepal) earthquake’, , Bulletin of the New Zealand Society for Earthquake Engineering, 49, 2, June, 211-232.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8405B7" w:rsidRPr="0004290F" w:rsidRDefault="008405B7" w:rsidP="0004290F">
            <w:pPr>
              <w:pStyle w:val="NormalWeb"/>
              <w:shd w:val="clear" w:color="auto" w:fill="FFFFFF"/>
              <w:spacing w:line="250" w:lineRule="atLeast"/>
              <w:ind w:left="360"/>
              <w:jc w:val="both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04290F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Published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8405B7" w:rsidRPr="0004290F" w:rsidRDefault="008405B7" w:rsidP="0004290F">
            <w:pPr>
              <w:pStyle w:val="NormalWeb"/>
              <w:shd w:val="clear" w:color="auto" w:fill="FFFFFF"/>
              <w:spacing w:line="250" w:lineRule="atLeast"/>
              <w:ind w:left="360"/>
              <w:jc w:val="both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04290F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Journal</w:t>
            </w:r>
          </w:p>
        </w:tc>
      </w:tr>
      <w:tr w:rsidR="008405B7" w:rsidRPr="0004290F" w:rsidTr="003C6A19">
        <w:trPr>
          <w:trHeight w:val="2162"/>
        </w:trPr>
        <w:tc>
          <w:tcPr>
            <w:tcW w:w="8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405B7" w:rsidRPr="0004290F" w:rsidRDefault="008405B7" w:rsidP="0004290F">
            <w:pPr>
              <w:pStyle w:val="NormalWeb"/>
              <w:shd w:val="clear" w:color="auto" w:fill="FFFFFF"/>
              <w:spacing w:line="250" w:lineRule="atLeast"/>
              <w:ind w:left="360"/>
              <w:jc w:val="both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04290F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0038</w:t>
            </w:r>
          </w:p>
        </w:tc>
        <w:tc>
          <w:tcPr>
            <w:tcW w:w="49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405B7" w:rsidRPr="0004290F" w:rsidRDefault="008405B7" w:rsidP="0004290F">
            <w:pPr>
              <w:pStyle w:val="NormalWeb"/>
              <w:shd w:val="clear" w:color="auto" w:fill="FFFFFF"/>
              <w:spacing w:line="250" w:lineRule="atLeast"/>
              <w:ind w:left="360"/>
              <w:jc w:val="both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04290F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SEIFI, P. HENRY, R. S., INGHAM, J. M. ‘Panel connection details in existing New Zealand precast concrete buildings’, Bulletin of the New Zealand Society for Earthquake Engineering, 49, 2, June, 190-199.</w:t>
            </w:r>
          </w:p>
          <w:p w:rsidR="008405B7" w:rsidRPr="0004290F" w:rsidRDefault="008405B7" w:rsidP="0004290F">
            <w:pPr>
              <w:pStyle w:val="NormalWeb"/>
              <w:shd w:val="clear" w:color="auto" w:fill="FFFFFF"/>
              <w:spacing w:line="250" w:lineRule="atLeast"/>
              <w:ind w:left="360"/>
              <w:jc w:val="both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8405B7" w:rsidRPr="0004290F" w:rsidRDefault="008405B7" w:rsidP="0004290F">
            <w:pPr>
              <w:pStyle w:val="NormalWeb"/>
              <w:shd w:val="clear" w:color="auto" w:fill="FFFFFF"/>
              <w:spacing w:line="250" w:lineRule="atLeast"/>
              <w:ind w:left="360"/>
              <w:jc w:val="both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04290F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Published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8405B7" w:rsidRPr="0004290F" w:rsidRDefault="008405B7" w:rsidP="0004290F">
            <w:pPr>
              <w:pStyle w:val="NormalWeb"/>
              <w:shd w:val="clear" w:color="auto" w:fill="FFFFFF"/>
              <w:spacing w:line="250" w:lineRule="atLeast"/>
              <w:ind w:left="360"/>
              <w:jc w:val="both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04290F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Journal</w:t>
            </w:r>
          </w:p>
        </w:tc>
      </w:tr>
      <w:tr w:rsidR="008F2B35" w:rsidRPr="0004290F" w:rsidTr="003C6A19">
        <w:trPr>
          <w:trHeight w:val="2162"/>
        </w:trPr>
        <w:tc>
          <w:tcPr>
            <w:tcW w:w="8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F2B35" w:rsidRPr="0004290F" w:rsidRDefault="008F2B35" w:rsidP="008F2B35">
            <w:pPr>
              <w:pStyle w:val="NormalWeb"/>
              <w:shd w:val="clear" w:color="auto" w:fill="FFFFFF"/>
              <w:spacing w:line="250" w:lineRule="atLeast"/>
              <w:ind w:left="360"/>
              <w:jc w:val="both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04290F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0039</w:t>
            </w:r>
          </w:p>
        </w:tc>
        <w:tc>
          <w:tcPr>
            <w:tcW w:w="49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2B35" w:rsidRPr="0004290F" w:rsidRDefault="008F2B35" w:rsidP="008F2B35">
            <w:pPr>
              <w:pStyle w:val="NormalWeb"/>
              <w:shd w:val="clear" w:color="auto" w:fill="FFFFFF"/>
              <w:spacing w:line="250" w:lineRule="atLeast"/>
              <w:ind w:left="360"/>
              <w:jc w:val="both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04290F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GIARETTON, M., DIZHUR, D., DE PORTO, F., INGHAM, J. ‘Seismic Assessment and Improvement of Unreinforced Stone Masonry Buildings: Literature Review and Application to New Zealand’, Bulletin of the New Zealand Society for Earthquake Engineering, 49, 2, June, 148-173.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8F2B35" w:rsidRPr="0004290F" w:rsidRDefault="008F2B35" w:rsidP="008F2B35">
            <w:pPr>
              <w:pStyle w:val="NormalWeb"/>
              <w:shd w:val="clear" w:color="auto" w:fill="FFFFFF"/>
              <w:spacing w:line="250" w:lineRule="atLeast"/>
              <w:ind w:left="360"/>
              <w:jc w:val="both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04290F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Published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8F2B35" w:rsidRPr="0004290F" w:rsidRDefault="008F2B35" w:rsidP="008F2B35">
            <w:pPr>
              <w:pStyle w:val="NormalWeb"/>
              <w:shd w:val="clear" w:color="auto" w:fill="FFFFFF"/>
              <w:spacing w:line="250" w:lineRule="atLeast"/>
              <w:ind w:left="360"/>
              <w:jc w:val="both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04290F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Journal</w:t>
            </w:r>
          </w:p>
        </w:tc>
      </w:tr>
      <w:tr w:rsidR="008F2B35" w:rsidRPr="0004290F" w:rsidTr="003C6A19">
        <w:trPr>
          <w:trHeight w:val="2162"/>
        </w:trPr>
        <w:tc>
          <w:tcPr>
            <w:tcW w:w="8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F2B35" w:rsidRPr="0004290F" w:rsidRDefault="008F2B35" w:rsidP="008F2B35">
            <w:pPr>
              <w:pStyle w:val="NormalWeb"/>
              <w:shd w:val="clear" w:color="auto" w:fill="FFFFFF"/>
              <w:spacing w:line="250" w:lineRule="atLeast"/>
              <w:ind w:left="360"/>
              <w:jc w:val="both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0040</w:t>
            </w:r>
          </w:p>
        </w:tc>
        <w:tc>
          <w:tcPr>
            <w:tcW w:w="49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6562" w:rsidRDefault="00AE6562" w:rsidP="00276C22">
            <w:pPr>
              <w:ind w:left="567" w:hanging="567"/>
            </w:pPr>
            <w:r>
              <w:t xml:space="preserve">WALSH, K. Q., JAFARZADEH, R., SHORT, N., INGHAM, J. M. ‘Seismic risk management of a large public facilities portfolio: a New Zealand case study’, Facilities, 34, 13/14., </w:t>
            </w:r>
            <w:hyperlink r:id="rId21" w:history="1">
              <w:r>
                <w:rPr>
                  <w:rStyle w:val="Hyperlink"/>
                </w:rPr>
                <w:t>http://dx.doi.org/10.1108/F-04-2015-0017</w:t>
              </w:r>
            </w:hyperlink>
            <w:bookmarkStart w:id="0" w:name="_GoBack"/>
            <w:bookmarkEnd w:id="0"/>
          </w:p>
          <w:p w:rsidR="00AE6562" w:rsidRDefault="00AE6562" w:rsidP="00AE6562">
            <w:hyperlink r:id="rId22" w:history="1">
              <w:r>
                <w:rPr>
                  <w:rStyle w:val="Hyperlink"/>
                </w:rPr>
                <w:t>http://www.emeraldinsight.com/doi/abs/10.1108/F-04-2015-0017</w:t>
              </w:r>
            </w:hyperlink>
          </w:p>
          <w:p w:rsidR="008F2B35" w:rsidRPr="0004290F" w:rsidRDefault="008F2B35" w:rsidP="00AE6562">
            <w:pPr>
              <w:pStyle w:val="NormalWeb"/>
              <w:shd w:val="clear" w:color="auto" w:fill="FFFFFF"/>
              <w:spacing w:line="250" w:lineRule="atLeast"/>
              <w:ind w:left="360"/>
              <w:jc w:val="both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8F2B35" w:rsidRPr="0004290F" w:rsidRDefault="008F2B35" w:rsidP="008F2B35">
            <w:pPr>
              <w:pStyle w:val="NormalWeb"/>
              <w:shd w:val="clear" w:color="auto" w:fill="FFFFFF"/>
              <w:spacing w:line="250" w:lineRule="atLeast"/>
              <w:ind w:left="360"/>
              <w:jc w:val="both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04290F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Published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8F2B35" w:rsidRPr="0004290F" w:rsidRDefault="008F2B35" w:rsidP="008F2B35">
            <w:pPr>
              <w:pStyle w:val="NormalWeb"/>
              <w:shd w:val="clear" w:color="auto" w:fill="FFFFFF"/>
              <w:spacing w:line="250" w:lineRule="atLeast"/>
              <w:ind w:left="360"/>
              <w:jc w:val="both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04290F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Journal</w:t>
            </w:r>
          </w:p>
        </w:tc>
      </w:tr>
      <w:tr w:rsidR="008F2B35" w:rsidRPr="0004290F" w:rsidTr="003C6A19">
        <w:trPr>
          <w:trHeight w:val="2162"/>
        </w:trPr>
        <w:tc>
          <w:tcPr>
            <w:tcW w:w="8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F2B35" w:rsidRDefault="00AC1FC9" w:rsidP="008F2B35">
            <w:pPr>
              <w:pStyle w:val="NormalWeb"/>
              <w:shd w:val="clear" w:color="auto" w:fill="FFFFFF"/>
              <w:spacing w:line="250" w:lineRule="atLeast"/>
              <w:ind w:left="360"/>
              <w:jc w:val="both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lastRenderedPageBreak/>
              <w:t>0041</w:t>
            </w:r>
          </w:p>
        </w:tc>
        <w:tc>
          <w:tcPr>
            <w:tcW w:w="49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1FC9" w:rsidRDefault="00AC1FC9" w:rsidP="00AC1FC9">
            <w:pPr>
              <w:ind w:left="567" w:hanging="567"/>
              <w:rPr>
                <w:rStyle w:val="slug-doi"/>
              </w:rPr>
            </w:pPr>
            <w:r>
              <w:t>OYARZO-VERA, C., INGHAM, J. CHOUW, N. ‘Vibration-based damage identification of an unreinforced house model’</w:t>
            </w:r>
            <w:r>
              <w:rPr>
                <w:i/>
                <w:iCs/>
              </w:rPr>
              <w:t>, Advances in Structural Engineering</w:t>
            </w:r>
            <w:r>
              <w:t xml:space="preserve">, </w:t>
            </w:r>
            <w:hyperlink r:id="rId23" w:history="1">
              <w:r>
                <w:rPr>
                  <w:rStyle w:val="Hyperlink"/>
                </w:rPr>
                <w:t>http://dx.doi.org/10.1177/1369433216649853</w:t>
              </w:r>
            </w:hyperlink>
          </w:p>
          <w:p w:rsidR="008F2B35" w:rsidRPr="008F2B35" w:rsidRDefault="008F2B35" w:rsidP="008F2B35">
            <w:pPr>
              <w:pStyle w:val="NormalWeb"/>
              <w:shd w:val="clear" w:color="auto" w:fill="FFFFFF"/>
              <w:spacing w:line="250" w:lineRule="atLeast"/>
              <w:ind w:left="360"/>
              <w:jc w:val="both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8F2B35" w:rsidRPr="0004290F" w:rsidRDefault="00AC1FC9" w:rsidP="008F2B35">
            <w:pPr>
              <w:pStyle w:val="NormalWeb"/>
              <w:shd w:val="clear" w:color="auto" w:fill="FFFFFF"/>
              <w:spacing w:line="250" w:lineRule="atLeast"/>
              <w:ind w:left="360"/>
              <w:jc w:val="both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04290F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Published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8F2B35" w:rsidRPr="0004290F" w:rsidRDefault="00AC1FC9" w:rsidP="008F2B35">
            <w:pPr>
              <w:pStyle w:val="NormalWeb"/>
              <w:shd w:val="clear" w:color="auto" w:fill="FFFFFF"/>
              <w:spacing w:line="250" w:lineRule="atLeast"/>
              <w:ind w:left="360"/>
              <w:jc w:val="both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04290F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Journal</w:t>
            </w:r>
          </w:p>
        </w:tc>
      </w:tr>
      <w:tr w:rsidR="008F2B35" w:rsidRPr="0004290F" w:rsidTr="003C6A19">
        <w:trPr>
          <w:trHeight w:val="2162"/>
        </w:trPr>
        <w:tc>
          <w:tcPr>
            <w:tcW w:w="8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F2B35" w:rsidRDefault="009F091D" w:rsidP="008F2B35">
            <w:pPr>
              <w:pStyle w:val="NormalWeb"/>
              <w:shd w:val="clear" w:color="auto" w:fill="FFFFFF"/>
              <w:spacing w:line="250" w:lineRule="atLeast"/>
              <w:ind w:left="360"/>
              <w:jc w:val="both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0042</w:t>
            </w:r>
          </w:p>
        </w:tc>
        <w:tc>
          <w:tcPr>
            <w:tcW w:w="49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2B35" w:rsidRPr="008F2B35" w:rsidRDefault="009F091D" w:rsidP="008F2B35">
            <w:pPr>
              <w:pStyle w:val="NormalWeb"/>
              <w:shd w:val="clear" w:color="auto" w:fill="FFFFFF"/>
              <w:spacing w:line="250" w:lineRule="atLeast"/>
              <w:ind w:left="360"/>
              <w:jc w:val="both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>
              <w:rPr>
                <w:rStyle w:val="nlmstring-name"/>
              </w:rPr>
              <w:t>HOGAN, L.</w:t>
            </w:r>
            <w:r>
              <w:t xml:space="preserve">, </w:t>
            </w:r>
            <w:r>
              <w:rPr>
                <w:rStyle w:val="nlmstring-name"/>
              </w:rPr>
              <w:t>WOTHERSPOON, L.</w:t>
            </w:r>
            <w:r>
              <w:t xml:space="preserve">, </w:t>
            </w:r>
            <w:r>
              <w:rPr>
                <w:rStyle w:val="nlmstring-name"/>
              </w:rPr>
              <w:t>BESKHYROUN, S.</w:t>
            </w:r>
            <w:r>
              <w:t xml:space="preserve">, </w:t>
            </w:r>
            <w:r>
              <w:rPr>
                <w:rStyle w:val="nlmstring-name"/>
              </w:rPr>
              <w:t>INGHAM, J.</w:t>
            </w:r>
            <w:r>
              <w:t xml:space="preserve"> ‘Dynamic Field Testing of a Three-Span Precast-Concrete Bridge’, </w:t>
            </w:r>
            <w:r>
              <w:rPr>
                <w:i/>
                <w:iCs/>
              </w:rPr>
              <w:t>ASCE Journal of Bridge Engineering</w:t>
            </w:r>
            <w:r>
              <w:t xml:space="preserve">, </w:t>
            </w:r>
            <w:r>
              <w:rPr>
                <w:i/>
                <w:iCs/>
              </w:rPr>
              <w:t>06016007</w:t>
            </w:r>
            <w:r>
              <w:t xml:space="preserve">, </w:t>
            </w:r>
            <w:hyperlink r:id="rId24" w:history="1">
              <w:r>
                <w:rPr>
                  <w:rStyle w:val="Hyperlink"/>
                </w:rPr>
                <w:t>http://dx.doi.org/10.1061/(ASCE)BE.1943-5592.0000970</w:t>
              </w:r>
            </w:hyperlink>
          </w:p>
        </w:tc>
        <w:tc>
          <w:tcPr>
            <w:tcW w:w="16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8F2B35" w:rsidRPr="0004290F" w:rsidRDefault="009F091D" w:rsidP="008F2B35">
            <w:pPr>
              <w:pStyle w:val="NormalWeb"/>
              <w:shd w:val="clear" w:color="auto" w:fill="FFFFFF"/>
              <w:spacing w:line="250" w:lineRule="atLeast"/>
              <w:ind w:left="360"/>
              <w:jc w:val="both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Published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8F2B35" w:rsidRPr="0004290F" w:rsidRDefault="009F091D" w:rsidP="008F2B35">
            <w:pPr>
              <w:pStyle w:val="NormalWeb"/>
              <w:shd w:val="clear" w:color="auto" w:fill="FFFFFF"/>
              <w:spacing w:line="250" w:lineRule="atLeast"/>
              <w:ind w:left="360"/>
              <w:jc w:val="both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Journal</w:t>
            </w:r>
          </w:p>
        </w:tc>
      </w:tr>
      <w:tr w:rsidR="003C6A19" w:rsidRPr="0004290F" w:rsidTr="003C6A19">
        <w:trPr>
          <w:trHeight w:val="2162"/>
        </w:trPr>
        <w:tc>
          <w:tcPr>
            <w:tcW w:w="8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C6A19" w:rsidRPr="0004290F" w:rsidRDefault="003C6A19" w:rsidP="003C6A19">
            <w:pPr>
              <w:pStyle w:val="NormalWeb"/>
              <w:shd w:val="clear" w:color="auto" w:fill="FFFFFF"/>
              <w:spacing w:line="250" w:lineRule="atLeast"/>
              <w:ind w:left="360"/>
              <w:jc w:val="both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0043</w:t>
            </w:r>
          </w:p>
        </w:tc>
        <w:tc>
          <w:tcPr>
            <w:tcW w:w="49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C6A19" w:rsidRDefault="003C6A19" w:rsidP="003C6A19">
            <w:pPr>
              <w:pStyle w:val="References"/>
              <w:spacing w:after="0" w:line="240" w:lineRule="auto"/>
              <w:ind w:left="567" w:hanging="567"/>
              <w:jc w:val="left"/>
              <w:rPr>
                <w:rStyle w:val="paddingr15"/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it-IT"/>
              </w:rPr>
              <w:t xml:space="preserve">SHAFAEI, J., HOSSEINI, A,., MAREFAT, M. S., INGHAM, J. M. ‘Rehabilitation of earthquake damaged external RC beam-column joints by joint enlargement using prestressed steel angles’, </w:t>
            </w:r>
            <w:r>
              <w:rPr>
                <w:rFonts w:ascii="Arial" w:hAnsi="Arial" w:cs="Arial"/>
                <w:i/>
                <w:iCs/>
                <w:sz w:val="20"/>
                <w:szCs w:val="20"/>
                <w:lang w:val="it-IT"/>
              </w:rPr>
              <w:t>Earthquake Engineering and Structural Dynamics</w:t>
            </w:r>
            <w:r>
              <w:rPr>
                <w:rFonts w:ascii="Arial" w:hAnsi="Arial" w:cs="Arial"/>
                <w:sz w:val="20"/>
                <w:szCs w:val="20"/>
                <w:lang w:val="it-IT"/>
              </w:rPr>
              <w:t xml:space="preserve">, </w:t>
            </w:r>
            <w:hyperlink r:id="rId25" w:history="1">
              <w:r>
                <w:rPr>
                  <w:rStyle w:val="Hyperlink"/>
                  <w:sz w:val="20"/>
                  <w:szCs w:val="20"/>
                  <w:lang w:val="it-IT"/>
                </w:rPr>
                <w:t>http://dx.doi.org/</w:t>
              </w:r>
              <w:r>
                <w:rPr>
                  <w:rStyle w:val="Hyperlink"/>
                  <w:sz w:val="20"/>
                  <w:szCs w:val="20"/>
                  <w:lang w:val="en-US"/>
                </w:rPr>
                <w:t>10.1002/eqe.2794</w:t>
              </w:r>
            </w:hyperlink>
          </w:p>
          <w:p w:rsidR="003C6A19" w:rsidRPr="0004290F" w:rsidRDefault="003C6A19" w:rsidP="003C6A19">
            <w:pPr>
              <w:pStyle w:val="NormalWeb"/>
              <w:shd w:val="clear" w:color="auto" w:fill="FFFFFF"/>
              <w:spacing w:line="250" w:lineRule="atLeast"/>
              <w:ind w:left="360"/>
              <w:jc w:val="both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3C6A19" w:rsidRPr="0004290F" w:rsidRDefault="003C6A19" w:rsidP="003C6A19">
            <w:pPr>
              <w:pStyle w:val="NormalWeb"/>
              <w:shd w:val="clear" w:color="auto" w:fill="FFFFFF"/>
              <w:spacing w:line="250" w:lineRule="atLeast"/>
              <w:ind w:left="360"/>
              <w:jc w:val="both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Published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3C6A19" w:rsidRPr="0004290F" w:rsidRDefault="003C6A19" w:rsidP="003C6A19">
            <w:pPr>
              <w:pStyle w:val="NormalWeb"/>
              <w:shd w:val="clear" w:color="auto" w:fill="FFFFFF"/>
              <w:spacing w:line="250" w:lineRule="atLeast"/>
              <w:ind w:left="360"/>
              <w:jc w:val="both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Journal</w:t>
            </w:r>
          </w:p>
        </w:tc>
      </w:tr>
      <w:tr w:rsidR="003C6A19" w:rsidRPr="0004290F" w:rsidTr="003C6A19">
        <w:trPr>
          <w:trHeight w:val="2162"/>
        </w:trPr>
        <w:tc>
          <w:tcPr>
            <w:tcW w:w="8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C6A19" w:rsidRDefault="003C6A19" w:rsidP="008F2B35">
            <w:pPr>
              <w:pStyle w:val="NormalWeb"/>
              <w:shd w:val="clear" w:color="auto" w:fill="FFFFFF"/>
              <w:spacing w:line="250" w:lineRule="atLeast"/>
              <w:ind w:left="360"/>
              <w:jc w:val="both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0044</w:t>
            </w:r>
          </w:p>
        </w:tc>
        <w:tc>
          <w:tcPr>
            <w:tcW w:w="49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C6A19" w:rsidRDefault="003C6A19" w:rsidP="008F2B35">
            <w:pPr>
              <w:pStyle w:val="NormalWeb"/>
              <w:shd w:val="clear" w:color="auto" w:fill="FFFFFF"/>
              <w:spacing w:line="250" w:lineRule="atLeast"/>
              <w:ind w:left="360"/>
              <w:jc w:val="both"/>
              <w:rPr>
                <w:rStyle w:val="nlmstring-name"/>
              </w:rPr>
            </w:pPr>
            <w:r>
              <w:t xml:space="preserve">GIONGO, I., SCHIRO, G., TOMASI, R., DIZHUR, D., INGHAM, J. ‘Seismic assessment procedures for flexible timber diaphragms’, in ‘Historical Earthquake-Resistant Timber Framing in the Mediterranean Area’, Eds. CRUZ, H., MACHADO, J. S., COSTA, A. C., CANDEIAS, P. X., RUGGIERI, N., CATARINO, J. M. Print ISBN 978-3-319-39491-6, Online ISBN 978-3-319-39492-3, Springer International Publishing, 263-274. </w:t>
            </w:r>
            <w:hyperlink r:id="rId26" w:history="1">
              <w:r>
                <w:rPr>
                  <w:rStyle w:val="Hyperlink"/>
                </w:rPr>
                <w:t>http://dx.doi.org/10.1007/978-3-319-39492-3_22</w:t>
              </w:r>
            </w:hyperlink>
          </w:p>
        </w:tc>
        <w:tc>
          <w:tcPr>
            <w:tcW w:w="16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3C6A19" w:rsidRDefault="003C6A19" w:rsidP="008F2B35">
            <w:pPr>
              <w:pStyle w:val="NormalWeb"/>
              <w:shd w:val="clear" w:color="auto" w:fill="FFFFFF"/>
              <w:spacing w:line="250" w:lineRule="atLeast"/>
              <w:ind w:left="360"/>
              <w:jc w:val="both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Published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3C6A19" w:rsidRDefault="003C6A19" w:rsidP="008F2B35">
            <w:pPr>
              <w:pStyle w:val="NormalWeb"/>
              <w:shd w:val="clear" w:color="auto" w:fill="FFFFFF"/>
              <w:spacing w:line="250" w:lineRule="atLeast"/>
              <w:ind w:left="360"/>
              <w:jc w:val="both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Book Chapter</w:t>
            </w:r>
          </w:p>
        </w:tc>
      </w:tr>
      <w:tr w:rsidR="003C6A19" w:rsidRPr="0004290F" w:rsidTr="003C6A19">
        <w:trPr>
          <w:trHeight w:val="2162"/>
        </w:trPr>
        <w:tc>
          <w:tcPr>
            <w:tcW w:w="8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C6A19" w:rsidRDefault="006B469A" w:rsidP="008F2B35">
            <w:pPr>
              <w:pStyle w:val="NormalWeb"/>
              <w:shd w:val="clear" w:color="auto" w:fill="FFFFFF"/>
              <w:spacing w:line="250" w:lineRule="atLeast"/>
              <w:ind w:left="360"/>
              <w:jc w:val="both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0045</w:t>
            </w:r>
          </w:p>
        </w:tc>
        <w:tc>
          <w:tcPr>
            <w:tcW w:w="49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C6A19" w:rsidRDefault="006B469A" w:rsidP="008F2B35">
            <w:pPr>
              <w:pStyle w:val="NormalWeb"/>
              <w:shd w:val="clear" w:color="auto" w:fill="FFFFFF"/>
              <w:spacing w:line="250" w:lineRule="atLeast"/>
              <w:ind w:left="360"/>
              <w:jc w:val="both"/>
              <w:rPr>
                <w:rStyle w:val="nlmstring-name"/>
              </w:rPr>
            </w:pPr>
            <w:r>
              <w:rPr>
                <w:rFonts w:ascii="Arial" w:hAnsi="Arial" w:cs="Arial"/>
                <w:lang w:val="en-GB"/>
              </w:rPr>
              <w:t xml:space="preserve">NAKAMURA, Y., DERAKHSHAN, H., SHEIKH, A. H., INGHAM, J. M., GRIFFITH, M. C. ‘Equivalent frame modelling of an unreinforced building with flexible diaphragms – A case study’, </w:t>
            </w:r>
            <w:r>
              <w:rPr>
                <w:rFonts w:ascii="Arial" w:hAnsi="Arial" w:cs="Arial"/>
                <w:i/>
                <w:iCs/>
                <w:lang w:val="en-GB"/>
              </w:rPr>
              <w:t xml:space="preserve">Bulletin of the New Zealand Society for Earthquake Engineering, 49, </w:t>
            </w:r>
            <w:r>
              <w:rPr>
                <w:rFonts w:ascii="Arial" w:hAnsi="Arial" w:cs="Arial"/>
                <w:lang w:val="en-GB"/>
              </w:rPr>
              <w:t>3, September, 234-244. 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3C6A19" w:rsidRDefault="006B469A" w:rsidP="008F2B35">
            <w:pPr>
              <w:pStyle w:val="NormalWeb"/>
              <w:shd w:val="clear" w:color="auto" w:fill="FFFFFF"/>
              <w:spacing w:line="250" w:lineRule="atLeast"/>
              <w:ind w:left="360"/>
              <w:jc w:val="both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Published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3C6A19" w:rsidRDefault="006B469A" w:rsidP="008F2B35">
            <w:pPr>
              <w:pStyle w:val="NormalWeb"/>
              <w:shd w:val="clear" w:color="auto" w:fill="FFFFFF"/>
              <w:spacing w:line="250" w:lineRule="atLeast"/>
              <w:ind w:left="360"/>
              <w:jc w:val="both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Journal</w:t>
            </w:r>
          </w:p>
        </w:tc>
      </w:tr>
      <w:tr w:rsidR="003C6A19" w:rsidRPr="0004290F" w:rsidTr="003C6A19">
        <w:trPr>
          <w:trHeight w:val="2162"/>
        </w:trPr>
        <w:tc>
          <w:tcPr>
            <w:tcW w:w="8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C6A19" w:rsidRDefault="00D00992" w:rsidP="008F2B35">
            <w:pPr>
              <w:pStyle w:val="NormalWeb"/>
              <w:shd w:val="clear" w:color="auto" w:fill="FFFFFF"/>
              <w:spacing w:line="250" w:lineRule="atLeast"/>
              <w:ind w:left="360"/>
              <w:jc w:val="both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lastRenderedPageBreak/>
              <w:t>0046</w:t>
            </w:r>
          </w:p>
        </w:tc>
        <w:tc>
          <w:tcPr>
            <w:tcW w:w="49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C6A19" w:rsidRDefault="00D00992" w:rsidP="008F2B35">
            <w:pPr>
              <w:pStyle w:val="NormalWeb"/>
              <w:shd w:val="clear" w:color="auto" w:fill="FFFFFF"/>
              <w:spacing w:line="250" w:lineRule="atLeast"/>
              <w:ind w:left="360"/>
              <w:jc w:val="both"/>
              <w:rPr>
                <w:rStyle w:val="nlmstring-name"/>
              </w:rPr>
            </w:pPr>
            <w:r w:rsidRPr="00D00992">
              <w:rPr>
                <w:rFonts w:ascii="Arial" w:hAnsi="Arial" w:cs="Arial"/>
                <w:lang w:val="en-GB"/>
              </w:rPr>
              <w:t>Bradley BA.</w:t>
            </w:r>
            <w:r>
              <w:rPr>
                <w:rFonts w:ascii="Arial" w:hAnsi="Arial" w:cs="Arial"/>
                <w:lang w:val="en-GB"/>
              </w:rPr>
              <w:t xml:space="preserve"> ‘</w:t>
            </w:r>
            <w:r w:rsidRPr="00D00992">
              <w:rPr>
                <w:rFonts w:ascii="Arial" w:hAnsi="Arial" w:cs="Arial"/>
                <w:lang w:val="en-GB"/>
              </w:rPr>
              <w:t>Strong ground motion characteristics observed in the 13 June 2011 Mw6.0 Christchurch, New Zealand earthquake’, Soil Dynamics and Earthquake Engineering.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3C6A19" w:rsidRDefault="00D00992" w:rsidP="008F2B35">
            <w:pPr>
              <w:pStyle w:val="NormalWeb"/>
              <w:shd w:val="clear" w:color="auto" w:fill="FFFFFF"/>
              <w:spacing w:line="250" w:lineRule="atLeast"/>
              <w:ind w:left="360"/>
              <w:jc w:val="both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Accepted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3C6A19" w:rsidRDefault="00D00992" w:rsidP="008F2B35">
            <w:pPr>
              <w:pStyle w:val="NormalWeb"/>
              <w:shd w:val="clear" w:color="auto" w:fill="FFFFFF"/>
              <w:spacing w:line="250" w:lineRule="atLeast"/>
              <w:ind w:left="360"/>
              <w:jc w:val="both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Journal</w:t>
            </w:r>
          </w:p>
        </w:tc>
      </w:tr>
      <w:tr w:rsidR="002F0839" w:rsidRPr="0004290F" w:rsidTr="003C6A19">
        <w:trPr>
          <w:trHeight w:val="2162"/>
        </w:trPr>
        <w:tc>
          <w:tcPr>
            <w:tcW w:w="8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F0839" w:rsidRDefault="00A60FC0" w:rsidP="008F2B35">
            <w:pPr>
              <w:pStyle w:val="NormalWeb"/>
              <w:shd w:val="clear" w:color="auto" w:fill="FFFFFF"/>
              <w:spacing w:line="250" w:lineRule="atLeast"/>
              <w:ind w:left="360"/>
              <w:jc w:val="both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0047</w:t>
            </w:r>
          </w:p>
        </w:tc>
        <w:tc>
          <w:tcPr>
            <w:tcW w:w="49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0FC0" w:rsidRDefault="00A60FC0" w:rsidP="00A60FC0">
            <w:pPr>
              <w:rPr>
                <w:rFonts w:ascii="Calibri" w:eastAsia="Times New Roman" w:hAnsi="Calibri"/>
                <w:color w:val="000000"/>
                <w:sz w:val="21"/>
                <w:szCs w:val="21"/>
              </w:rPr>
            </w:pPr>
            <w:r>
              <w:rPr>
                <w:rFonts w:ascii="Calibri" w:eastAsia="Times New Roman" w:hAnsi="Calibri"/>
                <w:color w:val="000000"/>
                <w:sz w:val="21"/>
                <w:szCs w:val="21"/>
              </w:rPr>
              <w:t xml:space="preserve">Chris R. McGann, Brendon A. Bradley, </w:t>
            </w:r>
            <w:proofErr w:type="spellStart"/>
            <w:r>
              <w:rPr>
                <w:rFonts w:ascii="Calibri" w:eastAsia="Times New Roman" w:hAnsi="Calibri"/>
                <w:color w:val="000000"/>
                <w:sz w:val="21"/>
                <w:szCs w:val="21"/>
              </w:rPr>
              <w:t>Misko</w:t>
            </w:r>
            <w:proofErr w:type="spellEnd"/>
            <w:r>
              <w:rPr>
                <w:rFonts w:ascii="Calibri" w:eastAsia="Times New Roman" w:hAnsi="Calibri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alibri" w:eastAsia="Times New Roman" w:hAnsi="Calibri"/>
                <w:color w:val="000000"/>
                <w:sz w:val="21"/>
                <w:szCs w:val="21"/>
              </w:rPr>
              <w:t>Cubrinovski</w:t>
            </w:r>
            <w:proofErr w:type="spellEnd"/>
            <w:r>
              <w:rPr>
                <w:rFonts w:ascii="Calibri" w:eastAsia="Times New Roman" w:hAnsi="Calibri"/>
                <w:color w:val="000000"/>
                <w:sz w:val="21"/>
                <w:szCs w:val="21"/>
              </w:rPr>
              <w:t xml:space="preserve">.’Development of a regional Vs30 model and typical Vs profiles for Christchurch, New Zealand from CPT data and a region-specific CPT-Vs </w:t>
            </w:r>
            <w:proofErr w:type="spellStart"/>
            <w:r>
              <w:rPr>
                <w:rFonts w:ascii="Calibri" w:eastAsia="Times New Roman" w:hAnsi="Calibri"/>
                <w:color w:val="000000"/>
                <w:sz w:val="21"/>
                <w:szCs w:val="21"/>
              </w:rPr>
              <w:t>correlation’,Soil</w:t>
            </w:r>
            <w:proofErr w:type="spellEnd"/>
            <w:r>
              <w:rPr>
                <w:rFonts w:ascii="Calibri" w:eastAsia="Times New Roman" w:hAnsi="Calibri"/>
                <w:color w:val="000000"/>
                <w:sz w:val="21"/>
                <w:szCs w:val="21"/>
              </w:rPr>
              <w:t xml:space="preserve"> Dynamics and Earthquake Engineering.</w:t>
            </w:r>
          </w:p>
          <w:p w:rsidR="002F0839" w:rsidRPr="00D00992" w:rsidRDefault="002F0839" w:rsidP="00A60FC0">
            <w:pPr>
              <w:rPr>
                <w:rFonts w:ascii="Arial" w:hAnsi="Arial" w:cs="Arial"/>
                <w:lang w:val="en-GB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2F0839" w:rsidRDefault="00A60FC0" w:rsidP="008F2B35">
            <w:pPr>
              <w:pStyle w:val="NormalWeb"/>
              <w:shd w:val="clear" w:color="auto" w:fill="FFFFFF"/>
              <w:spacing w:line="250" w:lineRule="atLeast"/>
              <w:ind w:left="360"/>
              <w:jc w:val="both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Submitted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2F0839" w:rsidRDefault="00A60FC0" w:rsidP="008F2B35">
            <w:pPr>
              <w:pStyle w:val="NormalWeb"/>
              <w:shd w:val="clear" w:color="auto" w:fill="FFFFFF"/>
              <w:spacing w:line="250" w:lineRule="atLeast"/>
              <w:ind w:left="360"/>
              <w:jc w:val="both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Journal</w:t>
            </w:r>
          </w:p>
        </w:tc>
      </w:tr>
      <w:tr w:rsidR="002F0839" w:rsidRPr="0004290F" w:rsidTr="003C6A19">
        <w:trPr>
          <w:trHeight w:val="2162"/>
        </w:trPr>
        <w:tc>
          <w:tcPr>
            <w:tcW w:w="8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F0839" w:rsidRDefault="00A60FC0" w:rsidP="008F2B35">
            <w:pPr>
              <w:pStyle w:val="NormalWeb"/>
              <w:shd w:val="clear" w:color="auto" w:fill="FFFFFF"/>
              <w:spacing w:line="250" w:lineRule="atLeast"/>
              <w:ind w:left="360"/>
              <w:jc w:val="both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0048</w:t>
            </w:r>
          </w:p>
        </w:tc>
        <w:tc>
          <w:tcPr>
            <w:tcW w:w="49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0FC0" w:rsidRDefault="00A60FC0" w:rsidP="00A60FC0">
            <w:pPr>
              <w:rPr>
                <w:rFonts w:ascii="Calibri" w:eastAsia="Times New Roman" w:hAnsi="Calibri"/>
                <w:color w:val="000000"/>
                <w:sz w:val="21"/>
                <w:szCs w:val="21"/>
              </w:rPr>
            </w:pPr>
            <w:r>
              <w:rPr>
                <w:rFonts w:ascii="Calibri" w:eastAsia="Times New Roman" w:hAnsi="Calibri"/>
                <w:color w:val="000000"/>
                <w:sz w:val="21"/>
                <w:szCs w:val="21"/>
              </w:rPr>
              <w:t xml:space="preserve">Chris R. McGann, Brendon A. Bradley, </w:t>
            </w:r>
            <w:proofErr w:type="spellStart"/>
            <w:r>
              <w:rPr>
                <w:rFonts w:ascii="Calibri" w:eastAsia="Times New Roman" w:hAnsi="Calibri"/>
                <w:color w:val="000000"/>
                <w:sz w:val="21"/>
                <w:szCs w:val="21"/>
              </w:rPr>
              <w:t>Misko</w:t>
            </w:r>
            <w:proofErr w:type="spellEnd"/>
            <w:r>
              <w:rPr>
                <w:rFonts w:ascii="Calibri" w:eastAsia="Times New Roman" w:hAnsi="Calibri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alibri" w:eastAsia="Times New Roman" w:hAnsi="Calibri"/>
                <w:color w:val="000000"/>
                <w:sz w:val="21"/>
                <w:szCs w:val="21"/>
              </w:rPr>
              <w:t>Cubrinovski</w:t>
            </w:r>
            <w:proofErr w:type="spellEnd"/>
            <w:r>
              <w:rPr>
                <w:rFonts w:ascii="Calibri" w:eastAsia="Times New Roman" w:hAnsi="Calibri"/>
                <w:color w:val="000000"/>
                <w:sz w:val="21"/>
                <w:szCs w:val="21"/>
              </w:rPr>
              <w:t>.’ Investigation of shear wave velocity depth variability, site classification, and liquefaction vulnerability identification using a near-surface Vs model of Christchurch, New Zealand’. Soil Dynamics and Earthquake Engineering</w:t>
            </w:r>
          </w:p>
          <w:p w:rsidR="002F0839" w:rsidRPr="00D00992" w:rsidRDefault="002F0839" w:rsidP="008F2B35">
            <w:pPr>
              <w:pStyle w:val="NormalWeb"/>
              <w:shd w:val="clear" w:color="auto" w:fill="FFFFFF"/>
              <w:spacing w:line="250" w:lineRule="atLeast"/>
              <w:ind w:left="360"/>
              <w:jc w:val="both"/>
              <w:rPr>
                <w:rFonts w:ascii="Arial" w:hAnsi="Arial" w:cs="Arial"/>
                <w:lang w:val="en-GB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2F0839" w:rsidRDefault="00A60FC0" w:rsidP="008F2B35">
            <w:pPr>
              <w:pStyle w:val="NormalWeb"/>
              <w:shd w:val="clear" w:color="auto" w:fill="FFFFFF"/>
              <w:spacing w:line="250" w:lineRule="atLeast"/>
              <w:ind w:left="360"/>
              <w:jc w:val="both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Submitted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2F0839" w:rsidRDefault="00A60FC0" w:rsidP="008F2B35">
            <w:pPr>
              <w:pStyle w:val="NormalWeb"/>
              <w:shd w:val="clear" w:color="auto" w:fill="FFFFFF"/>
              <w:spacing w:line="250" w:lineRule="atLeast"/>
              <w:ind w:left="360"/>
              <w:jc w:val="both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Journal</w:t>
            </w:r>
          </w:p>
        </w:tc>
      </w:tr>
      <w:tr w:rsidR="002F0839" w:rsidRPr="0004290F" w:rsidTr="003C6A19">
        <w:trPr>
          <w:trHeight w:val="2162"/>
        </w:trPr>
        <w:tc>
          <w:tcPr>
            <w:tcW w:w="8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F0839" w:rsidRDefault="00703095" w:rsidP="008F2B35">
            <w:pPr>
              <w:pStyle w:val="NormalWeb"/>
              <w:shd w:val="clear" w:color="auto" w:fill="FFFFFF"/>
              <w:spacing w:line="250" w:lineRule="atLeast"/>
              <w:ind w:left="360"/>
              <w:jc w:val="both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0049</w:t>
            </w:r>
          </w:p>
        </w:tc>
        <w:tc>
          <w:tcPr>
            <w:tcW w:w="49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0839" w:rsidRPr="00D00992" w:rsidRDefault="00703095" w:rsidP="008F2B35">
            <w:pPr>
              <w:pStyle w:val="NormalWeb"/>
              <w:shd w:val="clear" w:color="auto" w:fill="FFFFFF"/>
              <w:spacing w:line="250" w:lineRule="atLeast"/>
              <w:ind w:left="360"/>
              <w:jc w:val="both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it-IT"/>
              </w:rPr>
              <w:t xml:space="preserve">DERAKHSHAN, D., NAKAMURA, Y., INGHAM, J. M., GRIFFITH, M. C. ‘Simulation of shake table tests on out-of-plane masonry buildings. Part (I): Displacement-based approach using simple failure mechanisms’, International Journal of Architectural Heritage, </w:t>
            </w:r>
            <w:hyperlink r:id="rId27" w:history="1">
              <w:r>
                <w:rPr>
                  <w:rStyle w:val="Hyperlink"/>
                  <w:rFonts w:ascii="Arial" w:hAnsi="Arial" w:cs="Arial"/>
                  <w:sz w:val="20"/>
                  <w:szCs w:val="20"/>
                  <w:lang w:val="it-IT"/>
                </w:rPr>
                <w:t>http://dx.doi.org/10.1080/15583058.2016.1237590</w:t>
              </w:r>
            </w:hyperlink>
          </w:p>
        </w:tc>
        <w:tc>
          <w:tcPr>
            <w:tcW w:w="16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2F0839" w:rsidRDefault="00703095" w:rsidP="008F2B35">
            <w:pPr>
              <w:pStyle w:val="NormalWeb"/>
              <w:shd w:val="clear" w:color="auto" w:fill="FFFFFF"/>
              <w:spacing w:line="250" w:lineRule="atLeast"/>
              <w:ind w:left="360"/>
              <w:jc w:val="both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Published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2F0839" w:rsidRDefault="00703095" w:rsidP="008F2B35">
            <w:pPr>
              <w:pStyle w:val="NormalWeb"/>
              <w:shd w:val="clear" w:color="auto" w:fill="FFFFFF"/>
              <w:spacing w:line="250" w:lineRule="atLeast"/>
              <w:ind w:left="360"/>
              <w:jc w:val="both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Journal</w:t>
            </w:r>
          </w:p>
        </w:tc>
      </w:tr>
      <w:tr w:rsidR="003C6A19" w:rsidRPr="0004290F" w:rsidTr="003C6A19">
        <w:trPr>
          <w:trHeight w:val="2162"/>
        </w:trPr>
        <w:tc>
          <w:tcPr>
            <w:tcW w:w="8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C6A19" w:rsidRDefault="00DC4530" w:rsidP="008F2B35">
            <w:pPr>
              <w:pStyle w:val="NormalWeb"/>
              <w:shd w:val="clear" w:color="auto" w:fill="FFFFFF"/>
              <w:spacing w:line="250" w:lineRule="atLeast"/>
              <w:ind w:left="360"/>
              <w:jc w:val="both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0050</w:t>
            </w:r>
          </w:p>
        </w:tc>
        <w:tc>
          <w:tcPr>
            <w:tcW w:w="49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C6A19" w:rsidRDefault="00DC4530" w:rsidP="008F2B35">
            <w:pPr>
              <w:pStyle w:val="NormalWeb"/>
              <w:shd w:val="clear" w:color="auto" w:fill="FFFFFF"/>
              <w:spacing w:line="250" w:lineRule="atLeast"/>
              <w:ind w:left="360"/>
              <w:jc w:val="both"/>
              <w:rPr>
                <w:rStyle w:val="nlmstring-name"/>
              </w:rPr>
            </w:pPr>
            <w:r>
              <w:rPr>
                <w:rFonts w:ascii="Arial" w:hAnsi="Arial" w:cs="Arial"/>
                <w:sz w:val="20"/>
                <w:szCs w:val="20"/>
                <w:lang w:val="it-IT"/>
              </w:rPr>
              <w:t xml:space="preserve">MAROTTA, A., SORRENTINO, L., LIBERATORE, D., 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INGHAM J. M.</w:t>
            </w:r>
            <w:r>
              <w:rPr>
                <w:rFonts w:ascii="Arial" w:hAnsi="Arial" w:cs="Arial"/>
                <w:sz w:val="20"/>
                <w:szCs w:val="20"/>
                <w:lang w:val="it-IT"/>
              </w:rPr>
              <w:t xml:space="preserve"> ‘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 xml:space="preserve">Vulnerability assessment of unreinforced masonry churches following the 2010-2011 Canterbury (New Zealand) earthquake sequence’, </w:t>
            </w:r>
            <w:r>
              <w:rPr>
                <w:rFonts w:ascii="Arial" w:hAnsi="Arial" w:cs="Arial"/>
                <w:i/>
                <w:iCs/>
                <w:sz w:val="20"/>
                <w:szCs w:val="20"/>
                <w:lang w:val="en-GB"/>
              </w:rPr>
              <w:t>Journal of Earthquake Engineering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, </w:t>
            </w:r>
            <w:hyperlink r:id="rId28" w:history="1">
              <w:r>
                <w:rPr>
                  <w:rStyle w:val="Hyperlink"/>
                  <w:rFonts w:ascii="Arial" w:hAnsi="Arial" w:cs="Arial"/>
                  <w:sz w:val="20"/>
                  <w:szCs w:val="20"/>
                  <w:lang w:val="en-GB"/>
                </w:rPr>
                <w:t>http://dx.doi.org/</w:t>
              </w:r>
              <w:r>
                <w:rPr>
                  <w:rStyle w:val="Hyperlink"/>
                  <w:rFonts w:ascii="Arial" w:hAnsi="Arial" w:cs="Arial"/>
                  <w:sz w:val="20"/>
                  <w:szCs w:val="20"/>
                  <w:lang w:val="en-US"/>
                </w:rPr>
                <w:t>10.1080/13632469.2016.1206761</w:t>
              </w:r>
            </w:hyperlink>
          </w:p>
        </w:tc>
        <w:tc>
          <w:tcPr>
            <w:tcW w:w="16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3C6A19" w:rsidRDefault="00DC4530" w:rsidP="008F2B35">
            <w:pPr>
              <w:pStyle w:val="NormalWeb"/>
              <w:shd w:val="clear" w:color="auto" w:fill="FFFFFF"/>
              <w:spacing w:line="250" w:lineRule="atLeast"/>
              <w:ind w:left="360"/>
              <w:jc w:val="both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Published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3C6A19" w:rsidRDefault="00DC4530" w:rsidP="008F2B35">
            <w:pPr>
              <w:pStyle w:val="NormalWeb"/>
              <w:shd w:val="clear" w:color="auto" w:fill="FFFFFF"/>
              <w:spacing w:line="250" w:lineRule="atLeast"/>
              <w:ind w:left="360"/>
              <w:jc w:val="both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Journal</w:t>
            </w:r>
          </w:p>
        </w:tc>
      </w:tr>
    </w:tbl>
    <w:p w:rsidR="008F2B35" w:rsidRDefault="008F2B35" w:rsidP="008F2B35">
      <w:pPr>
        <w:rPr>
          <w:rFonts w:ascii="Calibri" w:hAnsi="Calibri"/>
          <w:color w:val="1F497D"/>
        </w:rPr>
      </w:pPr>
    </w:p>
    <w:p w:rsidR="002105D7" w:rsidRPr="0004290F" w:rsidRDefault="002105D7" w:rsidP="0004290F">
      <w:pPr>
        <w:pStyle w:val="NormalWeb"/>
        <w:shd w:val="clear" w:color="auto" w:fill="FFFFFF"/>
        <w:spacing w:line="250" w:lineRule="atLeast"/>
        <w:ind w:left="360"/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sectPr w:rsidR="002105D7" w:rsidRPr="000429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2A70"/>
    <w:rsid w:val="0004290F"/>
    <w:rsid w:val="002105D7"/>
    <w:rsid w:val="002133F0"/>
    <w:rsid w:val="00264BBF"/>
    <w:rsid w:val="00276C22"/>
    <w:rsid w:val="002F0839"/>
    <w:rsid w:val="003C6A19"/>
    <w:rsid w:val="004C6A95"/>
    <w:rsid w:val="00513022"/>
    <w:rsid w:val="00541861"/>
    <w:rsid w:val="005D4E5A"/>
    <w:rsid w:val="006169CD"/>
    <w:rsid w:val="006B469A"/>
    <w:rsid w:val="006C64E0"/>
    <w:rsid w:val="00703095"/>
    <w:rsid w:val="007636A6"/>
    <w:rsid w:val="007E6152"/>
    <w:rsid w:val="00811BF9"/>
    <w:rsid w:val="008405B7"/>
    <w:rsid w:val="00863528"/>
    <w:rsid w:val="00890C2B"/>
    <w:rsid w:val="008F2B35"/>
    <w:rsid w:val="0096042C"/>
    <w:rsid w:val="009B3C7F"/>
    <w:rsid w:val="009F091D"/>
    <w:rsid w:val="00A02A70"/>
    <w:rsid w:val="00A60FC0"/>
    <w:rsid w:val="00A92017"/>
    <w:rsid w:val="00AC1FC9"/>
    <w:rsid w:val="00AE6562"/>
    <w:rsid w:val="00B52ECD"/>
    <w:rsid w:val="00BE2E0F"/>
    <w:rsid w:val="00BF432F"/>
    <w:rsid w:val="00C53E26"/>
    <w:rsid w:val="00CE1649"/>
    <w:rsid w:val="00D00992"/>
    <w:rsid w:val="00DC4530"/>
    <w:rsid w:val="00E663FE"/>
    <w:rsid w:val="00E71D24"/>
    <w:rsid w:val="00E8090C"/>
    <w:rsid w:val="00EB0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F88E3C-535E-4D5B-8AB2-522D856A2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43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41861"/>
    <w:rPr>
      <w:color w:val="0000FF"/>
      <w:u w:val="single"/>
    </w:rPr>
  </w:style>
  <w:style w:type="character" w:customStyle="1" w:styleId="paddingr15">
    <w:name w:val="paddingr15"/>
    <w:basedOn w:val="DefaultParagraphFont"/>
    <w:rsid w:val="00541861"/>
  </w:style>
  <w:style w:type="character" w:customStyle="1" w:styleId="doctitle">
    <w:name w:val="doctitle"/>
    <w:basedOn w:val="DefaultParagraphFont"/>
    <w:rsid w:val="00541861"/>
  </w:style>
  <w:style w:type="character" w:customStyle="1" w:styleId="apple-converted-space">
    <w:name w:val="apple-converted-space"/>
    <w:basedOn w:val="DefaultParagraphFont"/>
    <w:rsid w:val="00BE2E0F"/>
  </w:style>
  <w:style w:type="paragraph" w:styleId="NormalWeb">
    <w:name w:val="Normal (Web)"/>
    <w:basedOn w:val="Normal"/>
    <w:uiPriority w:val="99"/>
    <w:unhideWhenUsed/>
    <w:rsid w:val="00BE2E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  <w:style w:type="table" w:styleId="TableGrid">
    <w:name w:val="Table Grid"/>
    <w:basedOn w:val="TableNormal"/>
    <w:uiPriority w:val="39"/>
    <w:rsid w:val="00E809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F432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105D7"/>
    <w:pPr>
      <w:spacing w:after="0" w:line="240" w:lineRule="auto"/>
    </w:pPr>
    <w:rPr>
      <w:rFonts w:ascii="Courier New" w:hAnsi="Courier New" w:cs="Courier New"/>
      <w:sz w:val="20"/>
      <w:szCs w:val="20"/>
      <w:lang w:eastAsia="en-GB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105D7"/>
    <w:rPr>
      <w:rFonts w:ascii="Courier New" w:hAnsi="Courier New" w:cs="Courier New"/>
      <w:sz w:val="20"/>
      <w:szCs w:val="20"/>
      <w:lang w:eastAsia="en-GB"/>
    </w:rPr>
  </w:style>
  <w:style w:type="character" w:customStyle="1" w:styleId="nlmstring-name">
    <w:name w:val="nlm_string-name"/>
    <w:basedOn w:val="DefaultParagraphFont"/>
    <w:rsid w:val="008F2B35"/>
  </w:style>
  <w:style w:type="character" w:customStyle="1" w:styleId="slug-doi">
    <w:name w:val="slug-doi"/>
    <w:basedOn w:val="DefaultParagraphFont"/>
    <w:rsid w:val="00AC1FC9"/>
  </w:style>
  <w:style w:type="paragraph" w:customStyle="1" w:styleId="References">
    <w:name w:val="References"/>
    <w:basedOn w:val="Normal"/>
    <w:uiPriority w:val="99"/>
    <w:rsid w:val="00811BF9"/>
    <w:pPr>
      <w:spacing w:after="60" w:line="360" w:lineRule="auto"/>
      <w:ind w:left="360" w:hanging="360"/>
      <w:jc w:val="both"/>
    </w:pPr>
    <w:rPr>
      <w:rFonts w:ascii="Times New Roman" w:hAnsi="Times New Roman" w:cs="Times New Roman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49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6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94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4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8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53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0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0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86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7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4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4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x.doi.org/10.1193/011115EQS006M" TargetMode="External"/><Relationship Id="rId13" Type="http://schemas.openxmlformats.org/officeDocument/2006/relationships/hyperlink" Target="http://dx.doi.org/10.1002/eqe.2671" TargetMode="External"/><Relationship Id="rId18" Type="http://schemas.openxmlformats.org/officeDocument/2006/relationships/hyperlink" Target="http://dx.doi.org/10.1061/(ASCE)PS.1949-1204.0000213" TargetMode="External"/><Relationship Id="rId26" Type="http://schemas.openxmlformats.org/officeDocument/2006/relationships/hyperlink" Target="http://dx.doi.org/10.1007/978-3-319-39492-3_22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dx.doi.org/10.1108/F-04-2015-0017" TargetMode="External"/><Relationship Id="rId7" Type="http://schemas.openxmlformats.org/officeDocument/2006/relationships/hyperlink" Target="http://dx.doi.org/10.1193/121715EQS184M" TargetMode="External"/><Relationship Id="rId12" Type="http://schemas.openxmlformats.org/officeDocument/2006/relationships/hyperlink" Target="http://dx.doi.org/10.1016/j.engstruct.2016.03.041" TargetMode="External"/><Relationship Id="rId17" Type="http://schemas.openxmlformats.org/officeDocument/2006/relationships/hyperlink" Target="http://dx.doi.org/10.12989/eas.2016.10.2.409" TargetMode="External"/><Relationship Id="rId25" Type="http://schemas.openxmlformats.org/officeDocument/2006/relationships/hyperlink" Target="http://dx.doi.org/10.1002/eqe.2794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dx.doi.org/10.1016/j.engstruct.2016.02.029" TargetMode="External"/><Relationship Id="rId20" Type="http://schemas.openxmlformats.org/officeDocument/2006/relationships/hyperlink" Target="http://dx.doi.org/10.1080/13632469.2016.1185052" TargetMode="External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dx.doi.org/10.1061/(ASCE)ST.1943-541X.0001650" TargetMode="External"/><Relationship Id="rId11" Type="http://schemas.openxmlformats.org/officeDocument/2006/relationships/hyperlink" Target="http://dx.doi.org/10.1617/s11527-015-0604-8" TargetMode="External"/><Relationship Id="rId24" Type="http://schemas.openxmlformats.org/officeDocument/2006/relationships/hyperlink" Target="http://dx.doi.org/10.1061/(ASCE)BE.1943-5592.0000970" TargetMode="External"/><Relationship Id="rId5" Type="http://schemas.openxmlformats.org/officeDocument/2006/relationships/hyperlink" Target="http://dx.doi.org/10.1016/j.engstruct.2016.06.032" TargetMode="External"/><Relationship Id="rId15" Type="http://schemas.openxmlformats.org/officeDocument/2006/relationships/hyperlink" Target="http://dx.doi.org/10.1061/(ASCE)CF.1943-5509.0000927" TargetMode="External"/><Relationship Id="rId23" Type="http://schemas.openxmlformats.org/officeDocument/2006/relationships/hyperlink" Target="http://dx.doi.org/10.1177/1369433216649853" TargetMode="External"/><Relationship Id="rId28" Type="http://schemas.openxmlformats.org/officeDocument/2006/relationships/hyperlink" Target="http://dx.doi.org/10.1080/13632469.2016.1206761" TargetMode="External"/><Relationship Id="rId10" Type="http://schemas.openxmlformats.org/officeDocument/2006/relationships/hyperlink" Target="http://dx.doi.org/10.1016/j.istruc.2016.04.004" TargetMode="External"/><Relationship Id="rId19" Type="http://schemas.openxmlformats.org/officeDocument/2006/relationships/hyperlink" Target="https://dl.dropboxusercontent.com/u/35408783/webpage/Publications/OtherPublications/2016/Kaklamanos_PhysicalInsightsIntoSiteResponseAnalysisBias_SSA_2016.pdf" TargetMode="External"/><Relationship Id="rId4" Type="http://schemas.openxmlformats.org/officeDocument/2006/relationships/hyperlink" Target="http://www.sciencedirect.com/science/article/pii/S0141029616305788" TargetMode="External"/><Relationship Id="rId9" Type="http://schemas.openxmlformats.org/officeDocument/2006/relationships/hyperlink" Target="http://dx.doi.org/10.1016/j.istruc.2016.04.005" TargetMode="External"/><Relationship Id="rId14" Type="http://schemas.openxmlformats.org/officeDocument/2006/relationships/hyperlink" Target="http://dx.doi.org/10.1080/13632469.2015.1051247" TargetMode="External"/><Relationship Id="rId22" Type="http://schemas.openxmlformats.org/officeDocument/2006/relationships/hyperlink" Target="http://www.emeraldinsight.com/doi/abs/10.1108/F-04-2015-0017" TargetMode="External"/><Relationship Id="rId27" Type="http://schemas.openxmlformats.org/officeDocument/2006/relationships/hyperlink" Target="http://dx.doi.org/10.1080/15583058.2016.1237590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7</Pages>
  <Words>2250</Words>
  <Characters>12830</Characters>
  <Application>Microsoft Office Word</Application>
  <DocSecurity>0</DocSecurity>
  <Lines>106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Canterbury</Company>
  <LinksUpToDate>false</LinksUpToDate>
  <CharactersWithSpaces>15050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Sharmila Savarimuthu</dc:creator>
  <cp:keywords/>
  <dc:description/>
  <cp:lastModifiedBy>Sharmila Savarimuthu</cp:lastModifiedBy>
  <cp:revision>34</cp:revision>
  <dcterms:created xsi:type="dcterms:W3CDTF">2016-06-07T01:42:00Z</dcterms:created>
  <dcterms:modified xsi:type="dcterms:W3CDTF">2016-10-03T00:35:00Z</dcterms:modified>
</cp:coreProperties>
</file>