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E7411" w:rsidRDefault="00000000">
      <w:pPr>
        <w:spacing w:after="80"/>
        <w:jc w:val="center"/>
      </w:pPr>
      <w:r>
        <w:rPr>
          <w:noProof/>
        </w:rPr>
        <w:drawing>
          <wp:inline distT="0" distB="0" distL="0" distR="0">
            <wp:extent cx="621792" cy="676123"/>
            <wp:effectExtent l="0" t="0" r="0" b="0"/>
            <wp:docPr id="1" name="Picture 1" descr="Эмблема Донского государственного технического университета" title="Эмблема ДГТ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6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411" w:rsidRPr="00052455" w:rsidRDefault="00000000">
      <w:pPr>
        <w:spacing w:after="240" w:line="240" w:lineRule="auto"/>
        <w:ind w:left="-144"/>
        <w:jc w:val="center"/>
        <w:rPr>
          <w:lang w:val="ru-RU"/>
        </w:rPr>
      </w:pPr>
      <w:r w:rsidRPr="00052455">
        <w:rPr>
          <w:rFonts w:eastAsia="Times New Roman"/>
          <w:sz w:val="24"/>
          <w:lang w:val="ru-RU"/>
        </w:rPr>
        <w:t>МИНИСТЕРСТВО НАУКИ И ВЫСШЕГО ОБРАЗОВАНИЯ РОССИЙСКОЙ ФЕДЕРАЦИИ</w:t>
      </w:r>
    </w:p>
    <w:p w:rsidR="009E7411" w:rsidRPr="00052455" w:rsidRDefault="00000000">
      <w:pPr>
        <w:spacing w:after="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ФЕДЕРАЛЬНОЕ ГОСУДАРСТВЕННОЕ БЮДЖЕТНОЕ</w:t>
      </w:r>
      <w:r w:rsidRPr="00052455">
        <w:rPr>
          <w:rFonts w:eastAsia="Times New Roman"/>
          <w:sz w:val="28"/>
          <w:lang w:val="ru-RU"/>
        </w:rPr>
        <w:br/>
        <w:t>ОБРАЗОВАТЕЛЬНОЕ УЧРЕЖДЕНИЕ</w:t>
      </w:r>
      <w:r w:rsidRPr="00052455">
        <w:rPr>
          <w:rFonts w:eastAsia="Times New Roman"/>
          <w:sz w:val="28"/>
          <w:lang w:val="ru-RU"/>
        </w:rPr>
        <w:br/>
        <w:t>ВЫСШЕГО ОБРАЗОВАНИЯ</w:t>
      </w:r>
      <w:r w:rsidRPr="00052455">
        <w:rPr>
          <w:rFonts w:eastAsia="Times New Roman"/>
          <w:sz w:val="28"/>
          <w:lang w:val="ru-RU"/>
        </w:rPr>
        <w:br/>
        <w:t>«ДОНСКОЙ ГОСУДАРСТВЕННЫЙ ТЕХНИЧЕСКИЙ УНИВЕРСИТЕТ»</w:t>
      </w:r>
      <w:r w:rsidRPr="00052455">
        <w:rPr>
          <w:rFonts w:eastAsia="Times New Roman"/>
          <w:sz w:val="28"/>
          <w:lang w:val="ru-RU"/>
        </w:rPr>
        <w:br/>
        <w:t>(ДГТУ)</w:t>
      </w:r>
    </w:p>
    <w:p w:rsidR="009E7411" w:rsidRPr="00052455" w:rsidRDefault="00000000">
      <w:pPr>
        <w:pStyle w:val="aa"/>
        <w:spacing w:before="1800" w:after="160" w:line="240" w:lineRule="auto"/>
        <w:jc w:val="center"/>
        <w:rPr>
          <w:lang w:val="ru-RU"/>
        </w:rPr>
      </w:pPr>
      <w:r w:rsidRPr="00052455">
        <w:rPr>
          <w:rFonts w:eastAsia="Times New Roman" w:ascii="Times New Roman" w:hAnsi="Times New Roman"/>
          <w:b w:val="0"/>
          <w:sz w:val="28"/>
          <w:lang w:val="ru-RU"/>
        </w:rPr>
        <w:t>ЛАБОРАТОРНАЯ РАБОТА №6</w:t>
      </w:r>
    </w:p>
    <w:p w:rsidR="009E7411" w:rsidRPr="00052455" w:rsidRDefault="00000000">
      <w:pPr>
        <w:spacing w:after="6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по дисциплине:</w:t>
      </w:r>
    </w:p>
    <w:p w:rsidR="009E7411" w:rsidRPr="00052455" w:rsidRDefault="00000000">
      <w:pPr>
        <w:spacing w:after="440" w:line="240" w:lineRule="auto"/>
        <w:jc w:val="center"/>
        <w:rPr>
          <w:lang w:val="ru-RU"/>
        </w:rPr>
      </w:pPr>
      <w:r w:rsidRPr="00052455">
        <w:rPr>
          <w:rFonts w:eastAsia="Times New Roman"/>
          <w:sz w:val="28"/>
          <w:lang w:val="ru-RU"/>
        </w:rPr>
        <w:t>«Искусственный интеллект в креативных технологиях»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656"/>
        <w:gridCol w:w="4752"/>
      </w:tblGrid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proofErr w:type="spellStart"/>
            <w:r>
              <w:rPr>
                <w:rFonts w:eastAsia="Times New Roman"/>
                <w:sz w:val="28"/>
              </w:rPr>
              <w:t>Направление</w:t>
            </w:r>
            <w:proofErr w:type="spellEnd"/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09.04.02 Информационные системы и 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Программа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Интеллектуальные медиатехнологии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Номер зачетн. книжки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2602149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Группа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МИК11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Студент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Рясной Владимир Олегович</w:t>
            </w:r>
          </w:p>
        </w:tc>
      </w:tr>
      <w:tr w:rsidR="009E7411">
        <w:trPr>
          <w:jc w:val="center"/>
        </w:trPr>
        <w:tc>
          <w:tcPr>
            <w:tcW w:w="29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000000">
            <w:pPr>
              <w:spacing w:after="0" w:line="240" w:lineRule="auto"/>
            </w:pPr>
            <w:r>
              <w:rPr>
                <w:rFonts w:eastAsia="Times New Roman"/>
                <w:sz w:val="28"/>
              </w:rPr>
              <w:t>Преподаватель</w:t>
            </w:r>
          </w:p>
        </w:tc>
        <w:tc>
          <w:tcPr>
            <w:tcW w:w="1656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Default="009E7411">
            <w:pPr>
              <w:spacing w:after="0" w:line="240" w:lineRule="auto"/>
            </w:pPr>
          </w:p>
        </w:tc>
        <w:tc>
          <w:tcPr>
            <w:tcW w:w="4752" w:type="dxa"/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</w:tcPr>
          <w:p w:rsidR="009E7411" w:rsidRPr="00052455" w:rsidRDefault="00052455">
            <w:pPr>
              <w:spacing w:after="0" w:line="240" w:lineRule="auto"/>
              <w:rPr>
                <w:lang w:val="ru-RU"/>
              </w:rPr>
            </w:pPr>
            <w:proofErr w:type="spellStart"/>
            <w:r>
              <w:rPr>
                <w:rFonts w:eastAsia="Times New Roman"/>
                <w:sz w:val="28"/>
                <w:lang w:val="ru-RU"/>
              </w:rPr>
              <w:t>Трубчик</w:t>
            </w:r>
            <w:proofErr w:type="spellEnd"/>
            <w:r>
              <w:rPr>
                <w:rFonts w:eastAsia="Times New Roman"/>
                <w:sz w:val="28"/>
                <w:lang w:val="ru-RU"/>
              </w:rPr>
              <w:t xml:space="preserve"> Ирина Степановна</w:t>
            </w:r>
          </w:p>
        </w:tc>
      </w:tr>
    </w:tbl>
    <w:p w:rsidR="009E7411" w:rsidRDefault="00052455">
      <w:pPr>
        <w:spacing w:before="2360" w:after="80" w:line="240" w:lineRule="auto"/>
        <w:jc w:val="center"/>
      </w:pP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r>
        <w:rPr>
          <w:rFonts w:eastAsia="Times New Roman"/>
          <w:sz w:val="28"/>
          <w:lang w:val="ru-RU"/>
        </w:rPr>
        <w:br/>
      </w:r>
      <w:proofErr w:type="spellStart"/>
      <w:r w:rsidR="00000000">
        <w:rPr>
          <w:rFonts w:eastAsia="Times New Roman"/>
          <w:sz w:val="28"/>
        </w:rPr>
        <w:t>Ростов-на-Дону</w:t>
      </w:r>
      <w:proofErr w:type="spellEnd"/>
    </w:p>
    <w:p w:rsidR="009E7411" w:rsidRDefault="00000000">
      <w:pPr>
        <w:spacing w:after="0" w:line="240" w:lineRule="auto"/>
        <w:jc w:val="center"/>
      </w:pPr>
      <w:r>
        <w:rPr>
          <w:rFonts w:eastAsia="Times New Roman"/>
          <w:sz w:val="28"/>
        </w:rPr>
        <w:t>2026</w:t>
      </w:r>
    </w:p>
    <w:p w:rsidR="009E7411" w:rsidRDefault="009E7411">
      <w:pPr>
        <w:sectPr w:rsidR="009E7411">
          <w:pgSz w:w="11909" w:h="16834"/>
          <w:pgMar w:top="1138" w:right="850" w:bottom="1138" w:left="1699" w:header="720" w:footer="720" w:gutter="0"/>
          <w:cols w:space="720"/>
          <w:docGrid w:linePitch="360"/>
        </w:sectPr>
      </w:pPr>
    </w:p>
    <w:p>
      <w:pPr>
        <w:pStyle w:val="1"/>
        <w:keepNext/>
        <w:spacing w:after="120" w:line="259" w:lineRule="auto" w:before="200"/>
      </w:pPr>
      <w:r>
        <w:t>Исследование параметров text to image генерации</w:t>
      </w:r>
    </w:p>
    <w:p>
      <w:pPr>
        <w:spacing w:after="120" w:line="259" w:lineRule="auto"/>
        <w:ind w:firstLine="369"/>
        <w:jc w:val="both"/>
      </w:pPr>
      <w:r>
        <w:t>Вариант 13. Постер научной выставки. На серии из пяти seed переход с одного на четыре шага сделал линии резче, но не повысил соответствие брифу по CLIP в пределах выбранного допуска. Среднее время увеличилось на 81,6%. Для быстрых черновиков по принятому правилу достаточно одного шага.</w:t>
      </w:r>
    </w:p>
    <w:p>
      <w:pPr>
        <w:pStyle w:val="1"/>
        <w:keepNext/>
        <w:spacing w:after="120" w:line="259" w:lineRule="auto" w:before="200"/>
      </w:pPr>
      <w:r>
        <w:t>1 Цель постановка и гипотеза</w:t>
      </w:r>
    </w:p>
    <w:p>
      <w:pPr>
        <w:spacing w:after="120" w:line="259" w:lineRule="auto"/>
        <w:ind w:firstLine="369"/>
        <w:jc w:val="both"/>
      </w:pPr>
      <w:r>
        <w:t>Цель работы — исследовать влияние числа шагов SD Turbo при неизменных остальных параметрах. Вариант N = 13 задаёт контекст c = (13 − 1) // 6 = 2 (бриф 3) и фактор k = (13 − 1) % 6 = 0: A — один шаг, B — четыре шага. Обе серии используют seed 101–105.</w:t>
      </w:r>
    </w:p>
    <w:p>
      <w:pPr>
        <w:spacing w:after="120" w:line="259" w:lineRule="auto"/>
        <w:ind w:firstLine="369"/>
        <w:jc w:val="both"/>
      </w:pPr>
      <w:r>
        <w:t>Гипотеза записана 18.10.2026 в 23:21:21 МСК (UTC+3), до загрузки моделей: четыре шага увеличат энергию границ, контраст и время, а изменение CLIP останется в пределах ±1 балла. Первичная запись: expectations_before_run.json.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928"/>
        <w:gridCol w:w="2268"/>
        <w:gridCol w:w="538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Показатель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Практический допуск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CLIP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±1,0 балла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Малые сдвиги не определяют выбор режима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Энергия границ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±10% от среднего A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Изменение выраженности деталей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Контраст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±10% от среднего A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Изменение тонального диапазона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</w:t>
            </w:r>
          </w:p>
        </w:tc>
        <w:tc>
          <w:tcPr>
            <w:tcW w:type="dxa" w:w="226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±20% от среднего A</w:t>
            </w:r>
          </w:p>
        </w:tc>
        <w:tc>
          <w:tcPr>
            <w:tcW w:type="dxa" w:w="538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Допустимые затраты для черновиков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На границе допуска отклик нейтрален. Рост CLIP и снижение времени считаются улучшением. Рост энергии границ и контраста условно назван улучшением выраженности соответствующего признака; это не оценка качества. До запуска принято: рост времени окупается, только если CLIP увеличивается более чем на 1 балл и узлы с линиями остаются различимы.</w:t>
      </w:r>
    </w:p>
    <w:p>
      <w:pPr>
        <w:pStyle w:val="1"/>
        <w:keepNext/>
        <w:spacing w:after="120" w:line="259" w:lineRule="auto" w:before="200"/>
      </w:pPr>
      <w:r>
        <w:t>2 Данные и модели</w:t>
      </w:r>
    </w:p>
    <w:p>
      <w:pPr>
        <w:spacing w:after="120" w:line="259" w:lineRule="auto"/>
        <w:ind w:firstLine="369"/>
        <w:jc w:val="both"/>
      </w:pPr>
      <w:r>
        <w:t>Входные данные — синтетический английский бриф из учебной библиотеки: «poster concept for a science exhibition, abstract constellation of connected nodes, dark background with white and cyan lines, balanced composition, no text, no logo». Текст одинаков для генерации A и B и для расчёта CLIP. Внешние фотографии и персональные данные не используются. Сеть узлов — художественный образ, связи не отражают научных данных.</w:t>
      </w:r>
    </w:p>
    <w:p>
      <w:pPr>
        <w:spacing w:after="120" w:line="259" w:lineRule="auto"/>
        <w:ind w:firstLine="369"/>
        <w:jc w:val="both"/>
      </w:pPr>
      <w:r>
        <w:t>SD Turbo используется в учебных некоммерческих целях по Stability AI Community License. CLIP распространяется по MIT; текст лицензии и карточки моделей приложены в docs/. Веса в комплект не включены. Powered by Stability AI.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3 Среда и фиксированные параметры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2948"/>
        <w:gridCol w:w="6633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Параметр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Фактическое значение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Площадка и GPU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Google Colab, Tesla T4, Linux x86_64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Дата опыта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18.10.2026, 23:21:21–23:22:15 МСК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Python / CUDA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3.13.15 / 13.0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torch / diffusers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2.11.0+cu130 / 0.40.0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transformers / Pillow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5.18.0 / 11.3.0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numpy / scipy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2.1.3 / 1.16.3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Точность и генератор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SD Turbo float16; CPU, свежий для каждого изображения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Размер / guidance / batch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512×512 / 0,0 / 1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Загрузка SD Turbo / CLIP</w:t>
            </w:r>
          </w:p>
        </w:tc>
        <w:tc>
          <w:tcPr>
            <w:tcW w:type="dxa" w:w="6633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29,02 с / 7,98 с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Модели и закреплённые ревизии:</w:t>
      </w:r>
    </w:p>
    <w:p>
      <w:pPr>
        <w:spacing w:after="40" w:line="259" w:lineRule="auto"/>
        <w:ind w:firstLine="0"/>
        <w:jc w:val="left"/>
      </w:pPr>
      <w:r>
        <w:t>stabilityai/sd-turbo</w:t>
      </w:r>
    </w:p>
    <w:p>
      <w:pPr>
        <w:spacing w:after="40" w:line="259" w:lineRule="auto"/>
        <w:ind w:firstLine="0"/>
        <w:jc w:val="left"/>
      </w:pPr>
      <w:r>
        <w:t>b261bac6fd2cf515557d5d0707481eafa0485ec2</w:t>
      </w:r>
    </w:p>
    <w:p>
      <w:pPr>
        <w:spacing w:after="40" w:line="259" w:lineRule="auto"/>
        <w:ind w:firstLine="0"/>
        <w:jc w:val="left"/>
      </w:pPr>
      <w:r>
        <w:t>openai/clip-vit-base-patch32</w:t>
      </w:r>
    </w:p>
    <w:p>
      <w:pPr>
        <w:spacing w:after="40" w:line="259" w:lineRule="auto"/>
        <w:ind w:firstLine="0"/>
        <w:jc w:val="left"/>
      </w:pPr>
      <w:r>
        <w:t>3d74acf9a28c67741b2f4f2ea7635f0aaf6f0268</w:t>
      </w:r>
    </w:p>
    <w:p>
      <w:pPr>
        <w:spacing w:after="120" w:line="259" w:lineRule="auto"/>
        <w:ind w:firstLine="369"/>
        <w:jc w:val="both"/>
      </w:pPr>
      <w:r>
        <w:t>CLIP загружается штатной M.load_clip без приведения к float16. Полный вывод nvidia-smi и pip list, платформа и SHA-256 двух библиотек сохранены в environment.json. Исходные библиотеки и демонстрации находятся в src/original без изменений.</w:t>
      </w:r>
    </w:p>
    <w:p>
      <w:pPr>
        <w:pStyle w:val="1"/>
        <w:keepNext/>
        <w:spacing w:after="120" w:line="259" w:lineRule="auto" w:before="200"/>
      </w:pPr>
      <w:r>
        <w:t>4 Метод и ход работы</w:t>
      </w:r>
    </w:p>
    <w:p>
      <w:pPr>
        <w:spacing w:after="120" w:line="259" w:lineRule="auto"/>
        <w:ind w:firstLine="369"/>
        <w:jc w:val="both"/>
      </w:pPr>
      <w:r>
        <w:t>В новом блокноте lab06.ipynb библиотеки записаны отдельными ячейками %%writefile. Гипотеза и допуски сохранены до загрузки моделей. Словари M.settings различаются только полем steps. M.variant_summary(pipe, clip, 13) сначала прогревает A и B с seed 0, затем чередует A/B для каждого seed 101–105.</w:t>
      </w:r>
    </w:p>
    <w:p>
      <w:pPr>
        <w:spacing w:after="120" w:line="259" w:lineRule="auto"/>
        <w:ind w:firstLine="0"/>
        <w:jc w:val="left"/>
      </w:pPr>
      <w:r>
        <w:rPr>
          <w:rFonts w:ascii="Courier New" w:hAnsi="Courier New"/>
          <w:sz w:val="20"/>
        </w:rPr>
        <w:t>a_cfg, b_cfg = M.settings(M.FACTORS[0], 2)</w:t>
        <w:br/>
        <w:t>res = M.variant_summary(pipe, clip, 13)</w:t>
      </w:r>
    </w:p>
    <w:p>
      <w:pPr>
        <w:spacing w:after="120" w:line="259" w:lineRule="auto"/>
        <w:ind w:firstLine="369"/>
        <w:jc w:val="both"/>
      </w:pPr>
      <w:r>
        <w:t>Обёртка над M.measure сохраняет возвращаемые метрики и PNG, не изменяя вычисления библиотеки. Время измеряется perf_counter вокруг L.generate после прогрева, без загрузки и вычисления CLIP; возврат PIL-изображения уже требует получения данных с GPU. Накладные расходы вызова входят во время, а запись PNG не входит.</w:t>
      </w:r>
    </w:p>
    <w:p>
      <w:pPr>
        <w:spacing w:after="120" w:line="259" w:lineRule="auto"/>
        <w:ind w:firstLine="369"/>
        <w:jc w:val="both"/>
      </w:pPr>
      <w:r>
        <w:t>CLIP = 100 cos(eI, eT), не CLIPScore. Яркость Y = 0,299R + 0,587G + 0,114B, RGB нормирован к [0; 1]. Энергия границ — средний модуль градиента Собеля / 8, контраст — стандартное отклонение Y. Для каждого показателя вычислены средние A и B, выборочное sA (ddof = 1), Δ = B − A и |Δ|/sA. Учебный признак |Δ| &gt; 2sA характеризует выход за разброс seed; это не формальный статистический тест.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5 Численные результаты</w:t>
      </w:r>
    </w:p>
    <w:p>
      <w:pPr>
        <w:spacing w:after="120" w:line="259" w:lineRule="auto"/>
        <w:ind w:firstLine="369"/>
        <w:jc w:val="both"/>
      </w:pPr>
      <w:r>
        <w:t>Таблица 1 — первичные значения по серии. Каждый seed использован в обоих режимах. Время указано в секундах; остальные показатели безразмерны.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907"/>
        <w:gridCol w:w="964"/>
        <w:gridCol w:w="1871"/>
        <w:gridCol w:w="1928"/>
        <w:gridCol w:w="1928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Seed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Режим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CLIP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Границы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Контраст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Время, с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101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29,6929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0,054125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0,211078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0,272335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101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29,2582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0,086293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0,286416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0,487864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102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29,8064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0,051816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0,230349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0,268745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102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29,3750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0,086049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0,298729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0,491099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103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30,0508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0,054478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0,194976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0,273073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103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29,2629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0,094887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0,273875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0,495645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104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29,0014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0,048966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0,190903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0,269706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104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29,1560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0,082090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0,273980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0,493450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30,4913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0,049856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0,191897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0,270383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105</w:t>
            </w:r>
          </w:p>
        </w:tc>
        <w:tc>
          <w:tcPr>
            <w:tcW w:type="dxa" w:w="96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29,5936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0,078944</w:t>
            </w:r>
          </w:p>
        </w:tc>
        <w:tc>
          <w:tcPr>
            <w:tcW w:type="dxa" w:w="1928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0,241157</w:t>
            </w:r>
          </w:p>
        </w:tc>
        <w:tc>
          <w:tcPr>
            <w:tcW w:type="dxa" w:w="198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0,491553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Таблица 2 — средние и эффект числа шагов. sA — выборочное стандартное отклонение в режиме одного шага. Для вычислений использованы исходные значения без округления.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1"/>
        <w:gridCol w:w="1304"/>
        <w:gridCol w:w="1304"/>
        <w:gridCol w:w="1304"/>
        <w:gridCol w:w="1417"/>
        <w:gridCol w:w="1304"/>
        <w:gridCol w:w="1247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sA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Δ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|Δ|/sA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&gt;2sA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CLIP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29,8085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0,5454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29,3291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-0,4794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0,88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Границы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0,0518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0,0025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0,0857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+0,0338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13,69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Контраст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0,2038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0,0169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0,2748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+0,0710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4,20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Время, с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0,2708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0,0018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0,4919</w:t>
            </w:r>
          </w:p>
        </w:tc>
        <w:tc>
          <w:tcPr>
            <w:tcW w:type="dxa" w:w="141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+0,2211</w:t>
            </w:r>
          </w:p>
        </w:tc>
        <w:tc>
          <w:tcPr>
            <w:tcW w:type="dxa" w:w="130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122,13</w:t>
            </w:r>
          </w:p>
        </w:tc>
        <w:tc>
          <w:tcPr>
            <w:tcW w:type="dxa" w:w="1247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да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Среднее CLIP снизилось с 29,8085 до 29,3291 (Δ = −0,4794). Энергия границ выросла на 65,2%, контраст на 34,8%, время на 81,6% (в 1,816 раза). Эффект CLIP не превышает 2sA; остальные три эффекта превышают этот порог.</w:t>
      </w:r>
    </w:p>
    <w:p>
      <w:pPr>
        <w:spacing w:after="120" w:line="259" w:lineRule="auto"/>
        <w:ind w:firstLine="369"/>
        <w:jc w:val="both"/>
      </w:pPr>
      <w:r>
        <w:t>Независимая проверка без GPU повторно рассчитала границы и контраст из всех десяти PNG и агрегаты из raw_metrics.json. Результаты совпали в пределах 10⁻¹². CLIP локально заново не вычислялся: проверены исходный текст, закреплённая ревизия, outputs и агрегаты сохранённых значений. Два дополнительных запуска seed 101 в том же сеансе дали исходные SHA-256 A и B; время повторов не включено в серию.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5 Визуальное сравнение и классификация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04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04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  <w:ind w:firstLine="0"/>
        <w:jc w:val="center"/>
      </w:pPr>
      <w:r>
        <w:t>Рисунок 1 — seed 101: слева A, один шаг; справа B, четыре шага. Оба изображения уменьшены с 512×512 до 384×384 одинаковым способом.</w:t>
      </w:r>
    </w:p>
    <w:p>
      <w:pPr>
        <w:spacing w:after="120" w:line="259" w:lineRule="auto"/>
        <w:ind w:firstLine="369"/>
        <w:jc w:val="both"/>
      </w:pPr>
      <w:r>
        <w:t>Наблюдение. В A видны яркие узлы, тонкие голубоватые соединения и световые ореолы. В B соединения толще и прямее, узлы белее, фон выглядит более плоским, свечение ослаблено. У обоих вариантов узлы и соединяющие линии различимы на тёмном фоне; часть краевых элементов обрезается границей кадра. Чёткая геометрия B не означает более точного изображения научного объекта.</w:t>
      </w:r>
    </w:p>
    <w:p>
      <w:pPr>
        <w:spacing w:after="120" w:line="259" w:lineRule="auto"/>
        <w:ind w:firstLine="369"/>
        <w:jc w:val="both"/>
      </w:pPr>
      <w:r>
        <w:t>При просмотре всех пяти пар сеть связей сохраняется в обоих режимах. В B для seed 102 и 105 особенно заметны многочисленные отдельные светлые точки, для seed 104 — зеленоватый оттенок. Эти наблюдения показывают зависимость композиции от seed. Восприятие одного сравнительного листа не заменяет анализ серии.</w:t>
      </w:r>
    </w:p>
    <w:p>
      <w:pPr>
        <w:spacing w:after="120" w:line="259" w:lineRule="auto"/>
        <w:ind w:firstLine="369"/>
        <w:jc w:val="both"/>
      </w:pPr>
      <w:r>
        <w:t>Таблица 3 — классификация по допускам, зафиксированным до запуска.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701"/>
        <w:gridCol w:w="1701"/>
        <w:gridCol w:w="1701"/>
        <w:gridCol w:w="4479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Метрика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Изменение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Порог</w:t>
            </w:r>
          </w:p>
        </w:tc>
        <w:tc>
          <w:tcPr>
            <w:tcW w:type="dxa" w:w="447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Отклик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CLIP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−0,4794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±1,0</w:t>
            </w:r>
          </w:p>
        </w:tc>
        <w:tc>
          <w:tcPr>
            <w:tcW w:type="dxa" w:w="447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Нейтрально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Границы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+65,2%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±10%</w:t>
            </w:r>
          </w:p>
        </w:tc>
        <w:tc>
          <w:tcPr>
            <w:tcW w:type="dxa" w:w="447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Условное улучшение признака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Контраст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+34,8%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±10%</w:t>
            </w:r>
          </w:p>
        </w:tc>
        <w:tc>
          <w:tcPr>
            <w:tcW w:type="dxa" w:w="447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Условное улучшение признака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Время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+81,6%</w:t>
            </w:r>
          </w:p>
        </w:tc>
        <w:tc>
          <w:tcPr>
            <w:tcW w:type="dxa" w:w="170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±20%</w:t>
            </w:r>
          </w:p>
        </w:tc>
        <w:tc>
          <w:tcPr>
            <w:tcW w:type="dxa" w:w="4479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Ухудшение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Критерий 2sA и практический допуск дали одинаковый ответ о наличии изменения для всех четырёх показателей. Случая расхождения в этой серии нет. При этом направление пользы различается: заметный рост времени ухудшает скорость, а заметный рост границ и контраста сам по себе не доказывает улучшения постера.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6 Интерпретация и чувствительность к допуску</w:t>
      </w:r>
    </w:p>
    <w:p>
      <w:pPr>
        <w:spacing w:after="120" w:line="259" w:lineRule="auto"/>
        <w:ind w:firstLine="369"/>
        <w:jc w:val="both"/>
      </w:pPr>
      <w:r>
        <w:t>Объяснение. Дополнительные шаги уточняют результат шумоподавления, что согласуется с более резкими линиями и большим контрастом. Однако по одной серии нельзя установить, что весь прирост энергии обусловлен полезной детализацией: его могут давать утолщение границ, изменение композиции и мелкие точки. CLIP измеряет соответствие брифу в пространстве модели, а не читаемость схемы или эстетическую ценность.</w:t>
      </w:r>
    </w:p>
    <w:p>
      <w:pPr>
        <w:spacing w:after="120" w:line="259" w:lineRule="auto"/>
        <w:ind w:firstLine="369"/>
        <w:jc w:val="both"/>
      </w:pPr>
      <w:r>
        <w:t>Принятое до опыта правило окупаемости не выполнено: CLIP не вырос более чем на 1 балл, хотя узлы и линии остаются различимы. По этим условиям для чернового отбора сохраняется один шаг. Четыре шага можно выбирать ради конкретного визуального характера, но это потребует отдельной экспертной оценки и не следует автоматически из метрик.</w:t>
      </w:r>
    </w:p>
    <w:p>
      <w:pPr>
        <w:spacing w:after="120" w:line="259" w:lineRule="auto"/>
        <w:ind w:firstLine="369"/>
        <w:jc w:val="both"/>
      </w:pPr>
      <w:r>
        <w:t>При удвоении допусков до ±2 баллов CLIP, ±20% для границ и контраста и ±40% для времени классификация не изменится: −0,4794 остаётся внутри допуска, а +65,2%, +34,8% и +81,6% — снаружи. Это анализ чувствительности после опыта, не замена исходного правила. Если допуск CLIP снизить ниже 0,4794 балла, изменение будет практически неблагоприятным при несрабатывающем 2sA — возможное расхождение критериев.</w:t>
      </w:r>
    </w:p>
    <w:p>
      <w:pPr>
        <w:pStyle w:val="1"/>
        <w:keepNext/>
        <w:spacing w:after="120" w:line="259" w:lineRule="auto" w:before="200"/>
      </w:pPr>
      <w:r>
        <w:t>7 Намеренная ошибка с guidance</w:t>
      </w:r>
    </w:p>
    <w:p>
      <w:pPr>
        <w:spacing w:after="120" w:line="259" w:lineRule="auto"/>
        <w:ind w:firstLine="369"/>
        <w:jc w:val="both"/>
      </w:pPr>
      <w:r>
        <w:t>Воспроизведена ошибка демо: ожидание, что guidance_scale = 1,0 включает CFG и меняет результат. Проверка выполнена отдельно от основной серии на брифе 1 про робототехнику, seed 101, 512×512, один шаг. Все прочие условия одинаковы.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7B7"/>
          <w:bottom w:val="single" w:sz="4" w:color="B7B7B7"/>
          <w:left w:val="single" w:sz="4" w:color="B7B7B7"/>
          <w:right w:val="single" w:sz="4" w:color="B7B7B7"/>
          <w:insideH w:val="single" w:sz="4" w:color="B7B7B7"/>
          <w:insideV w:val="single" w:sz="4" w:color="B7B7B7"/>
        </w:tblBorders>
      </w:tblPr>
      <w:tblGrid>
        <w:gridCol w:w="1474"/>
        <w:gridCol w:w="1871"/>
        <w:gridCol w:w="6236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/>
                <w:sz w:val="20"/>
              </w:rPr>
              <w:t>guidance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CFG активен</w:t>
            </w:r>
          </w:p>
        </w:tc>
        <w:tc>
          <w:tcPr>
            <w:tcW w:type="dxa" w:w="62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  <w:shd w:fill="EDEDED"/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SHA-256 PNG начало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0,0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False</w:t>
            </w:r>
          </w:p>
        </w:tc>
        <w:tc>
          <w:tcPr>
            <w:tcW w:type="dxa" w:w="62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84db2534b3e66ea6f5ac17a7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1,0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False</w:t>
            </w:r>
          </w:p>
        </w:tc>
        <w:tc>
          <w:tcPr>
            <w:tcW w:type="dxa" w:w="62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84db2534b3e66ea6f5ac17a7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</w:pPr>
            <w:r>
              <w:rPr>
                <w:rFonts w:ascii="Times New Roman" w:hAnsi="Times New Roman"/>
                <w:b w:val="0"/>
                <w:sz w:val="20"/>
              </w:rPr>
              <w:t>3,0</w:t>
            </w:r>
          </w:p>
        </w:tc>
        <w:tc>
          <w:tcPr>
            <w:tcW w:type="dxa" w:w="1871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True</w:t>
            </w:r>
          </w:p>
        </w:tc>
        <w:tc>
          <w:tcPr>
            <w:tcW w:type="dxa" w:w="6236"/>
            <w:vAlign w:val="center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 w:before="0" w:line="252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b961e528cd31aa9da0ce4a7a</w:t>
            </w:r>
          </w:p>
        </w:tc>
      </w:tr>
    </w:tbl>
    <w:p>
      <w:pPr>
        <w:spacing w:before="120" w:after="120" w:line="259" w:lineRule="auto"/>
        <w:ind w:firstLine="369"/>
        <w:jc w:val="both"/>
      </w:pPr>
      <w:r>
        <w:t>Фактически PNG при 0,0 и 1,0 совпали по полному SHA-256. При 3,0 CFG активен, хеш изменился, PSNR относительно 0,0 составил 11,6051 дБ. Полные хеши, статусы и три изображения сохранены в guidance_error.json и guidance_0/1/3.png.</w:t>
      </w:r>
    </w:p>
    <w:p>
      <w:pPr>
        <w:spacing w:after="120" w:line="259" w:lineRule="auto"/>
        <w:ind w:firstLine="369"/>
        <w:jc w:val="both"/>
      </w:pPr>
      <w:r>
        <w:t>Диагностика: в используемом конвейере Diffusers CFG включается только при guidance_scale &gt; 1. Исправление — проверять pipe.do_classifier_free_guidance после генерации; для исследования включённого механизма использовать 3,0 как выход за рекомендованный режим. Рабочее значение SD Turbo — 0,0. Этот вывод нельзя переносить на другие модели и конвейеры.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8 Ограничения и угрозы валидности</w:t>
      </w:r>
    </w:p>
    <w:p>
      <w:pPr>
        <w:spacing w:after="120" w:line="259" w:lineRule="auto"/>
        <w:ind w:firstLine="369"/>
        <w:jc w:val="both"/>
      </w:pPr>
      <w:r>
        <w:t>Проверены одна модель, один английский бриф и пять seed в одном Colab-сеансе. sA оценивается по небольшой выборке; правило 2sA не учитывает парность A/B и не задаёт уровень ошибки. Отсутствие эффекта по этому правилу не доказывает эквивалентность режимов. Для формального вывода потребовались бы иной заранее заданный план и более широкая выборка.</w:t>
      </w:r>
    </w:p>
    <w:p>
      <w:pPr>
        <w:spacing w:after="120" w:line="259" w:lineRule="auto"/>
        <w:ind w:firstLine="369"/>
        <w:jc w:val="both"/>
      </w:pPr>
      <w:r>
        <w:t>Время зависит от загрузки и состояния GPU, порядка A/B и программной среды. Прогрев уменьшает начальные накладные расходы, но не устраняет все источники вариации. Сравнение другого оборудования или сеанса может изменить время и даже численные результаты. Ревизии моделей закреплены; версии среды отличаются от демонстрационных, что явно зафиксировано.</w:t>
      </w:r>
    </w:p>
    <w:p>
      <w:pPr>
        <w:spacing w:after="120" w:line="259" w:lineRule="auto"/>
        <w:ind w:firstLine="369"/>
        <w:jc w:val="both"/>
      </w:pPr>
      <w:r>
        <w:t>CLIP ограничен свойствами кодировщика и длиной текста до 77 токенов. Его значение не оценивает правильность графа, точное количество узлов или пригодность готовой афиши. Контраст и энергия границ зависят от композиции и могут расти из-за артефактов. На изображениях отсутствуют реальные данные, поэтому их нельзя представлять научной визуализацией.</w:t>
      </w:r>
    </w:p>
    <w:p>
      <w:pPr>
        <w:pStyle w:val="1"/>
        <w:keepNext/>
        <w:spacing w:after="120" w:line="259" w:lineRule="auto" w:before="200"/>
      </w:pPr>
      <w:r>
        <w:t>9 Вывод паспорт и состав работы</w:t>
      </w:r>
    </w:p>
    <w:p>
      <w:pPr>
        <w:spacing w:after="120" w:line="259" w:lineRule="auto"/>
        <w:ind w:firstLine="369"/>
        <w:jc w:val="both"/>
      </w:pPr>
      <w:r>
        <w:t>Гипотеза согласуется с наблюдениями в выбранных пределах: четыре шага увеличили энергию границ и контраст, изменение CLIP осталось нейтральным по допуску, а время существенно выросло. Дополнительные шаги не окупились по предварительному правилу. Вывод относится только к данному брифу, SD Turbo, seed 101–105 и зафиксированной среде.</w:t>
      </w:r>
    </w:p>
    <w:p>
      <w:pPr>
        <w:spacing w:after="120" w:line="259" w:lineRule="auto"/>
        <w:ind w:firstLine="369"/>
        <w:jc w:val="both"/>
      </w:pPr>
      <w:r>
        <w:t>Паспорт artifacts/passport.json содержит время начала и завершения, модель и ревизию, CLIP и ревизию, полный текст, seed, параметры A/B, допуски, метод времени, результат и проверки. Полная среда находится в environment.json; первичные метрики — в raw_metrics.json, агрегаты — в summary.json. Исходный экспорт lab06_13_artifacts.zip сохранён отдельно от последующей проверки.</w:t>
      </w:r>
    </w:p>
    <w:p>
      <w:pPr>
        <w:spacing w:after="120" w:line="259" w:lineRule="auto"/>
        <w:ind w:firstLine="369"/>
        <w:jc w:val="both"/>
      </w:pPr>
      <w:r>
        <w:t>Выполненный блокнот: src/lab06.ipynb. Онлайн-копия:</w:t>
      </w:r>
    </w:p>
    <w:p>
      <w:pPr>
        <w:spacing w:after="120" w:line="259" w:lineRule="auto"/>
        <w:ind w:firstLine="0"/>
        <w:jc w:val="left"/>
      </w:pPr>
      <w:r>
        <w:t>https://colab.research.google.com/drive/12i4mFkFRDSi9LqWo3nNZAwisZVEopA4d</w:t>
      </w:r>
    </w:p>
    <w:p>
      <w:pPr>
        <w:spacing w:after="120" w:line="259" w:lineRule="auto"/>
        <w:ind w:firstLine="369"/>
        <w:jc w:val="both"/>
      </w:pPr>
      <w:r>
        <w:t>Доступ к онлайн-копии управляется владельцем. Копия с выводами включена в репозиторий и не требует Google-аккаунта. Материалы работы: github.com/riasnoi/creative-ai-labs/tree/main/lab_06.</w:t>
      </w:r>
    </w:p>
    <w:p>
      <w:pPr>
        <w:spacing w:after="120" w:line="259" w:lineRule="auto"/>
        <w:ind w:firstLine="369"/>
        <w:jc w:val="both"/>
      </w:pPr>
      <w:r>
        <w:t>Индивидуальная часть: постановка варианта 13, гипотеза и практические допуски; протокол сохранения всех измерений; сравнение изображений и классификация; анализ ошибки guidance; независимый пересчёт и оформление отчёта. Учебные библиотеки и демо предоставлены с заданием, их авторство не приписывается исполнителю. Подготовленный отчёт отражает фактически сохранённые результаты.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10 Ответы на контрольные вопросы</w:t>
      </w:r>
    </w:p>
    <w:p>
      <w:pPr>
        <w:pStyle w:val="21"/>
        <w:spacing w:after="120" w:line="259" w:lineRule="auto"/>
      </w:pPr>
      <w:r>
        <w:t>1 Один фактор и серия seed</w:t>
      </w:r>
    </w:p>
    <w:p>
      <w:pPr>
        <w:spacing w:after="120" w:line="259" w:lineRule="auto"/>
        <w:ind w:firstLine="369"/>
        <w:jc w:val="both"/>
      </w:pPr>
      <w:r>
        <w:t>Изменение одного фактора позволяет связать различия с числом шагов, сохранив размер, запрос, guidance и прочие условия. Серия seed показывает вариацию результата; одинаковые seed в A/B образуют парное сравнение. Один красивый постер не характеризует всю серию.</w:t>
      </w:r>
    </w:p>
    <w:p>
      <w:pPr>
        <w:pStyle w:val="21"/>
        <w:spacing w:after="120" w:line="259" w:lineRule="auto"/>
      </w:pPr>
      <w:r>
        <w:t>2 Критерий 2s и практическая польза</w:t>
      </w:r>
    </w:p>
    <w:p>
      <w:pPr>
        <w:spacing w:after="120" w:line="259" w:lineRule="auto"/>
        <w:ind w:firstLine="369"/>
        <w:jc w:val="both"/>
      </w:pPr>
      <w:r>
        <w:t>Условие |Δ| &gt; 2sA показывает, что сдвиг среднего превышает удвоенный разброс A между seed. Это учебное правило, не p-value и не доказательство пользы. В опыте критерии не расходились: CLIP нейтрален по обоим, остальные изменения заметны по обоим. Например, рост времени на 81,6% заметен, но нежелателен. При дополнительном допуске CLIP ±0,4 балла классификация стала бы ухудшением, тогда как |Δ|/sA = 0,879 остаётся меньше 2; исходный допуск после опыта не менялся.</w:t>
      </w:r>
    </w:p>
    <w:p>
      <w:pPr>
        <w:pStyle w:val="21"/>
        <w:spacing w:after="120" w:line="259" w:lineRule="auto"/>
      </w:pPr>
      <w:r>
        <w:t>3 Смысл CLIP и английский эталон</w:t>
      </w:r>
    </w:p>
    <w:p>
      <w:pPr>
        <w:spacing w:after="120" w:line="259" w:lineRule="auto"/>
        <w:ind w:firstLine="369"/>
        <w:jc w:val="both"/>
      </w:pPr>
      <w:r>
        <w:t>Использовано косинусное сходство нормированных эмбеддингов изображения и текста, умноженное на 100. Один исходный английский бриф сохраняет неизменной цель оценки даже при другом языке или длине запроса генерации. Значение не является CLIPScore, вероятностью правильности или оценкой эстетики.</w:t>
      </w:r>
    </w:p>
    <w:p>
      <w:pPr>
        <w:pStyle w:val="21"/>
        <w:spacing w:after="120" w:line="259" w:lineRule="auto"/>
      </w:pPr>
      <w:r>
        <w:t>4 Рост энергии границ</w:t>
      </w:r>
    </w:p>
    <w:p>
      <w:pPr>
        <w:spacing w:after="120" w:line="259" w:lineRule="auto"/>
        <w:ind w:firstLine="369"/>
        <w:jc w:val="both"/>
      </w:pPr>
      <w:r>
        <w:t>Собель реагирует на перепады яркости. Энергию увеличивают как более чёткие полезные контуры, так и шум, точки, утолщение линий и артефакты. В нашей серии B выглядит геометричнее, но более высокая метрика не доказывает улучшения композиции.</w:t>
      </w:r>
    </w:p>
    <w:p>
      <w:pPr>
        <w:pStyle w:val="21"/>
        <w:spacing w:after="120" w:line="259" w:lineRule="auto"/>
      </w:pPr>
      <w:r>
        <w:t>5 Почему guidance 1 не отличается от 0</w:t>
      </w:r>
    </w:p>
    <w:p>
      <w:pPr>
        <w:spacing w:after="120" w:line="259" w:lineRule="auto"/>
        <w:ind w:firstLine="369"/>
        <w:jc w:val="both"/>
      </w:pPr>
      <w:r>
        <w:t>В данном конвейере механизм CFG включается при значении больше 1. Проверка: одинаковый prompt и seed, свежие генераторы, затем SHA-256 и pipe.do_classifier_free_guidance. Получено совпадение 0/1 и False; при 3 — True и другой PNG. Для рекомендуемого режима SD Turbo сохраняют 0,0.</w:t>
      </w:r>
    </w:p>
    <w:p>
      <w:r>
        <w:br w:type="page"/>
      </w:r>
    </w:p>
    <w:p>
      <w:pPr>
        <w:pStyle w:val="1"/>
        <w:keepNext/>
        <w:spacing w:after="120" w:line="259" w:lineRule="auto" w:before="200"/>
      </w:pPr>
      <w:r>
        <w:t>10 Ответы на контрольные вопросы продолжение</w:t>
      </w:r>
    </w:p>
    <w:p>
      <w:pPr>
        <w:pStyle w:val="21"/>
        <w:spacing w:after="120" w:line="259" w:lineRule="auto"/>
      </w:pPr>
      <w:r>
        <w:t>6 Размер 768×768</w:t>
      </w:r>
    </w:p>
    <w:p>
      <w:pPr>
        <w:spacing w:after="120" w:line="259" w:lineRule="auto"/>
        <w:ind w:firstLine="369"/>
        <w:jc w:val="both"/>
      </w:pPr>
      <w:r>
        <w:t>Это выход за рекомендуемые для SD Turbo 512×512; возможны повторения деталей, нарушение композиции и артефакты, растут затраты. Вариант 13 меняет число шагов, а не размер: все наши изображения 512×512, поэтому собственных наблюдений о 768×768 нет. Такой вывод нельзя получить из выполненной серии.</w:t>
      </w:r>
    </w:p>
    <w:p>
      <w:pPr>
        <w:pStyle w:val="21"/>
        <w:spacing w:after="120" w:line="259" w:lineRule="auto"/>
      </w:pPr>
      <w:r>
        <w:t>7 Изменение времени</w:t>
      </w:r>
    </w:p>
    <w:p>
      <w:pPr>
        <w:spacing w:after="120" w:line="259" w:lineRule="auto"/>
        <w:ind w:firstLine="369"/>
        <w:jc w:val="both"/>
      </w:pPr>
      <w:r>
        <w:t>Для A = 0,30 с и B = 0,55 с: (0,55 − 0,30) / 0,30 × 100% = 83,33%. Это увеличение, а не снижение времени. Для нашего опыта аналогичный расчёт даёт 81,62%.</w:t>
      </w:r>
    </w:p>
    <w:p>
      <w:pPr>
        <w:pStyle w:val="21"/>
        <w:spacing w:after="120" w:line="259" w:lineRule="auto"/>
      </w:pPr>
      <w:r>
        <w:t>8 Русский запрос и эталон</w:t>
      </w:r>
    </w:p>
    <w:p>
      <w:pPr>
        <w:spacing w:after="120" w:line="259" w:lineRule="auto"/>
        <w:ind w:firstLine="369"/>
        <w:jc w:val="both"/>
      </w:pPr>
      <w:r>
        <w:t>Если заменить английский эталон русским одновременно с запросом генерации, изменятся и генерация, и измерение. Тогда ухудшение нельзя будет однозначно отнести к генератору. Постоянный английский бриф сохраняет единую цель и учитывает английскую направленность CLIP.</w:t>
      </w:r>
    </w:p>
    <w:p>
      <w:pPr>
        <w:pStyle w:val="21"/>
        <w:spacing w:after="120" w:line="259" w:lineRule="auto"/>
      </w:pPr>
      <w:r>
        <w:t>9 Выбор и удвоение допуска</w:t>
      </w:r>
    </w:p>
    <w:p>
      <w:pPr>
        <w:spacing w:after="120" w:line="259" w:lineRule="auto"/>
        <w:ind w:firstLine="369"/>
        <w:jc w:val="both"/>
      </w:pPr>
      <w:r>
        <w:t>±1 балл CLIP отсеивает малые сдвиги семантического сходства; ±10% для границ и контраста выделяет выраженное изменение признаков; ±20% времени ограничивает затраты черновой генерации. Это практические решения, а не статистические уровни. Удвоение до ±2 / ±20% / ±40% не изменяет ни одну из четырёх классификаций.</w:t>
      </w:r>
    </w:p>
    <w:p>
      <w:pPr>
        <w:pStyle w:val="21"/>
        <w:spacing w:after="120" w:line="259" w:lineRule="auto"/>
      </w:pPr>
      <w:r>
        <w:t>10 Условия повторения</w:t>
      </w:r>
    </w:p>
    <w:p>
      <w:pPr>
        <w:spacing w:after="120" w:line="259" w:lineRule="auto"/>
        <w:ind w:firstLine="369"/>
        <w:jc w:val="both"/>
      </w:pPr>
      <w:r>
        <w:t>Нужно сохранить обе модели и ревизии, код и хеши библиотек, полный английский запрос и текст для CLIP, seed 101–105, порядок A/B, 512×512, шаги 1/4, guidance 0,0, float16 SD Turbo, CPU-генераторы со свежим состоянием, batch 1, метрики, прогрев, версии среды и GPU. Допуски нужны для повторения решения. Точное совпадение времени не ожидается.</w:t>
      </w:r>
    </w:p>
    <w:p>
      <w:pPr>
        <w:pStyle w:val="1"/>
        <w:keepNext/>
        <w:spacing w:after="120" w:line="259" w:lineRule="auto" w:before="200"/>
      </w:pPr>
      <w:r>
        <w:t>Источники</w:t>
      </w:r>
    </w:p>
    <w:p>
      <w:pPr>
        <w:spacing w:after="120" w:line="259" w:lineRule="auto"/>
        <w:ind w:firstLine="369"/>
        <w:jc w:val="both"/>
      </w:pPr>
      <w:r>
        <w:t>1. Методические указания к ЛР06 и приложенные lab05_lib.py, lab06_lib.py, демонстрации. Номер варианта и обязательный протокол — разделы 5, 7–9.</w:t>
        <w:br/>
        <w:t>2. Карточки моделей Hugging Face на указанных в разделе 3 ревизиях: stabilityai/sd-turbo и openai/clip-vit-base-patch32. Локальные копии и лицензии — docs/.</w:t>
        <w:br/>
        <w:t>3. Sauer et al. Adversarial Diffusion Distillation, arXiv:2311.17042. Ho, Salimans. Classifier-Free Diffusion Guidance, arXiv:2207.12598. Radford et al. Learning Transferable Visual Models From Natural Language Supervision, arXiv:2103.00020. Указаны как теоретические источники методички.</w:t>
      </w:r>
    </w:p>
    <w:sectPr w:rsidR="009E7411" w:rsidRPr="00052455" w:rsidSect="00034616">
      <w:footerReference w:type="default" r:id="rId11"/>
      <w:pgSz w:w="11909" w:h="16834"/>
      <w:pgMar w:top="1080" w:right="1080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76A00" w:rsidRDefault="00E76A00">
      <w:pPr>
        <w:spacing w:after="0" w:line="240" w:lineRule="auto"/>
      </w:pPr>
      <w:r>
        <w:separator/>
      </w:r>
    </w:p>
  </w:endnote>
  <w:endnote w:type="continuationSeparator" w:id="0">
    <w:p w:rsidR="00E76A00" w:rsidRDefault="00E76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E7411" w:rsidRDefault="00000000">
    <w:pPr>
      <w:pStyle w:val="a7"/>
      <w:jc w:val="center"/>
    </w:pPr>
    <w:r>
      <w:rPr>
        <w:rFonts w:eastAsia="Times New Roman"/>
        <w:sz w:val="18"/>
      </w:rPr>
      <w:fldChar w:fldCharType="begin"/>
    </w:r>
    <w:r>
      <w:rPr>
        <w:rFonts w:eastAsia="Times New Roman"/>
        <w:sz w:val="18"/>
      </w:rPr>
      <w:instrText>PAGE</w:instrText>
    </w:r>
    <w:r w:rsidR="00052455">
      <w:rPr>
        <w:rFonts w:eastAsia="Times New Roman"/>
        <w:sz w:val="18"/>
      </w:rPr>
      <w:fldChar w:fldCharType="separate"/>
    </w:r>
    <w:r w:rsidR="00052455">
      <w:rPr>
        <w:rFonts w:eastAsia="Times New Roman"/>
        <w:noProof/>
        <w:sz w:val="18"/>
      </w:rPr>
      <w:t>2</w:t>
    </w:r>
    <w:r>
      <w:rPr>
        <w:rFonts w:eastAsia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76A00" w:rsidRDefault="00E76A00">
      <w:pPr>
        <w:spacing w:after="0" w:line="240" w:lineRule="auto"/>
      </w:pPr>
      <w:r>
        <w:separator/>
      </w:r>
    </w:p>
  </w:footnote>
  <w:footnote w:type="continuationSeparator" w:id="0">
    <w:p w:rsidR="00E76A00" w:rsidRDefault="00E76A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6534147">
    <w:abstractNumId w:val="8"/>
  </w:num>
  <w:num w:numId="2" w16cid:durableId="613639278">
    <w:abstractNumId w:val="6"/>
  </w:num>
  <w:num w:numId="3" w16cid:durableId="165827415">
    <w:abstractNumId w:val="5"/>
  </w:num>
  <w:num w:numId="4" w16cid:durableId="476189246">
    <w:abstractNumId w:val="4"/>
  </w:num>
  <w:num w:numId="5" w16cid:durableId="1427994545">
    <w:abstractNumId w:val="7"/>
  </w:num>
  <w:num w:numId="6" w16cid:durableId="1109474643">
    <w:abstractNumId w:val="3"/>
  </w:num>
  <w:num w:numId="7" w16cid:durableId="899093537">
    <w:abstractNumId w:val="2"/>
  </w:num>
  <w:num w:numId="8" w16cid:durableId="1413089801">
    <w:abstractNumId w:val="1"/>
  </w:num>
  <w:num w:numId="9" w16cid:durableId="800268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455"/>
    <w:rsid w:val="0006063C"/>
    <w:rsid w:val="0015074B"/>
    <w:rsid w:val="0029639D"/>
    <w:rsid w:val="00326F90"/>
    <w:rsid w:val="009E7411"/>
    <w:rsid w:val="00AA1D8D"/>
    <w:rsid w:val="00B47730"/>
    <w:rsid w:val="00CB0664"/>
    <w:rsid w:val="00E41D3C"/>
    <w:rsid w:val="00E76A00"/>
    <w:rsid w:val="00ED10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36CFC5F"/>
  <w14:defaultImageDpi w14:val="300"/>
  <w15:docId w15:val="{9B69DC54-31E2-C848-9D03-325C43EBE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 w:eastAsia="Times New Roman" w:cs="Times New Roman"/>
      <w:color w:val="000000"/>
      <w:sz w:val="22"/>
    </w:rPr>
  </w:style>
  <w:style w:type="paragraph" w:styleId="1">
    <w:name w:val="heading 1"/>
    <w:basedOn w:val="a1"/>
    <w:next w:val="a1"/>
    <w:link w:val="10"/>
    <w:uiPriority w:val="9"/>
    <w:qFormat/>
    <w:rsid w:val="00052455"/>
    <w:pPr>
      <w:keepNext/>
      <w:keepLines/>
      <w:spacing w:before="480" w:after="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052455"/>
    <w:rPr>
      <w:rFonts w:ascii="Times New Roman" w:eastAsiaTheme="majorEastAsia" w:hAnsi="Times New Roman" w:cstheme="majorBidi"/>
      <w:b/>
      <w:bCs/>
      <w:color w:val="000000"/>
      <w:sz w:val="30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1192</Words>
  <Characters>8038</Characters>
  <Application>Microsoft Office Word</Application>
  <DocSecurity>0</DocSecurity>
  <Lines>309</Lines>
  <Paragraphs>263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Лабораторная работа 1 Подготовка рабочей среды и паспорт эксперимента</vt:lpstr>
      <vt:lpstr/>
    </vt:vector>
  </TitlesOfParts>
  <Manager/>
  <Company/>
  <LinksUpToDate>false</LinksUpToDate>
  <CharactersWithSpaces>8967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6 Исследование параметров text to image генерации</dc:title>
  <dc:subject>Вариант 13</dc:subject>
  <dc:creator>Рясной Владимир Олегович</dc:creator>
  <cp:keywords/>
  <dc:description/>
  <cp:lastModifiedBy>Рясной Владимир Олегович</cp:lastModifiedBy>
  <cp:revision>2</cp:revision>
  <dcterms:created xsi:type="dcterms:W3CDTF">2026-10-18T20:27:44Z</dcterms:created>
  <dcterms:modified xsi:type="dcterms:W3CDTF">2026-10-18T20:27:44Z</dcterms:modified>
  <cp:category/>
</cp:coreProperties>
</file>