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pStyle w:val="aa"/>
        <w:spacing w:before="1920" w:after="120" w:line="240" w:lineRule="auto"/>
        <w:jc w:val="center"/>
        <w:rPr>
          <w:lang w:val="ru-RU"/>
        </w:rPr>
      </w:pPr>
      <w:r w:rsidRPr="00052455">
        <w:rPr>
          <w:rFonts w:eastAsia="Times New Roman" w:ascii="Times New Roman" w:hAnsi="Times New Roman"/>
          <w:b w:val="0"/>
          <w:color w:val="000000"/>
          <w:sz w:val="28"/>
          <w:lang w:val="ru-RU"/>
        </w:rPr>
        <w:t>ЛАБОРАТОРНАЯ РАБОТА №4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</w:pPr>
      <w:r>
        <w:t>Исследование операций обработки изображений в Engee</w:t>
      </w:r>
    </w:p>
    <w:p>
      <w:pPr>
        <w:ind w:firstLine="425"/>
        <w:jc w:val="both"/>
      </w:pPr>
      <w:r>
        <w:t>Лабораторная работа №4. Вариант 13. Усредняющий фильтр 5×5 при сильном гауссовом шуме.</w:t>
      </w:r>
    </w:p>
    <w:p>
      <w:pPr>
        <w:ind w:firstLine="425"/>
        <w:jc w:val="both"/>
      </w:pPr>
      <w:r>
        <w:t>Усреднение повысило средний PSNR относительно чистой сцены с 20,1212 до 27,9529 дБ. Прирост +7,8317 дБ превышает заранее принятый практический порог +1 дБ, поэтому для исследованной сцены операция полезна. При этом сглаживание ослабило шумовые градиенты и размыло контур диска; вывод не переносится автоматически на другие изображения.</w:t>
      </w:r>
    </w:p>
    <w:p>
      <w:pPr>
        <w:pStyle w:val="1"/>
      </w:pPr>
      <w:r>
        <w:t>1 Цель и постановка эксперимента</w:t>
      </w:r>
    </w:p>
    <w:p>
      <w:pPr>
        <w:ind w:firstLine="425"/>
        <w:jc w:val="both"/>
      </w:pPr>
      <w:r>
        <w:t>Цель — оценить влияние усредняющего фильтра 5×5 на качество изображения по PSNR, энергии границ и контрасту. По формуле N = (c − 1)·6 + k варианту 13 соответствуют сцена c = 3 и операция k = 1. Сравниваются зашумлённая сцена и её сглаженная версия; обе оцениваются относительно независимого эталона без шума.</w:t>
      </w:r>
    </w:p>
    <w:p>
      <w:pPr>
        <w:ind w:firstLine="425"/>
        <w:jc w:val="both"/>
      </w:pPr>
      <w:r>
        <w:t>Гипотеза: при σₙ = 0,10 подавление шума перевесит потерю деталей, PSNR увеличится минимум на 1 дБ, энергия границ и контраст уменьшатся. Гипотеза, серия seed и допуск записаны до опыта: 2026-10-18 17:27:01 МСК. Перед вычислениями условия дополнительно сохранены в expectations.toml в самой среде.</w:t>
      </w:r>
    </w:p>
    <w:p>
      <w:pPr>
        <w:ind w:firstLine="425"/>
        <w:jc w:val="both"/>
      </w:pPr>
      <w:r>
        <w:t>Практический допуск — ±1 дБ: операция полезна при ΔPSNR ≥ +1 дБ, вредна при ΔPSNR ≤ −1 дБ, иначе нейтральна. Прирост 1 дБ означает снижение MSE примерно на 20,6%, что принято как заметное для учебного эксперимента улучшение. Допуск условный и не является универсальной границей качества.</w:t>
      </w:r>
    </w:p>
    <w:p>
      <w:pPr>
        <w:pStyle w:val="1"/>
      </w:pPr>
      <w:r>
        <w:t>2 Данные и методика</w:t>
      </w:r>
    </w:p>
    <w:p>
      <w:pPr>
        <w:ind w:firstLine="425"/>
        <w:jc w:val="both"/>
      </w:pPr>
      <w:r>
        <w:t>Данные синтетические, внешние фотографии не используются. make_gray4 создаёт матрицу Float64 размером 128×128: диагональный фон 0,10–0,40 и диск яркости 0,75 с центром (64, 64) и радиусом 32 пикселя. К каждому пикселю добавляется гауссов шум σₙ = 0,10, затем яркость ограничивается диапазоном [0, 1]. Шахматная добавка отключена. Локальный генератор MersenneTwister использует seed 101–105; геометрия сцены во всех опытах одинакова.</w:t>
      </w:r>
    </w:p>
    <w:p>
      <w:pPr>
        <w:ind w:firstLine="425"/>
        <w:jc w:val="both"/>
      </w:pPr>
      <w:r>
        <w:t>Фильтр вычисляет среднее по окну 5×5 с весами 1/25. У края массива повторяются крайние значения (replicate). Такое продолжение проверено явным усреднением: максимальное отличие от mapwindow составило 3,33×10⁻¹⁶. Эталон clean4(3) имеет ту же геометрию и шум 0.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x = make_gray4(seed; scene4(3)...)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clean = clean4(3)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y = box4(x, 5)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psnr_db(y, clean)</w:t>
      </w:r>
    </w:p>
    <w:p>
      <w:pPr>
        <w:ind w:firstLine="425"/>
        <w:jc w:val="both"/>
      </w:pPr>
      <w:r>
        <w:t>Для maxval = 1: MSE = mean((y − clean)²), PSNR = −10 log₁₀(MSE). Энергия границ — средний модуль градиента Собеля; контраст — выборочное стандартное отклонение яркости всех пикселей. Метрики рассчитываются по Float64 до кодирования PNG. Для каждой метрики Δ — разность средних «после − до», s — выборочное стандартное отклонение пяти базовых значений с делителем n − 1. Правило |Δ| &gt; 2s — учебная оценка величины изменения, а не формальный статистический тест. IoU для операции усреднения не применяется.</w:t>
      </w:r>
    </w:p>
    <w:p>
      <w:pPr>
        <w:pStyle w:val="1"/>
      </w:pPr>
      <w:r>
        <w:t>3 Среда и выполнение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690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Дата и время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18.10.2026, 17:45 МСК (UTC+3)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Engee 26.9.2-H4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Личный кабинет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26.10.1, зафиксирован отдельно после расчёта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Язык и пакет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Julia 1.12.4; Images 0.26.2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Платформа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Linux, x86_64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Учебные библиотеки</w:t>
            </w:r>
          </w:p>
        </w:tc>
        <w:tc>
          <w:tcPr>
            <w:tcW w:type="dxa" w:w="669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lab03_lib.jl и lab04_lib.jl, исходные байты сохранены</w:t>
            </w:r>
          </w:p>
        </w:tc>
      </w:tr>
    </w:tbl>
    <w:p>
      <w:pPr>
        <w:spacing w:after="20"/>
        <w:ind w:firstLine="425"/>
        <w:jc w:val="both"/>
      </w:pPr>
    </w:p>
    <w:p>
      <w:pPr>
        <w:ind w:firstLine="425"/>
        <w:jc w:val="both"/>
      </w:pPr>
      <w:r>
        <w:t>В папке курса создана отдельная LR04, учебные файлы загружены через панель «Файлы». В ноутбуке выполнены include библиотеки, проверка размера (128, 128), VERSION и versioninfo(). Затем загружено решение и выполнена основная серия. Начало вычислений — 17:45:11,672, окончание — 17:45:12,451 МСК; время компиляции и подготовки ячеек в этот интервал не входит.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include("src/original/lab04_lib.jl")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make_gray4(101) |&gt; size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include("src/LR04_13.jl")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result_lr04 = run_lr04("artifacts"; engee_version="26.9.2-H4")</w:t>
      </w:r>
    </w:p>
    <w:p>
      <w:pPr>
        <w:spacing w:after="20"/>
        <w:ind w:firstLine="0"/>
        <w:jc w:val="left"/>
      </w:pPr>
      <w:r>
        <w:rPr>
          <w:rFonts w:ascii="Courier New" w:hAnsi="Courier New"/>
          <w:sz w:val="18"/>
        </w:rPr>
        <w:t>variant_summary4(13)</w:t>
      </w:r>
    </w:p>
    <w:p>
      <w:pPr>
        <w:ind w:firstLine="425"/>
        <w:jc w:val="both"/>
      </w:pPr>
      <w:r>
        <w:t>Выполненный ноутбук сохранён с выводами. Получены три PNG, точный эталон и пять пар массивов Float64, таблица метрик, параметры и журналы. Версия кабинета прочитана в боковом меню отдельно; первичный файл результатов после этого не изменялся. Полный вывод среды находится в artifacts/engee/versioninfo.log.</w:t>
      </w:r>
    </w:p>
    <w:p>
      <w:pPr>
        <w:pStyle w:val="1"/>
      </w:pPr>
      <w:r>
        <w:t>4 Результаты основной серии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49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PSNR до, дБ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PSNR после, дБ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ΔPSNR, дБ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20,0703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28,0042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+7,9339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20,0773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27,8700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+7,7927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20,1132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27,9937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+7,8805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20,2245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27,9558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+7,7312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20,1204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27,9405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+7,8201</w:t>
            </w:r>
          </w:p>
        </w:tc>
      </w:tr>
    </w:tbl>
    <w:p>
      <w:pPr>
        <w:spacing w:after="20"/>
        <w:ind w:firstLine="425"/>
        <w:jc w:val="both"/>
      </w:pPr>
    </w:p>
    <w:p>
      <w:pPr>
        <w:ind w:firstLine="425"/>
        <w:jc w:val="both"/>
      </w:pPr>
      <w:r>
        <w:t>Во всех пяти опытах PSNR увеличился: прирост от +7,7312 до +7,9339 дБ. Следующая таблица содержит средние значения по серии; s относится к базовой метрике.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1191"/>
        <w:gridCol w:w="1304"/>
        <w:gridCol w:w="1304"/>
        <w:gridCol w:w="907"/>
        <w:gridCol w:w="68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До</w:t>
            </w:r>
          </w:p>
        </w:tc>
        <w:tc>
          <w:tcPr>
            <w:tcW w:type="dxa" w:w="11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s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После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Δ</w:t>
            </w:r>
          </w:p>
        </w:tc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|Δ|/s</w:t>
            </w:r>
          </w:p>
        </w:tc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&gt; 2s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PSNR, дБ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20,1212</w:t>
            </w:r>
          </w:p>
        </w:tc>
        <w:tc>
          <w:tcPr>
            <w:tcW w:type="dxa" w:w="11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0,061756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27,9529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+7,8317</w:t>
            </w:r>
          </w:p>
        </w:tc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126,82</w:t>
            </w:r>
          </w:p>
        </w:tc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Энергия границ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0,058675</w:t>
            </w:r>
          </w:p>
        </w:tc>
        <w:tc>
          <w:tcPr>
            <w:tcW w:type="dxa" w:w="11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0,000541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0,015911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-0,042764</w:t>
            </w:r>
          </w:p>
        </w:tc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79,08</w:t>
            </w:r>
          </w:p>
        </w:tc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Контраст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0,228521</w:t>
            </w:r>
          </w:p>
        </w:tc>
        <w:tc>
          <w:tcPr>
            <w:tcW w:type="dxa" w:w="11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0,000874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0,200971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-0,027550</w:t>
            </w:r>
          </w:p>
        </w:tc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31,53</w:t>
            </w:r>
          </w:p>
        </w:tc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да</w:t>
            </w:r>
          </w:p>
        </w:tc>
      </w:tr>
    </w:tbl>
    <w:p>
      <w:pPr>
        <w:spacing w:after="20"/>
        <w:ind w:firstLine="425"/>
        <w:jc w:val="both"/>
      </w:pPr>
    </w:p>
    <w:p>
      <w:pPr>
        <w:ind w:firstLine="425"/>
        <w:jc w:val="both"/>
      </w:pPr>
      <w:r>
        <w:t>Теория без ограничения яркости даёт −20 log₁₀(0,10) = 20,0000 дБ. Измеренное среднее — 20,1212 дБ, отличие +0,1212 дБ. Небольшое расхождение связано с конечной реализацией шума и обрезкой значений на 0 и 1: например, при seed 101 границ диапазона достигли 243 и 30 пикселей соответственно. Поэтому предположение MSE ≈ σₙ² здесь приближённое.</w:t>
      </w:r>
    </w:p>
    <w:p>
      <w:pPr>
        <w:pStyle w:val="1"/>
      </w:pPr>
      <w:r>
        <w:t>5 Изображения и интерпретация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/>
                <w:sz w:val="20"/>
              </w:rPr>
              <w:t>До</w:t>
            </w:r>
          </w:p>
        </w:tc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Усреднение 5×5</w:t>
            </w:r>
          </w:p>
        </w:tc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Чистый эталон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  <w:ind w:firstLine="425"/>
        <w:jc w:val="both"/>
      </w:pPr>
    </w:p>
    <w:p>
      <w:pPr>
        <w:ind w:firstLine="0"/>
        <w:jc w:val="center"/>
      </w:pPr>
      <w:r>
        <w:rPr>
          <w:i/>
          <w:sz w:val="18"/>
        </w:rPr>
        <w:t>Рисунок 1 — Изображения seed 101, общий диапазон яркости [0, 1]</w:t>
      </w:r>
    </w:p>
    <w:p>
      <w:pPr>
        <w:ind w:firstLine="425"/>
        <w:jc w:val="both"/>
      </w:pPr>
      <w:r>
        <w:t>После усреднения зернистость уменьшилась, фон и внутренняя область диска стали ровнее. На контуре появился более широкий переход яркости. Это ожидаемый компромисс: фильтр ослабляет и шум, и высокочастотные компоненты полезного сигнала.</w:t>
      </w:r>
    </w:p>
    <w:p>
      <w:pPr>
        <w:ind w:firstLine="425"/>
        <w:jc w:val="both"/>
      </w:pPr>
      <w:r>
        <w:t>Средняя энергия границ уменьшилась на 72,9%, контраст — на 12,1%. Снижение энергии означает подавление множества шумовых градиентов, но само по себе не доказывает сохранение контура. У чистого эталона энергия равна 0,007562, тогда как после фильтра — 0,015911: остаточный шум ещё присутствует. Контраст после фильтра (0,200971) ниже эталонного (0,206786), что согласуется с размазыванием границы.</w:t>
      </w:r>
    </w:p>
    <w:p>
      <w:pPr>
        <w:ind w:firstLine="425"/>
        <w:jc w:val="both"/>
      </w:pPr>
      <w:r>
        <w:t>Критерий |Δ| &gt; 2s выполнен для всех трёх метрик; отношение для PSNR равно 126,82. При малом межсерийном разбросе этот факт показывает большую величину изменения, но не его пользу. Вывод о пользе основан на ΔPSNR = +7,8317 дБ и заранее заданном пороге +1 дБ. Отношение геометрических средних MSE до и после равно примерно 6,07; точный смысл сравнения задан усреднением PSNR в дБ.</w:t>
      </w:r>
    </w:p>
    <w:p>
      <w:pPr>
        <w:pStyle w:val="1"/>
      </w:pPr>
      <w:r>
        <w:t>6 Дополнительные проверки и ограничения</w:t>
      </w:r>
    </w:p>
    <w:p>
      <w:pPr>
        <w:ind w:firstLine="425"/>
        <w:jc w:val="both"/>
      </w:pPr>
      <w:r>
        <w:t>Повторный запуск в Engee 18.10.2026 в 17:52:14 МСК выполнен в отдельной временной папке. Строки сводки всех трёх метрик, параметры эталона и SHA-256 всех десяти выходных массивов совпали точно. Контрольные суммы исходников в среде также совпали с локальными. Первоначальные файлы и время основного опыта сохранены.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077"/>
        <w:gridCol w:w="1304"/>
        <w:gridCol w:w="1417"/>
        <w:gridCol w:w="1304"/>
        <w:gridCol w:w="1531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/>
                <w:sz w:val="20"/>
              </w:rPr>
              <w:t>Сцена</w:t>
            </w:r>
          </w:p>
        </w:tc>
        <w:tc>
          <w:tcPr>
            <w:tcW w:type="dxa" w:w="107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Шум σₙ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PSNR до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PSNR после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ΔPSNR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/>
                <w:sz w:val="20"/>
              </w:rPr>
              <w:t>Вывод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Демо, вариант 1</w:t>
            </w:r>
          </w:p>
        </w:tc>
        <w:tc>
          <w:tcPr>
            <w:tcW w:type="dxa" w:w="107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0,02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33,9821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29,1958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−4,7863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вредна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Соседняя, вариант 7</w:t>
            </w:r>
          </w:p>
        </w:tc>
        <w:tc>
          <w:tcPr>
            <w:tcW w:type="dxa" w:w="107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0,05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26,0253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28,8909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+2,8656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полезна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b w:val="0"/>
                <w:sz w:val="20"/>
              </w:rPr>
              <w:t>Основная, вариант 13</w:t>
            </w:r>
          </w:p>
        </w:tc>
        <w:tc>
          <w:tcPr>
            <w:tcW w:type="dxa" w:w="107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0,10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20,1212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27,9529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+7,8317</w:t>
            </w:r>
          </w:p>
        </w:tc>
        <w:tc>
          <w:tcPr>
            <w:tcW w:type="dxa" w:w="15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b w:val="0"/>
                <w:sz w:val="20"/>
              </w:rPr>
              <w:t>полезна</w:t>
            </w:r>
          </w:p>
        </w:tc>
      </w:tr>
    </w:tbl>
    <w:p>
      <w:pPr>
        <w:spacing w:after="20"/>
        <w:ind w:firstLine="425"/>
        <w:jc w:val="both"/>
      </w:pPr>
    </w:p>
    <w:p>
      <w:pPr>
        <w:ind w:firstLine="425"/>
        <w:jc w:val="both"/>
      </w:pPr>
      <w:r>
        <w:t>Демонстрационный вариант воспроизведён той же библиотекой. Максимальное абсолютное расхождение с полными значениями из приложенного демонстрационного журнала для базы, s, результата и Δ трёх метрик равно 0. На соседней сцене с шумом 0,05 усреднение также полезно, но выигрыш меньше. Из трёх исследованных уровней положительный эффект впервые наблюдается при 0,05; точный порог по непрерывной шкале шума не определялся.</w:t>
      </w:r>
    </w:p>
    <w:p>
      <w:pPr>
        <w:ind w:firstLine="425"/>
        <w:jc w:val="both"/>
      </w:pPr>
      <w:r>
        <w:t>Основной вывод устойчив к практическим допускам 0,5, 1 и 2 дБ: во всех случаях операция полезна. Это анализ чувствительности уже полученного результата, который не меняет исходный порог ±1 дБ.</w:t>
      </w:r>
    </w:p>
    <w:p>
      <w:pPr>
        <w:ind w:firstLine="425"/>
        <w:jc w:val="both"/>
      </w:pPr>
      <w:r>
        <w:t>Независимая проверка NumPy по выгруженным массивам подтвердила геометрию эталона, SHA-256, диапазоны, фильтр с продолжением краёв, PSNR, контраст, соответствующие строки сводки, классификацию и все три PNG. Максимальное отличие фильтра — 4,44×10⁻¹⁶. Независимый повтор генератора MersenneTwister Julia и расчёт энергии Собеля этим проверяющим скриптом не выполнялись; энергия сохранена как результат учебной библиотеки в Engee.</w:t>
      </w:r>
    </w:p>
    <w:p>
      <w:pPr>
        <w:ind w:firstLine="425"/>
        <w:jc w:val="both"/>
      </w:pPr>
      <w:r>
        <w:t>Ограничения: одна синтетическая геометрия и пять реализаций шума не представляют реальные фотографии. PSNR измеряет численную ошибку, а не воспринимаемое качество. Выборочный разброс по пяти seed оценивается неточно; учебное правило 2s не учитывает парный характер измерений. При переносе на другие изображения следует отдельно проверять сохранение мелких деталей, масштаб фильтра и подходящий практический допуск.</w:t>
      </w:r>
    </w:p>
    <w:p>
      <w:pPr>
        <w:pStyle w:val="1"/>
      </w:pPr>
      <w:r>
        <w:t>7 Ответы на контрольные вопросы</w:t>
      </w:r>
    </w:p>
    <w:p>
      <w:pPr>
        <w:keepLines/>
        <w:ind w:firstLine="425"/>
        <w:jc w:val="both"/>
      </w:pPr>
      <w:r>
        <w:t>1. При σₙ = 0,05 оценка PSNR = −20 log₁₀(0,05) = 26,0206 дБ. При σₙ = 0,10 получаем 20 дБ: удвоение стандартного отклонения увеличивает дисперсию в четыре раза и уменьшает PSNR примерно на 6,02 дБ. Это приближение до ограничения яркости диапазоном [0, 1].</w:t>
      </w:r>
    </w:p>
    <w:p>
      <w:pPr>
        <w:keepLines/>
        <w:ind w:firstLine="425"/>
        <w:jc w:val="both"/>
      </w:pPr>
      <w:r>
        <w:t>2. У гауссова ядра вес плавно уменьшается с расстоянием от центра, у усредняющего все пиксели окна имеют одинаковый вес. Поэтому сравниваемые в работе настройки дают различный компромисс между подавлением шума и размытием. Рост σ увеличивает пространственный масштаб сглаживания и расширяет переход на границе. Сам по себе вид ядра без указания масштаба ещё не гарантирует меньшего размытия.</w:t>
      </w:r>
    </w:p>
    <w:p>
      <w:pPr>
        <w:keepLines/>
        <w:ind w:firstLine="425"/>
        <w:jc w:val="both"/>
      </w:pPr>
      <w:r>
        <w:t>3. Ошибка после сглаживания складывается из остаточного шума и искажения полезного сигнала. При слабом шуме выигрыш мал, а размытие границы круга остаётся; при сильном шуме подавление случайных колебаний может перевесить потерю деталей. Поэтому знак ΔPSNR зависит от сцены, шума и размера фильтра.</w:t>
      </w:r>
    </w:p>
    <w:p>
      <w:pPr>
        <w:keepLines/>
        <w:ind w:firstLine="425"/>
        <w:jc w:val="both"/>
      </w:pPr>
      <w:r>
        <w:t>4. К чистой сцене применяют тот же оператор Собеля. Общий делитель — максимум модуля градиента чистой сцены; им нормируют карты чистого и зашумлённого изображений, затем ограничивают значения единицей. Нельзя отдельно растягивать каждую карту на свой максимум: тогда шум меняет масштаб сравнения. Эталон — нормированная карта границ чистой сцены.</w:t>
      </w:r>
    </w:p>
    <w:p>
      <w:pPr>
        <w:keepLines/>
        <w:ind w:firstLine="425"/>
        <w:jc w:val="both"/>
      </w:pPr>
      <w:r>
        <w:t>5. Предварительное сглаживание уменьшает шум, который иначе порождает ложные градиенты. Обычно снижается средний модуль градиента, то есть энергия границ; вместе с ложными откликами могут ослабнуть настоящие тонкие границы. Снижение энергии само по себе не доказывает улучшение — необходима оценка относительно эталона.</w:t>
      </w:r>
    </w:p>
    <w:p>
      <w:pPr>
        <w:keepLines/>
        <w:ind w:firstLine="425"/>
        <w:jc w:val="both"/>
      </w:pPr>
      <w:r>
        <w:t>6. Открытие — эрозия, затем дилатация; закрытие — дилатация, затем эрозия. Открытие удаляет мелкие светлые объекты и тонкие выступы, может разрывать узкие перемычки. Закрытие заполняет небольшие тёмные отверстия и соединяет близкие области. Эффект зависит от структурного элемента.</w:t>
      </w:r>
    </w:p>
    <w:p>
      <w:pPr>
        <w:keepLines/>
        <w:ind w:firstLine="425"/>
        <w:jc w:val="both"/>
      </w:pPr>
      <w:r>
        <w:t>7. Объединение содержит 3000 + 3200 − 2900 = 3300 пикселей. IoU = 2900 / 3300 = 0,8788, или около 87,9%.</w:t>
      </w:r>
    </w:p>
    <w:p>
      <w:pPr>
        <w:keepLines/>
        <w:ind w:firstLine="425"/>
        <w:jc w:val="both"/>
      </w:pPr>
      <w:r>
        <w:t>8. При фиксированной геометрии между seed меняется только реализация шума, поэтому выборочный разброс метрик мал. Эффект операции может превышать 2s и при улучшении, и при ухудшении качества. Это учебный критерий заметности эффекта, а не формальный статистический тест или критерий пользы. Пользу в этой работе определяет знак и величина ΔPSNR с заранее выбранным допуском.</w:t>
      </w:r>
    </w:p>
    <w:p>
      <w:pPr>
        <w:keepLines/>
        <w:ind w:firstLine="425"/>
        <w:jc w:val="both"/>
      </w:pPr>
      <w:r>
        <w:t>9. Стоит увеличить число seed и разнообразие сцен, анализировать парные разности PSNR и интервалы неопределённости, заранее обосновать допуск и проверить чувствительность к нему. Помимо PSNR нужны метрики сохранения деталей и визуальная проверка; для сегментации — IoU. Проверки на дополнительных данных не следует смешивать с основной серией.</w:t>
      </w:r>
    </w:p>
    <w:p>
      <w:pPr>
        <w:keepLines/>
        <w:ind w:firstLine="425"/>
        <w:jc w:val="both"/>
      </w:pPr>
      <w:r>
        <w:t>10. Паспорт должен содержать вариант, сцену, размер 128×128, формулу и параметры фона и диска, шум и ограничение [0, 1], генератор MersenneTwister, seed 101–105, фильтр 5×5 с весами 1/25, продолжение краёв replicate, эталон без шума, определения метрик, выборочное s с делителем n−1, допуск ±1 дБ, фактические версии Engee, Julia и Images, дату, хеши исходников и результатов. Следует указать, что метрики вычислялись по Float64 до кодирования PNG.</w:t>
      </w:r>
    </w:p>
    <w:p>
      <w:pPr>
        <w:pStyle w:val="1"/>
      </w:pPr>
      <w:r>
        <w:t>8 Вывод и паспорт</w:t>
      </w:r>
    </w:p>
    <w:p>
      <w:pPr>
        <w:ind w:firstLine="425"/>
        <w:jc w:val="both"/>
      </w:pPr>
      <w:r>
        <w:t>Гипотеза подтверждена в условиях варианта 13: усредняющий фильтр 5×5 при σₙ = 0,10 увеличил средний PSNR на 7,8317 дБ, одновременно уменьшив энергию границ и контраст. Операция полезна по заранее принятому практическому критерию. Сравнение со слабым шумом показывает предел применимости вывода: тот же фильтр в демонстрационной сцене ухудшает PSNR, поскольку размытие деталей перевешивает подавление шума.</w:t>
      </w:r>
    </w:p>
    <w:p>
      <w:pPr>
        <w:ind w:firstLine="425"/>
        <w:jc w:val="both"/>
      </w:pPr>
      <w:r>
        <w:t>Паспорт эксперимента: вариант 13; размер 128×128; seed 101–105; MersenneTwister; шум 0,10; фон 0,10–0,40; диск 0,75; окно 5×5, веса 1/25; края replicate; эталон clean4(3); метрики до кодирования PNG; допуск ±1 дБ; среда Engee 26.9.2-H4, Julia 1.12.4, Images 0.26.2; дата 18.10.2026. Полные значения и контрольные суммы находятся в машиночитаемом паспорте.</w:t>
      </w:r>
    </w:p>
    <w:p>
      <w:pPr>
        <w:ind w:firstLine="425"/>
        <w:jc w:val="both"/>
      </w:pPr>
      <w:r>
        <w:t>Приложения в комплекте: src/LR04_13.ngscript — выполненный ноутбук; src/LR04_13.jl и src/original/ — код; artifacts/engee/ — первичные результаты; artifacts/passport.json и passport.md — паспорт; experiment_journal.md — журнал; MANIFEST.sha256 — контрольные суммы. Архив: artifacts/LR04_13_artifacts.zip.</w:t>
      </w:r>
    </w:p>
    <w:p>
      <w:pPr>
        <w:ind w:firstLine="0"/>
        <w:jc w:val="left"/>
      </w:pPr>
      <w:r>
        <w:t xml:space="preserve">Приложения доступны в репозитории: </w:t>
      </w:r>
      <w:hyperlink r:id="rId17">
        <w:r>
          <w:rPr>
            <w:color w:val="000000"/>
          </w:rPr>
          <w:t>папка lab_04</w:t>
        </w:r>
      </w:hyperlink>
      <w:hyperlink r:id="rId18">
        <w:r>
          <w:rPr>
            <w:color w:val="000000"/>
          </w:rPr>
          <w:t>; архив артефактов</w:t>
        </w:r>
      </w:hyperlink>
    </w:p>
    <w:p>
      <w:pPr>
        <w:pStyle w:val="1"/>
      </w:pPr>
      <w:r>
        <w:t>Источники</w:t>
      </w:r>
    </w:p>
    <w:p>
      <w:pPr>
        <w:ind w:firstLine="425"/>
        <w:jc w:val="both"/>
      </w:pPr>
      <w:r>
        <w:t>1. Лабораторная работа №4. Исследование операций обработки изображений в Engee. Приложенные методические указания, библиотеки и демонстрационный журнал; таблица варианта 13.</w:t>
      </w:r>
    </w:p>
    <w:p>
      <w:pPr>
        <w:ind w:firstLine="425"/>
        <w:jc w:val="both"/>
      </w:pPr>
      <w:r>
        <w:t>2. Учебная библиотека lab03_lib.jl из комплекта ЛР03: определения MSE, PSNR и контрольной суммы массива. Исходные файлы сохранены без изменений.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69" w:lineRule="auto" w:after="100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260" w:after="100"/>
      <w:outlineLvl w:val="0"/>
    </w:pPr>
    <w:rPr>
      <w:rFonts w:eastAsiaTheme="majorEastAsia" w:cstheme="majorBidi" w:ascii="Times New Roman" w:hAnsi="Times New Roman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riasnoi/creative-ai-labs/tree/main/lab_04" TargetMode="External"/><Relationship Id="rId18" Type="http://schemas.openxmlformats.org/officeDocument/2006/relationships/hyperlink" Target="https://github.com/riasnoi/creative-ai-labs/raw/refs/heads/main/lab_04/artifacts/LR04_13_artifact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Исследование операций обработки изображений в Engee</dc:title>
  <dc:subject>Вариант 13</dc:subject>
  <dc:creator>Рясной Владимир Олегович</dc:creator>
  <cp:keywords/>
  <dc:description/>
  <cp:lastModifiedBy>Рясной Владимир Олегович</cp:lastModifiedBy>
  <cp:revision>2</cp:revision>
  <dcterms:created xsi:type="dcterms:W3CDTF">2026-10-18T14:45:12Z</dcterms:created>
  <dcterms:modified xsi:type="dcterms:W3CDTF">2026-10-18T14:55:26Z</dcterms:modified>
  <cp:category/>
</cp:coreProperties>
</file>