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E7411" w:rsidRDefault="00000000">
      <w:pPr>
        <w:spacing w:after="80"/>
        <w:jc w:val="center"/>
      </w:pPr>
      <w:r>
        <w:rPr>
          <w:noProof/>
        </w:rPr>
        <w:drawing>
          <wp:inline distT="0" distB="0" distL="0" distR="0">
            <wp:extent cx="621792" cy="676123"/>
            <wp:effectExtent l="0" t="0" r="0" b="0"/>
            <wp:docPr id="1" name="Picture 1" descr="Эмблема Донского государственного технического университета" title="Эмблема ДГТ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" cy="67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411" w:rsidRPr="00052455" w:rsidRDefault="00000000">
      <w:pPr>
        <w:spacing w:after="240" w:line="240" w:lineRule="auto"/>
        <w:ind w:left="-144"/>
        <w:jc w:val="center"/>
        <w:rPr>
          <w:lang w:val="ru-RU"/>
        </w:rPr>
      </w:pPr>
      <w:r w:rsidRPr="00052455">
        <w:rPr>
          <w:rFonts w:eastAsia="Times New Roman"/>
          <w:sz w:val="24"/>
          <w:lang w:val="ru-RU"/>
        </w:rPr>
        <w:t>МИНИСТЕРСТВО НАУКИ И ВЫСШЕГО ОБРАЗОВАНИЯ РОССИЙСКОЙ ФЕДЕРАЦИИ</w:t>
      </w:r>
    </w:p>
    <w:p w:rsidR="009E7411" w:rsidRPr="00052455" w:rsidRDefault="00000000">
      <w:pPr>
        <w:spacing w:after="0" w:line="240" w:lineRule="auto"/>
        <w:jc w:val="center"/>
        <w:rPr>
          <w:lang w:val="ru-RU"/>
        </w:rPr>
      </w:pPr>
      <w:r w:rsidRPr="00052455">
        <w:rPr>
          <w:rFonts w:eastAsia="Times New Roman"/>
          <w:sz w:val="28"/>
          <w:lang w:val="ru-RU"/>
        </w:rPr>
        <w:t>ФЕДЕРАЛЬНОЕ ГОСУДАРСТВЕННОЕ БЮДЖЕТНОЕ</w:t>
      </w:r>
      <w:r w:rsidRPr="00052455">
        <w:rPr>
          <w:rFonts w:eastAsia="Times New Roman"/>
          <w:sz w:val="28"/>
          <w:lang w:val="ru-RU"/>
        </w:rPr>
        <w:br/>
        <w:t>ОБРАЗОВАТЕЛЬНОЕ УЧРЕЖДЕНИЕ</w:t>
      </w:r>
      <w:r w:rsidRPr="00052455">
        <w:rPr>
          <w:rFonts w:eastAsia="Times New Roman"/>
          <w:sz w:val="28"/>
          <w:lang w:val="ru-RU"/>
        </w:rPr>
        <w:br/>
        <w:t>ВЫСШЕГО ОБРАЗОВАНИЯ</w:t>
      </w:r>
      <w:r w:rsidRPr="00052455">
        <w:rPr>
          <w:rFonts w:eastAsia="Times New Roman"/>
          <w:sz w:val="28"/>
          <w:lang w:val="ru-RU"/>
        </w:rPr>
        <w:br/>
        <w:t>«ДОНСКОЙ ГОСУДАРСТВЕННЫЙ ТЕХНИЧЕСКИЙ УНИВЕРСИТЕТ»</w:t>
      </w:r>
      <w:r w:rsidRPr="00052455">
        <w:rPr>
          <w:rFonts w:eastAsia="Times New Roman"/>
          <w:sz w:val="28"/>
          <w:lang w:val="ru-RU"/>
        </w:rPr>
        <w:br/>
        <w:t>(ДГТУ)</w:t>
      </w:r>
    </w:p>
    <w:p w:rsidR="009E7411" w:rsidRPr="00052455" w:rsidRDefault="00000000">
      <w:pPr>
        <w:spacing w:before="1920" w:after="120" w:line="240" w:lineRule="auto"/>
        <w:jc w:val="center"/>
        <w:rPr>
          <w:lang w:val="ru-RU"/>
        </w:rPr>
      </w:pPr>
      <w:r w:rsidRPr="00052455">
        <w:rPr>
          <w:rFonts w:eastAsia="Times New Roman"/>
          <w:sz w:val="28"/>
          <w:lang w:val="ru-RU"/>
        </w:rPr>
        <w:t>ЛАБОРАТОРНАЯ РАБОТА №8</w:t>
      </w:r>
    </w:p>
    <w:p w:rsidR="009E7411" w:rsidRPr="00052455" w:rsidRDefault="00000000">
      <w:pPr>
        <w:spacing w:after="60" w:line="240" w:lineRule="auto"/>
        <w:jc w:val="center"/>
        <w:rPr>
          <w:lang w:val="ru-RU"/>
        </w:rPr>
      </w:pPr>
      <w:r w:rsidRPr="00052455">
        <w:rPr>
          <w:rFonts w:eastAsia="Times New Roman"/>
          <w:sz w:val="28"/>
          <w:lang w:val="ru-RU"/>
        </w:rPr>
        <w:t>по дисциплине:</w:t>
      </w:r>
    </w:p>
    <w:p w:rsidR="009E7411" w:rsidRPr="00052455" w:rsidRDefault="00000000">
      <w:pPr>
        <w:spacing w:after="440" w:line="240" w:lineRule="auto"/>
        <w:jc w:val="center"/>
        <w:rPr>
          <w:lang w:val="ru-RU"/>
        </w:rPr>
      </w:pPr>
      <w:r w:rsidRPr="00052455">
        <w:rPr>
          <w:rFonts w:eastAsia="Times New Roman"/>
          <w:sz w:val="28"/>
          <w:lang w:val="ru-RU"/>
        </w:rPr>
        <w:t>«Искусственный интеллект в креативных технологиях»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1656"/>
        <w:gridCol w:w="4752"/>
      </w:tblGrid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8"/>
              </w:rPr>
              <w:t>Направление</w:t>
            </w:r>
            <w:proofErr w:type="spellEnd"/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09.04.02 Информационные системы и технологии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Программа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Интеллектуальные медиатехнологии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Номер зачетн. книжки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2602149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Группа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МИК11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Студент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Рясной Владимир Олегович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Преподаватель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Pr="00052455" w:rsidRDefault="00052455">
            <w:pPr>
              <w:spacing w:after="0" w:line="240" w:lineRule="auto"/>
              <w:rPr>
                <w:lang w:val="ru-RU"/>
              </w:rPr>
            </w:pPr>
            <w:proofErr w:type="spellStart"/>
            <w:r>
              <w:rPr>
                <w:rFonts w:eastAsia="Times New Roman"/>
                <w:sz w:val="28"/>
                <w:lang w:val="ru-RU"/>
              </w:rPr>
              <w:t>Трубчик</w:t>
            </w:r>
            <w:proofErr w:type="spellEnd"/>
            <w:r>
              <w:rPr>
                <w:rFonts w:eastAsia="Times New Roman"/>
                <w:sz w:val="28"/>
                <w:lang w:val="ru-RU"/>
              </w:rPr>
              <w:t xml:space="preserve"> Ирина Степановна</w:t>
            </w:r>
          </w:p>
        </w:tc>
      </w:tr>
    </w:tbl>
    <w:p w:rsidR="009E7411" w:rsidRDefault="00052455">
      <w:pPr>
        <w:spacing w:before="2360" w:after="80" w:line="240" w:lineRule="auto"/>
        <w:jc w:val="center"/>
      </w:pPr>
      <w:r>
        <w:rPr>
          <w:rFonts w:eastAsia="Times New Roman"/>
          <w:sz w:val="28"/>
          <w:lang w:val="ru-RU"/>
        </w:rPr>
        <w:br/>
      </w:r>
      <w:r>
        <w:rPr>
          <w:rFonts w:eastAsia="Times New Roman"/>
          <w:sz w:val="28"/>
          <w:lang w:val="ru-RU"/>
        </w:rPr>
        <w:br/>
      </w:r>
      <w:r>
        <w:rPr>
          <w:rFonts w:eastAsia="Times New Roman"/>
          <w:sz w:val="28"/>
          <w:lang w:val="ru-RU"/>
        </w:rPr>
        <w:br/>
      </w:r>
      <w:r>
        <w:rPr>
          <w:rFonts w:eastAsia="Times New Roman"/>
          <w:sz w:val="28"/>
          <w:lang w:val="ru-RU"/>
        </w:rPr>
        <w:br/>
      </w:r>
      <w:r>
        <w:rPr>
          <w:rFonts w:eastAsia="Times New Roman"/>
          <w:sz w:val="28"/>
          <w:lang w:val="ru-RU"/>
        </w:rPr>
        <w:br/>
      </w:r>
      <w:proofErr w:type="spellStart"/>
      <w:r w:rsidR="00000000">
        <w:rPr>
          <w:rFonts w:eastAsia="Times New Roman"/>
          <w:sz w:val="28"/>
        </w:rPr>
        <w:t>Ростов-на-Дону</w:t>
      </w:r>
      <w:proofErr w:type="spellEnd"/>
    </w:p>
    <w:p w:rsidR="009E7411" w:rsidRDefault="00000000">
      <w:pPr>
        <w:spacing w:after="0" w:line="240" w:lineRule="auto"/>
        <w:jc w:val="center"/>
      </w:pPr>
      <w:r>
        <w:rPr>
          <w:rFonts w:eastAsia="Times New Roman"/>
          <w:sz w:val="28"/>
        </w:rPr>
        <w:t>2026</w:t>
      </w:r>
    </w:p>
    <w:p w:rsidR="009E7411" w:rsidRDefault="009E7411">
      <w:pPr>
        <w:sectPr w:rsidR="009E7411">
          <w:pgSz w:w="11909" w:h="16834"/>
          <w:pgMar w:top="1138" w:right="850" w:bottom="1138" w:left="1699" w:header="720" w:footer="720" w:gutter="0"/>
          <w:cols w:space="720"/>
          <w:docGrid w:linePitch="360"/>
        </w:sectPr>
      </w:pP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/>
          <w:b/>
          <w:color w:val="000000"/>
          <w:sz w:val="30"/>
        </w:rPr>
        <w:t>Генерация и интерполяция в латентном пространстве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Вариант 13. Набор «диск с шумом», фактор β: 1 → 8. Цель работы — построить вариационный автокодировщик, получить новые сцены и промежуточные изображения и измерить влияние веса KL-члена на четыре показателя по пяти seed.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Увеличение β изменило тестовый PSNR реконструкции с 23,118 до 20,911 дБ, а R² факторов — с 0,9076 до 0,8668. Результаты ниже сопоставлены с заранее заданными допусками и диагностикой латентных осей.</w:t>
      </w: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/>
          <w:b/>
          <w:color w:val="000000"/>
          <w:sz w:val="30"/>
        </w:rPr>
        <w:t>1 Постановка и гипотеза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Сравниваются A: β = 1 и B: β = 8. Размер латентного вектора d = 8, архитектура, выборки, обучение, линейная интерполяция и температура τ = 1 одинаковы. Для обоих режимов используются seed 101–105. При изменении β потенциально затрагиваются все четыре метрики; неизменяемых контрольных показателей в основной серии нет.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Гипотеза записана 29.10.2026 в 11:54:12 МСК до первого обучения: реконструкция ухудшится более чем на 1 дБ, R² снизится более чем на 0,05, активных осей станет меньше; интерполяция и сэмплы улучшатся более чем на 1 дБ. Последнее предположение проверяется отдельно. Сэмплы не должны воспроизводить шум датчика.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Допуски: ±1,0 дБ для трёх PSNR и ±0,05 для R². Все показатели: выше — лучше. Внутри допуска и на его границе изменение нейтрально; выше верхней границы — улучшение, ниже нижней — ухудшение. Падение PSNR на 1 дБ означает рост MSE на 25,9%; рост на 1 дБ — уменьшение MSE на 20,6%. Допуск 0,05 R² соответствует пяти процентным пунктам объяснённой дисперсии.</w:t>
      </w: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/>
          <w:b/>
          <w:color w:val="000000"/>
          <w:sz w:val="30"/>
        </w:rPr>
        <w:t>2 Модель и данные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Кодировщик выдаёт среднее μ и log σ². Во время обучения z = μ + σ ⊙ ε, ε ∼ N(0,I); при оценке реконструкции берётся μ. Ошибка реконструкции суммируется по 3072 пиксельным значениям, затем усредняется по пакету. KL измеряется в натах на изображение.</w:t>
      </w:r>
    </w:p>
    <w:p>
      <w:pPr>
        <w:spacing w:after="140"/>
        <w:jc w:val="center"/>
      </w:pPr>
      <m:oMath>
        <m:r>
          <m:t>ℒ = </m:t>
        </m:r>
        <m:sSup>
          <m:e>
            <m:r>
              <m:t>‖x − x̂‖</m:t>
            </m:r>
          </m:e>
          <m:sup>
            <m:r>
              <m:t>2</m:t>
            </m:r>
          </m:sup>
        </m:sSup>
        <m:r>
          <m:t> + β KL(q(z|x) ‖ N(0,I))</m:t>
        </m:r>
      </m:oMath>
    </w:p>
    <w:p>
      <w:pPr>
        <w:spacing w:after="140"/>
        <w:jc w:val="center"/>
      </w:pPr>
      <m:oMath>
        <m:r>
          <m:t>KL = −</m:t>
        </m:r>
        <m:f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</m:naryPr>
          <m:sub>
            <m:r>
              <m:t>j = 1</m:t>
            </m:r>
          </m:sub>
          <m:sup>
            <m:r>
              <m:t>d</m:t>
            </m:r>
          </m:sup>
          <m:e>
            <m:r>
              <m:t>(1 + log </m:t>
            </m:r>
            <m:sSubSup>
              <m:e>
                <m:r>
                  <m:t>σ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  <m:r>
              <m:t> − </m:t>
            </m:r>
            <m:sSubSup>
              <m:e>
                <m:r>
                  <m:t>μ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  <m:r>
              <m:t> − </m:t>
            </m:r>
            <m:sSubSup>
              <m:e>
                <m:r>
                  <m:t>σ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  <m:r>
              <m:t>)</m:t>
            </m:r>
          </m:e>
        </m:nary>
      </m:oMath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Генератор создаёт RGB-сцены 32×32: янтарный диск на градиентном фоне. Три независимых фактора задают центр x = 0,25 + 0,5f₁, y = 0,25 + 0,5f₂ и радиус r = 0,12 + 0,10f₃. К каждому изображению добавляется независимый гауссов шум σ = 0,05, затем значения ограничиваются диапазоном [0,1]. Seed 7 формирует 4096 обучающих и 1024 тестовых изображения; одни и те же данные используются для всех seed обучения.</w:t>
      </w:r>
    </w:p>
    <w:p>
      <w:pPr>
        <w:pStyle w:val="1"/>
        <w:keepNext/>
        <w:pageBreakBefore/>
        <w:spacing w:before="240" w:after="120"/>
      </w:pPr>
      <w:r>
        <w:rPr>
          <w:rFonts w:ascii="Times New Roman" w:hAnsi="Times New Roman" w:eastAsia="Times New Roman"/>
          <w:b/>
          <w:color w:val="000000"/>
          <w:sz w:val="30"/>
        </w:rPr>
        <w:t>3 Среда и метод выполнения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Работа выполнена 29 октября 2026 года в отдельной папке LR08 среды Engee. После ошибки импорта установлен официальный CPU-пакет PyTorch 2.4.1; проверка импорта прошла до обучения. Учебные библиотеки не менялись.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2835"/>
        <w:gridCol w:w="6690"/>
      </w:tblGrid>
      <w:tr>
        <w:trPr>
          <w:tblHeader/>
          <w:cantSplit/>
        </w:trPr>
        <w:tc>
          <w:tcPr>
            <w:tcW w:type="dxa" w:w="2835"/>
            <w:vAlign w:val="center"/>
            <w:shd w:fill="EDEDED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Компонент</w:t>
            </w:r>
          </w:p>
        </w:tc>
        <w:tc>
          <w:tcPr>
            <w:tcW w:type="dxa" w:w="6690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Фактическое значение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Engee / Julia</w:t>
            </w:r>
          </w:p>
        </w:tc>
        <w:tc>
          <w:tcPr>
            <w:tcW w:type="dxa" w:w="66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26.10.2-H2 / 1.12.6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Python</w:t>
            </w:r>
          </w:p>
        </w:tc>
        <w:tc>
          <w:tcPr>
            <w:tcW w:type="dxa" w:w="66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3.11.11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PyTorch / устройство</w:t>
            </w:r>
          </w:p>
        </w:tc>
        <w:tc>
          <w:tcPr>
            <w:tcW w:type="dxa" w:w="66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2.4.1+cpu / CPU, CUDA=False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NumPy / Pillow</w:t>
            </w:r>
          </w:p>
        </w:tc>
        <w:tc>
          <w:tcPr>
            <w:tcW w:type="dxa" w:w="66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2.1.3 / 11.1.0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Потоки PyTorch</w:t>
            </w:r>
          </w:p>
        </w:tc>
        <w:tc>
          <w:tcPr>
            <w:tcW w:type="dxa" w:w="66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ОС</w:t>
            </w:r>
          </w:p>
        </w:tc>
        <w:tc>
          <w:tcPr>
            <w:tcW w:type="dxa" w:w="6690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Linux-6.8.0-137-generic-x86_64-with-glibc2.35</w:t>
            </w:r>
          </w:p>
        </w:tc>
      </w:tr>
    </w:tbl>
    <w:p>
      <w:pPr>
        <w:keepNext w:val="0"/>
        <w:spacing w:after="40" w:line="264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3515"/>
        <w:gridCol w:w="3005"/>
        <w:gridCol w:w="3005"/>
      </w:tblGrid>
      <w:tr>
        <w:trPr>
          <w:tblHeader/>
          <w:cantSplit/>
        </w:trPr>
        <w:tc>
          <w:tcPr>
            <w:tcW w:type="dxa" w:w="3515"/>
            <w:vAlign w:val="center"/>
            <w:shd w:fill="EDEDED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Параметр</w:t>
            </w:r>
          </w:p>
        </w:tc>
        <w:tc>
          <w:tcPr>
            <w:tcW w:type="dxa" w:w="3005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Режим A</w:t>
            </w:r>
          </w:p>
        </w:tc>
        <w:tc>
          <w:tcPr>
            <w:tcW w:type="dxa" w:w="3005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Режим B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β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Латентный вектор d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Эпохи / разогрев KL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30 / 10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30 / 10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Оптимизатор / шаг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Adam / 0,002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Adam / 0,002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Пакет / обновления весов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128 / 960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128 / 960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Интерполяция / температура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линейная / 1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линейная / 1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Seed обучения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101–105</w:t>
            </w:r>
          </w:p>
        </w:tc>
        <w:tc>
          <w:tcPr>
            <w:tcW w:type="dxa" w:w="300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101–105</w:t>
            </w:r>
          </w:p>
        </w:tc>
      </w:tr>
    </w:tbl>
    <w:p>
      <w:pPr>
        <w:keepNext w:val="0"/>
        <w:spacing w:after="40" w:line="264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6"/>
        </w:rPr>
      </w:r>
    </w:p>
    <w:p>
      <w:pPr>
        <w:pStyle w:val="21"/>
        <w:keepNext/>
        <w:spacing w:before="160" w:after="120"/>
      </w:pPr>
      <w:r>
        <w:rPr>
          <w:rFonts w:ascii="Times New Roman" w:hAnsi="Times New Roman" w:eastAsia="Times New Roman"/>
          <w:b/>
          <w:color w:val="000000"/>
          <w:sz w:val="24"/>
        </w:rPr>
        <w:t>3.1 Последовательность запуска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Исходный lab08_demo.py выполнен для N = 1 целиком. Далее V.variant_summary(13) вызван для disc_noise с сохранением метрик и диагностики каждого seed. Повтор A/B seed 101 выполнен после основной серии в отдельном каталоге.</w:t>
      </w:r>
    </w:p>
    <w:p>
      <w:pPr>
        <w:keepNext w:val="0"/>
        <w:spacing w:after="80" w:line="264" w:lineRule="auto"/>
        <w:ind w:firstLine="0"/>
        <w:jc w:val="left"/>
      </w:pPr>
      <w:r>
        <w:rPr>
          <w:rFonts w:ascii="Courier New" w:hAnsi="Courier New" w:eastAsia="Courier New"/>
          <w:color w:val="000000"/>
          <w:sz w:val="18"/>
        </w:rPr>
        <w:t>using SHA, InteractiveUtils; println(VERSION); versioninfo()</w:t>
      </w:r>
    </w:p>
    <w:p>
      <w:pPr>
        <w:keepNext w:val="0"/>
        <w:spacing w:after="80" w:line="264" w:lineRule="auto"/>
        <w:ind w:firstLine="0"/>
        <w:jc w:val="left"/>
      </w:pPr>
      <w:r>
        <w:rPr>
          <w:rFonts w:ascii="Courier New" w:hAnsi="Courier New" w:eastAsia="Courier New"/>
          <w:color w:val="000000"/>
          <w:sz w:val="18"/>
        </w:rPr>
        <w:t>bytes2hex(sha256(read("lab08_lib.py")))</w:t>
      </w:r>
    </w:p>
    <w:p>
      <w:pPr>
        <w:keepNext w:val="0"/>
        <w:spacing w:after="80" w:line="264" w:lineRule="auto"/>
        <w:ind w:firstLine="0"/>
        <w:jc w:val="left"/>
      </w:pPr>
      <w:r>
        <w:rPr>
          <w:rFonts w:ascii="Courier New" w:hAnsi="Courier New" w:eastAsia="Courier New"/>
          <w:color w:val="000000"/>
          <w:sz w:val="18"/>
        </w:rPr>
        <w:t>a, b = V.settings(V.FACTORS[(13 - 1) % 6])</w:t>
        <w:br/>
        <w:t>assert [k for k in a if a[k] != b[k]] == ["beta"]</w:t>
        <w:br/>
        <w:t>result = V.variant_summary(13)</w:t>
      </w:r>
    </w:p>
    <w:p>
      <w:pPr>
        <w:pStyle w:val="21"/>
        <w:keepNext/>
        <w:spacing w:before="160" w:after="120"/>
      </w:pPr>
      <w:r>
        <w:rPr>
          <w:rFonts w:ascii="Times New Roman" w:hAnsi="Times New Roman" w:eastAsia="Times New Roman"/>
          <w:b/>
          <w:color w:val="000000"/>
          <w:sz w:val="24"/>
        </w:rPr>
        <w:t>3.2 Определения показателей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PSNR — среднее по изображениям значение −10 log₁₀ MSE при максимуме 1. Реконструкция: 1024 шумных тестовых сцены. Интерполяция: 200 пар, seed 11, t = 0,25; 0,5; 0,75; эталон — чистый рендер промежуточных факторов. Сэмплы: 256 изображений, PSNR ближайшего шумного тестового соседа, seed = 1000 + seed обучения.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R² — среднее по трём факторам. Линейная модель с константой обучается на μ обучающей выборки и проверяется на тесте; для устойчивости используется добавка 10⁻⁶ к диагонали нормальных уравнений в float64. Она не меняет определения целевых факторов.</w:t>
      </w:r>
    </w:p>
    <w:p>
      <w:pPr>
        <w:pStyle w:val="1"/>
        <w:keepNext/>
        <w:pageBreakBefore/>
        <w:spacing w:before="240" w:after="120"/>
      </w:pPr>
      <w:r>
        <w:rPr>
          <w:rFonts w:ascii="Times New Roman" w:hAnsi="Times New Roman" w:eastAsia="Times New Roman"/>
          <w:b/>
          <w:color w:val="000000"/>
          <w:sz w:val="30"/>
        </w:rPr>
        <w:t>4 Воспроизведение демонстрационного варианта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Демонстрация N = 1 использует чистые диски. Эти результаты получены отдельными обучениями в текущей среде; они не подменяют индивидуальный опыт на шумных сценах.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2381"/>
        <w:gridCol w:w="1191"/>
        <w:gridCol w:w="1191"/>
        <w:gridCol w:w="1191"/>
        <w:gridCol w:w="1191"/>
        <w:gridCol w:w="1191"/>
        <w:gridCol w:w="1191"/>
      </w:tblGrid>
      <w:tr>
        <w:trPr>
          <w:tblHeader/>
          <w:cantSplit/>
        </w:trPr>
        <w:tc>
          <w:tcPr>
            <w:tcW w:type="dxa" w:w="2381"/>
            <w:vAlign w:val="center"/>
            <w:shd w:fill="EDEDED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Метрика</w:t>
            </w:r>
          </w:p>
        </w:tc>
        <w:tc>
          <w:tcPr>
            <w:tcW w:type="dxa" w:w="1191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A</w:t>
            </w:r>
          </w:p>
        </w:tc>
        <w:tc>
          <w:tcPr>
            <w:tcW w:type="dxa" w:w="1191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s A</w:t>
            </w:r>
          </w:p>
        </w:tc>
        <w:tc>
          <w:tcPr>
            <w:tcW w:type="dxa" w:w="1191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B</w:t>
            </w:r>
          </w:p>
        </w:tc>
        <w:tc>
          <w:tcPr>
            <w:tcW w:type="dxa" w:w="1191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Δ</w:t>
            </w:r>
          </w:p>
        </w:tc>
        <w:tc>
          <w:tcPr>
            <w:tcW w:type="dxa" w:w="1191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|Δ|/s</w:t>
            </w:r>
          </w:p>
        </w:tc>
        <w:tc>
          <w:tcPr>
            <w:tcW w:type="dxa" w:w="1191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2s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Реконструкция, дБ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26,372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0,614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22,529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-3,843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6,26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Интерполяция, дБ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22,553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0,485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21,902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-0,651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1,34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нет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Сэмплы, дБ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23,242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0,556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23,210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-0,032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0,06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нет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R² факторов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0,8995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0,0220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0,7855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-0,1139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5,19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да</w:t>
            </w:r>
          </w:p>
        </w:tc>
      </w:tr>
    </w:tbl>
    <w:p>
      <w:pPr>
        <w:keepNext w:val="0"/>
        <w:spacing w:after="40" w:line="264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6"/>
        </w:rPr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3006000"/>
            <wp:docPr id="2" name="Picture 2" descr="Рисунок 1 — Демонстрация N=1: сэмплы AE, VAE β=1; линейные пути VAE β=1 и β=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demo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0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 w:line="264" w:lineRule="auto"/>
        <w:ind w:firstLine="0"/>
        <w:jc w:val="center"/>
      </w:pPr>
      <w:r>
        <w:rPr>
          <w:rFonts w:ascii="Times New Roman" w:hAnsi="Times New Roman" w:eastAsia="Times New Roman"/>
          <w:i/>
          <w:color w:val="000000"/>
          <w:sz w:val="20"/>
        </w:rPr>
        <w:t>Рисунок 1 — Демонстрация N=1: сэмплы AE, VAE β=1; линейные пути VAE β=1 и β=8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Исходный демонстрационный скрипт также выполнил по пять обучений с β = 1 сразу и с разогревом за десять эпох. По каждому seed результаты сохранены в журнале. Разогрев снижает риск схлопывания, но не гарантирует информативность всех осей при сильной регуляризации.</w:t>
      </w:r>
    </w:p>
    <w:p>
      <w:pPr>
        <w:keepNext w:val="0"/>
        <w:spacing w:after="120" w:line="264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22"/>
        </w:rPr>
        <w:t>Без разогрева: [26.5, 17.2, 25.7, 26.7, 24.7] дБ (seed 101–105).</w:t>
      </w:r>
    </w:p>
    <w:p>
      <w:pPr>
        <w:keepNext w:val="0"/>
        <w:spacing w:after="120" w:line="264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22"/>
        </w:rPr>
        <w:t>Разогрев 10 эпох: [26.7, 26.9, 25.6, 26.9, 25.8] дБ (seed 101–105).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Сопоставление с таблицей демонстрации на стр. 7 методички: все средние, s, Δ и отношения |Δ|/s совпали в пределах опубликованного округления — 0,005 дБ, 0,0005 для R² и 0,005 для отношения. Признаки 2s совпали для всех четырёх метрик. Полное сопоставление сохранено в demo_comparison.json. Это сравнение относится к демонстрации на чистых дисках, а не к варианту 13.</w:t>
      </w:r>
    </w:p>
    <w:p>
      <w:pPr>
        <w:pStyle w:val="1"/>
        <w:keepNext/>
        <w:pageBreakBefore/>
        <w:spacing w:before="240" w:after="120"/>
      </w:pPr>
      <w:r>
        <w:rPr>
          <w:rFonts w:ascii="Times New Roman" w:hAnsi="Times New Roman" w:eastAsia="Times New Roman"/>
          <w:b/>
          <w:color w:val="000000"/>
          <w:sz w:val="30"/>
        </w:rPr>
        <w:t>5 Результаты индивидуального варианта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1"/>
        </w:rPr>
        <w:t>В таблице 1 приведены все пять пар запусков. Р — реконструкция, И — интерполяция, С — сэмплы; PSNR дан в дБ. Числа округлены только для представления, все вычисления выполнены по сохранённым значениям полной точности.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680"/>
        <w:gridCol w:w="1106"/>
        <w:gridCol w:w="1106"/>
        <w:gridCol w:w="1106"/>
        <w:gridCol w:w="1106"/>
        <w:gridCol w:w="1106"/>
        <w:gridCol w:w="1106"/>
        <w:gridCol w:w="1106"/>
        <w:gridCol w:w="1106"/>
      </w:tblGrid>
      <w:tr>
        <w:trPr>
          <w:tblHeader/>
          <w:cantSplit/>
        </w:trPr>
        <w:tc>
          <w:tcPr>
            <w:tcW w:type="dxa" w:w="680"/>
            <w:vAlign w:val="center"/>
            <w:shd w:fill="EDEDED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seed</w:t>
            </w:r>
          </w:p>
        </w:tc>
        <w:tc>
          <w:tcPr>
            <w:tcW w:type="dxa" w:w="1106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Р A</w:t>
            </w:r>
          </w:p>
        </w:tc>
        <w:tc>
          <w:tcPr>
            <w:tcW w:type="dxa" w:w="1106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Р B</w:t>
            </w:r>
          </w:p>
        </w:tc>
        <w:tc>
          <w:tcPr>
            <w:tcW w:type="dxa" w:w="1106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И A</w:t>
            </w:r>
          </w:p>
        </w:tc>
        <w:tc>
          <w:tcPr>
            <w:tcW w:type="dxa" w:w="1106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И B</w:t>
            </w:r>
          </w:p>
        </w:tc>
        <w:tc>
          <w:tcPr>
            <w:tcW w:type="dxa" w:w="1106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С A</w:t>
            </w:r>
          </w:p>
        </w:tc>
        <w:tc>
          <w:tcPr>
            <w:tcW w:type="dxa" w:w="1106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С B</w:t>
            </w:r>
          </w:p>
        </w:tc>
        <w:tc>
          <w:tcPr>
            <w:tcW w:type="dxa" w:w="1106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R² A</w:t>
            </w:r>
          </w:p>
        </w:tc>
        <w:tc>
          <w:tcPr>
            <w:tcW w:type="dxa" w:w="1106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R² B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101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23,391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21,033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22,985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22,152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21,649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21,584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0,9362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0,8454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102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23,511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20,875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23,191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22,077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21,839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21,918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0,9177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0,9611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103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22,287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20,888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21,958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21,687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20,675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21,343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0,8969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0,7484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104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23,397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20,705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22,587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21,943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21,482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21,476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0,8910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0,9283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105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23,006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21,052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22,152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21,832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20,945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21,448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0,8964</w:t>
            </w:r>
          </w:p>
        </w:tc>
        <w:tc>
          <w:tcPr>
            <w:tcW w:type="dxa" w:w="110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0,8507</w:t>
            </w:r>
          </w:p>
        </w:tc>
      </w:tr>
    </w:tbl>
    <w:p>
      <w:pPr>
        <w:keepNext w:val="0"/>
        <w:spacing w:after="40" w:line="264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6"/>
        </w:rPr>
      </w:r>
    </w:p>
    <w:p>
      <w:pPr>
        <w:keepNext w:val="0"/>
        <w:spacing w:after="120" w:line="264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0"/>
        </w:rPr>
        <w:t>Таблица 1 — Первичные показатели по seed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1"/>
        </w:rPr>
        <w:t>Выборочное стандартное отклонение s рассчитано только по режиму A, ddof = 1. Δ = среднее B − среднее A; признак |Δ| &gt; 2s показывает, превышает ли эффект удвоенный разброс A. Это учебный критерий, не формальный статистический тест и не доверительный интервал.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2381"/>
        <w:gridCol w:w="1191"/>
        <w:gridCol w:w="1191"/>
        <w:gridCol w:w="1191"/>
        <w:gridCol w:w="1191"/>
        <w:gridCol w:w="1191"/>
        <w:gridCol w:w="1191"/>
      </w:tblGrid>
      <w:tr>
        <w:trPr>
          <w:tblHeader/>
          <w:cantSplit/>
        </w:trPr>
        <w:tc>
          <w:tcPr>
            <w:tcW w:type="dxa" w:w="2381"/>
            <w:vAlign w:val="center"/>
            <w:shd w:fill="EDEDED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Метрика</w:t>
            </w:r>
          </w:p>
        </w:tc>
        <w:tc>
          <w:tcPr>
            <w:tcW w:type="dxa" w:w="1191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A</w:t>
            </w:r>
          </w:p>
        </w:tc>
        <w:tc>
          <w:tcPr>
            <w:tcW w:type="dxa" w:w="1191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s A</w:t>
            </w:r>
          </w:p>
        </w:tc>
        <w:tc>
          <w:tcPr>
            <w:tcW w:type="dxa" w:w="1191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B</w:t>
            </w:r>
          </w:p>
        </w:tc>
        <w:tc>
          <w:tcPr>
            <w:tcW w:type="dxa" w:w="1191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Δ</w:t>
            </w:r>
          </w:p>
        </w:tc>
        <w:tc>
          <w:tcPr>
            <w:tcW w:type="dxa" w:w="1191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|Δ|/s</w:t>
            </w:r>
          </w:p>
        </w:tc>
        <w:tc>
          <w:tcPr>
            <w:tcW w:type="dxa" w:w="1191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2s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Реконструкция, дБ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23,118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0,502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20,911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-2,208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4,39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Интерполяция, дБ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22,575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0,526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21,938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-0,636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1,21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нет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Сэмплы, дБ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21,318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0,490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21,554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0,236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0,48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нет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R² факторов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0,9076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0,0189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0,8668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-0,0408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2,16</w:t>
            </w:r>
          </w:p>
        </w:tc>
        <w:tc>
          <w:tcPr>
            <w:tcW w:type="dxa" w:w="119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да</w:t>
            </w:r>
          </w:p>
        </w:tc>
      </w:tr>
    </w:tbl>
    <w:p>
      <w:pPr>
        <w:keepNext w:val="0"/>
        <w:spacing w:after="40" w:line="264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6"/>
        </w:rPr>
      </w:r>
    </w:p>
    <w:p>
      <w:pPr>
        <w:keepNext w:val="0"/>
        <w:spacing w:after="120" w:line="264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0"/>
        </w:rPr>
        <w:t>Таблица 2 — Сводка четырёх метрик по пяти seed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3175"/>
        <w:gridCol w:w="1701"/>
        <w:gridCol w:w="2608"/>
        <w:gridCol w:w="2041"/>
      </w:tblGrid>
      <w:tr>
        <w:trPr>
          <w:tblHeader/>
          <w:cantSplit/>
        </w:trPr>
        <w:tc>
          <w:tcPr>
            <w:tcW w:type="dxa" w:w="3175"/>
            <w:vAlign w:val="center"/>
            <w:shd w:fill="EDEDED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Метрика</w:t>
            </w:r>
          </w:p>
        </w:tc>
        <w:tc>
          <w:tcPr>
            <w:tcW w:type="dxa" w:w="1701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Допуск</w:t>
            </w:r>
          </w:p>
        </w:tc>
        <w:tc>
          <w:tcPr>
            <w:tcW w:type="dxa" w:w="2608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По допуску</w:t>
            </w:r>
          </w:p>
        </w:tc>
        <w:tc>
          <w:tcPr>
            <w:tcW w:type="dxa" w:w="2041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По 2s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Реконструкция, дБ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±1,0 дБ</w:t>
            </w:r>
          </w:p>
        </w:tc>
        <w:tc>
          <w:tcPr>
            <w:tcW w:type="dxa" w:w="260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ухудшение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выше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Интерполяция, дБ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±1,0 дБ</w:t>
            </w:r>
          </w:p>
        </w:tc>
        <w:tc>
          <w:tcPr>
            <w:tcW w:type="dxa" w:w="260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нейтрально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не выше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Сэмплы, дБ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±1,0 дБ</w:t>
            </w:r>
          </w:p>
        </w:tc>
        <w:tc>
          <w:tcPr>
            <w:tcW w:type="dxa" w:w="260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нейтрально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не выше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R² факторов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±0,05</w:t>
            </w:r>
          </w:p>
        </w:tc>
        <w:tc>
          <w:tcPr>
            <w:tcW w:type="dxa" w:w="260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нейтрально</w:t>
            </w:r>
          </w:p>
        </w:tc>
        <w:tc>
          <w:tcPr>
            <w:tcW w:type="dxa" w:w="204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выше</w:t>
            </w:r>
          </w:p>
        </w:tc>
      </w:tr>
    </w:tbl>
    <w:p>
      <w:pPr>
        <w:keepNext w:val="0"/>
        <w:spacing w:after="40" w:line="264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6"/>
        </w:rPr>
      </w:r>
    </w:p>
    <w:p>
      <w:pPr>
        <w:keepNext w:val="0"/>
        <w:spacing w:after="120" w:line="264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0"/>
        </w:rPr>
        <w:t>Таблица 3 — Практический отклик и выход за разброс seed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Расхождение критериев: R² факторов выходит за 2s, но остаётся в практическом допуске. Это разные определения эффекта, поэтому один критерий не заменяет другой.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Эталон «средняя картинка», рассчитанный по обучающей выборке и проверенный на шумном тесте: 16,763 дБ. Сравнение с ним показывает, сохраняет ли модель информацию о конкретной сцене вместо выдачи постоянного изображения.</w:t>
      </w:r>
    </w:p>
    <w:p>
      <w:pPr>
        <w:pStyle w:val="1"/>
        <w:keepNext/>
        <w:pageBreakBefore/>
        <w:spacing w:before="240" w:after="120"/>
      </w:pPr>
      <w:r>
        <w:rPr>
          <w:rFonts w:ascii="Times New Roman" w:hAnsi="Times New Roman" w:eastAsia="Times New Roman"/>
          <w:b/>
          <w:color w:val="000000"/>
          <w:sz w:val="30"/>
        </w:rPr>
        <w:t>6 Диагностика латентного пространства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Для каждой оси вычислены выборочное стандартное отклонение μ на 1024 тестовых сценах и средний KLⱼ. Ось считается активной при KLⱼ &gt; 0,05 нат. Разброс μ и KL дополняют друг друга; активность сама по себе не означает соответствие одному независимому фактору сцены.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794"/>
        <w:gridCol w:w="2183"/>
        <w:gridCol w:w="2183"/>
        <w:gridCol w:w="2183"/>
        <w:gridCol w:w="2183"/>
      </w:tblGrid>
      <w:tr>
        <w:trPr>
          <w:tblHeader/>
          <w:cantSplit/>
        </w:trPr>
        <w:tc>
          <w:tcPr>
            <w:tcW w:type="dxa" w:w="794"/>
            <w:vAlign w:val="center"/>
            <w:shd w:fill="EDEDED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Ось</w:t>
            </w:r>
          </w:p>
        </w:tc>
        <w:tc>
          <w:tcPr>
            <w:tcW w:type="dxa" w:w="2183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s μ A</w:t>
            </w:r>
          </w:p>
        </w:tc>
        <w:tc>
          <w:tcPr>
            <w:tcW w:type="dxa" w:w="2183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s μ B</w:t>
            </w:r>
          </w:p>
        </w:tc>
        <w:tc>
          <w:tcPr>
            <w:tcW w:type="dxa" w:w="2183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KL A, нат</w:t>
            </w:r>
          </w:p>
        </w:tc>
        <w:tc>
          <w:tcPr>
            <w:tcW w:type="dxa" w:w="2183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KL B, нат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18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1,0303</w:t>
            </w:r>
          </w:p>
        </w:tc>
        <w:tc>
          <w:tcPr>
            <w:tcW w:type="dxa" w:w="218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0,0460</w:t>
            </w:r>
          </w:p>
        </w:tc>
        <w:tc>
          <w:tcPr>
            <w:tcW w:type="dxa" w:w="218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1,7765</w:t>
            </w:r>
          </w:p>
        </w:tc>
        <w:tc>
          <w:tcPr>
            <w:tcW w:type="dxa" w:w="218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0,0015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18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0,0823</w:t>
            </w:r>
          </w:p>
        </w:tc>
        <w:tc>
          <w:tcPr>
            <w:tcW w:type="dxa" w:w="218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0,0440</w:t>
            </w:r>
          </w:p>
        </w:tc>
        <w:tc>
          <w:tcPr>
            <w:tcW w:type="dxa" w:w="218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0,0093</w:t>
            </w:r>
          </w:p>
        </w:tc>
        <w:tc>
          <w:tcPr>
            <w:tcW w:type="dxa" w:w="218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0,0013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18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0,7954</w:t>
            </w:r>
          </w:p>
        </w:tc>
        <w:tc>
          <w:tcPr>
            <w:tcW w:type="dxa" w:w="218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0,0319</w:t>
            </w:r>
          </w:p>
        </w:tc>
        <w:tc>
          <w:tcPr>
            <w:tcW w:type="dxa" w:w="218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0,8937</w:t>
            </w:r>
          </w:p>
        </w:tc>
        <w:tc>
          <w:tcPr>
            <w:tcW w:type="dxa" w:w="218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0,0008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18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0,9556</w:t>
            </w:r>
          </w:p>
        </w:tc>
        <w:tc>
          <w:tcPr>
            <w:tcW w:type="dxa" w:w="218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0,4921</w:t>
            </w:r>
          </w:p>
        </w:tc>
        <w:tc>
          <w:tcPr>
            <w:tcW w:type="dxa" w:w="218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1,4949</w:t>
            </w:r>
          </w:p>
        </w:tc>
        <w:tc>
          <w:tcPr>
            <w:tcW w:type="dxa" w:w="218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0,1456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18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0,2214</w:t>
            </w:r>
          </w:p>
        </w:tc>
        <w:tc>
          <w:tcPr>
            <w:tcW w:type="dxa" w:w="218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0,0324</w:t>
            </w:r>
          </w:p>
        </w:tc>
        <w:tc>
          <w:tcPr>
            <w:tcW w:type="dxa" w:w="218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0,0408</w:t>
            </w:r>
          </w:p>
        </w:tc>
        <w:tc>
          <w:tcPr>
            <w:tcW w:type="dxa" w:w="218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0,0012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18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1,1282</w:t>
            </w:r>
          </w:p>
        </w:tc>
        <w:tc>
          <w:tcPr>
            <w:tcW w:type="dxa" w:w="218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0,9317</w:t>
            </w:r>
          </w:p>
        </w:tc>
        <w:tc>
          <w:tcPr>
            <w:tcW w:type="dxa" w:w="218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2,0514</w:t>
            </w:r>
          </w:p>
        </w:tc>
        <w:tc>
          <w:tcPr>
            <w:tcW w:type="dxa" w:w="218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1,0127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218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1,0624</w:t>
            </w:r>
          </w:p>
        </w:tc>
        <w:tc>
          <w:tcPr>
            <w:tcW w:type="dxa" w:w="218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0,9142</w:t>
            </w:r>
          </w:p>
        </w:tc>
        <w:tc>
          <w:tcPr>
            <w:tcW w:type="dxa" w:w="218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1,8497</w:t>
            </w:r>
          </w:p>
        </w:tc>
        <w:tc>
          <w:tcPr>
            <w:tcW w:type="dxa" w:w="218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0,9875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218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0,4691</w:t>
            </w:r>
          </w:p>
        </w:tc>
        <w:tc>
          <w:tcPr>
            <w:tcW w:type="dxa" w:w="218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0,0485</w:t>
            </w:r>
          </w:p>
        </w:tc>
        <w:tc>
          <w:tcPr>
            <w:tcW w:type="dxa" w:w="218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0,2158</w:t>
            </w:r>
          </w:p>
        </w:tc>
        <w:tc>
          <w:tcPr>
            <w:tcW w:type="dxa" w:w="2183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0,0020</w:t>
            </w:r>
          </w:p>
        </w:tc>
      </w:tr>
    </w:tbl>
    <w:p>
      <w:pPr>
        <w:keepNext w:val="0"/>
        <w:spacing w:after="40" w:line="264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6"/>
        </w:rPr>
      </w:r>
    </w:p>
    <w:p>
      <w:pPr>
        <w:keepNext w:val="0"/>
        <w:spacing w:after="120" w:line="264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0"/>
        </w:rPr>
        <w:t>Таблица 4 — Поосевая диагностика, seed 101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1814"/>
        <w:gridCol w:w="3855"/>
        <w:gridCol w:w="3855"/>
      </w:tblGrid>
      <w:tr>
        <w:trPr>
          <w:tblHeader/>
          <w:cantSplit/>
        </w:trPr>
        <w:tc>
          <w:tcPr>
            <w:tcW w:type="dxa" w:w="1814"/>
            <w:vAlign w:val="center"/>
            <w:shd w:fill="EDEDED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Seed</w:t>
            </w:r>
          </w:p>
        </w:tc>
        <w:tc>
          <w:tcPr>
            <w:tcW w:type="dxa" w:w="3855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Активных осей A</w:t>
            </w:r>
          </w:p>
        </w:tc>
        <w:tc>
          <w:tcPr>
            <w:tcW w:type="dxa" w:w="3855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Активных осей B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101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102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103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104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105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3</w:t>
            </w:r>
          </w:p>
        </w:tc>
      </w:tr>
    </w:tbl>
    <w:p>
      <w:pPr>
        <w:keepNext w:val="0"/>
        <w:spacing w:after="40" w:line="264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6"/>
        </w:rPr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При seed 101 число активных осей изменилось с 6 до 3 из восьми. Это наблюдение согласуется с тем, что более дорогой KL-член подавляет часть латентных каналов. Само по себе оно не устанавливает причинность для конкретного физического фактора; линейная связь факторов дополнительно оценивается через R².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По отдельным факторам средний R² изменился: координата x 0,873 → 0,975, координата y 0,889 → 0,972, радиус 0,960 → 0,654. Потеря линейной информации особенно выражена для радиуса; это согласуется с визуальным выравниванием размеров дисков в B.</w:t>
      </w:r>
    </w:p>
    <w:p>
      <w:pPr>
        <w:pStyle w:val="21"/>
        <w:keepNext/>
        <w:spacing w:before="160" w:after="120"/>
      </w:pPr>
      <w:r>
        <w:rPr>
          <w:rFonts w:ascii="Times New Roman" w:hAnsi="Times New Roman" w:eastAsia="Times New Roman"/>
          <w:b/>
          <w:color w:val="000000"/>
          <w:sz w:val="24"/>
        </w:rPr>
        <w:t>6.1 Почему обычный автокодировщик плохо сэмплирует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Для disc_noise отдельно обучен AE (β = 0), seed 101. Разброс μ по осям: 1,58–5,07; PSNR сэмплов N(0,I) = 13,015 дБ. У VAE A того же seed этот PSNR равен 21,649 дБ. Без KL масштаб и область кодов не согласованы с N(0,I); случайные векторы попадают в плохо обученные области декодировщика. Для AE число активных осей по KL не интерпретируется: голова дисперсии не обучалась.</w:t>
      </w:r>
    </w:p>
    <w:p>
      <w:pPr>
        <w:pStyle w:val="1"/>
        <w:keepNext/>
        <w:pageBreakBefore/>
        <w:spacing w:before="240" w:after="120"/>
      </w:pPr>
      <w:r>
        <w:rPr>
          <w:rFonts w:ascii="Times New Roman" w:hAnsi="Times New Roman" w:eastAsia="Times New Roman"/>
          <w:b/>
          <w:color w:val="000000"/>
          <w:sz w:val="30"/>
        </w:rPr>
        <w:t>7 Сэмплы и пути интерполяции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3006000"/>
            <wp:docPr id="3" name="Picture 3" descr="Рисунок 2 — Вариант 13: сэмплы AE; сэмплы VAE A; линейный путь VAE A; линейный путь VAE 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0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 w:line="264" w:lineRule="auto"/>
        <w:ind w:firstLine="0"/>
        <w:jc w:val="center"/>
      </w:pPr>
      <w:r>
        <w:rPr>
          <w:rFonts w:ascii="Times New Roman" w:hAnsi="Times New Roman" w:eastAsia="Times New Roman"/>
          <w:i/>
          <w:color w:val="000000"/>
          <w:sz w:val="20"/>
        </w:rPr>
        <w:t>Рисунок 2 — Вариант 13: сэмплы AE; сэмплы VAE A; линейный путь VAE A; линейный путь VAE B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Во всех четырёх строках восемь кадров, seed обучения 101. Для сэмплов один и тот же z создан с seed 5. Интерполяция построена между тестовыми сценами 0 и 2 при t от 0 до 1, включая концы. Эти иллюстрации не заменяют метрику по 256 сэмплам и 200 парам.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Визуальное наблюдение: В первой строке AE видны бесформенные тусклые пятна. У VAE A появляются отчётливые диски, но отдельные сэмплы имеют вытянутую или размытую форму и неоднородный фон. По линейному пути диск смещается вниз и вправо, размер постепенно уменьшается; отчётливого раздвоения контура не видно. В B границы мягче, изменения радиуса менее выражены.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1503000"/>
            <wp:docPr id="4" name="Picture 4" descr="Рисунок 3 — Одна модель A, seed 101: линейный путь сверху, сферический сниз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polation_metho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50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 w:line="264" w:lineRule="auto"/>
        <w:ind w:firstLine="0"/>
        <w:jc w:val="center"/>
      </w:pPr>
      <w:r>
        <w:rPr>
          <w:rFonts w:ascii="Times New Roman" w:hAnsi="Times New Roman" w:eastAsia="Times New Roman"/>
          <w:i/>
          <w:color w:val="000000"/>
          <w:sz w:val="20"/>
        </w:rPr>
        <w:t>Рисунок 3 — Одна модель A, seed 101: линейный путь сверху, сферический снизу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Дополнительная проверка одной обученной модели: линейная интерполяция 22,985 дБ, сферическая 22,702 дБ. Реконструкция, сэмплы и R² при этом сохраняются как контроль. Это сравнение одного seed не включено в основную оценку фактора β.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Сферический путь использует угловые веса; при равных нормах он сохраняет радиус. При разных нормах точного сохранения длины нет. Преимущество по геометрии сцены не следует из самой формы пути; его нужно измерять. На этих данных линейность факторов в коде также не гарантирована.</w:t>
      </w:r>
    </w:p>
    <w:p>
      <w:pPr>
        <w:pStyle w:val="1"/>
        <w:keepNext/>
        <w:pageBreakBefore/>
        <w:spacing w:before="240" w:after="120"/>
      </w:pPr>
      <w:r>
        <w:rPr>
          <w:rFonts w:ascii="Times New Roman" w:hAnsi="Times New Roman" w:eastAsia="Times New Roman"/>
          <w:b/>
          <w:color w:val="000000"/>
          <w:sz w:val="30"/>
        </w:rPr>
        <w:t>8 Шум датчика и форма дисков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12000" cy="3757500"/>
            <wp:docPr id="5" name="Picture 5" descr="Рисунок 4 — Шумные оригиналы; реконструкции A; реконструкции B; сэмплы A; сэмплы 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se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7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 w:line="264" w:lineRule="auto"/>
        <w:ind w:firstLine="0"/>
        <w:jc w:val="center"/>
      </w:pPr>
      <w:r>
        <w:rPr>
          <w:rFonts w:ascii="Times New Roman" w:hAnsi="Times New Roman" w:eastAsia="Times New Roman"/>
          <w:i/>
          <w:color w:val="000000"/>
          <w:sz w:val="20"/>
        </w:rPr>
        <w:t>Рисунок 4 — Шумные оригиналы; реконструкции A; реконструкции B; сэмплы A; сэмплы B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Мелкозернистый шум хорошо виден в оригиналах и визуально подавлен в реконструкциях и сэмплах обоих VAE. У B пятна сильнее размыты, радиусы выравниваются. Большинство сэмплов сохраняет приблизительно круглый силуэт, но идеальная круглая форма не обеспечена: есть овальные и нечёткие контуры. Отсутствие зернистости не означает отсутствия структурных артефактов.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3628"/>
        <w:gridCol w:w="2494"/>
        <w:gridCol w:w="3402"/>
      </w:tblGrid>
      <w:tr>
        <w:trPr>
          <w:tblHeader/>
          <w:cantSplit/>
        </w:trPr>
        <w:tc>
          <w:tcPr>
            <w:tcW w:type="dxa" w:w="3628"/>
            <w:vAlign w:val="center"/>
            <w:shd w:fill="EDEDED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Наблюдение</w:t>
            </w:r>
          </w:p>
        </w:tc>
        <w:tc>
          <w:tcPr>
            <w:tcW w:type="dxa" w:w="2494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Фон, s остатка</w:t>
            </w:r>
          </w:p>
        </w:tc>
        <w:tc>
          <w:tcPr>
            <w:tcW w:type="dxa" w:w="3402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PSNR к чистому эталону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Шумный вход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0,05029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Реконструкция A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0,01300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26,592 дБ</w:t>
            </w:r>
          </w:p>
        </w:tc>
      </w:tr>
      <w:tr>
        <w:trPr>
          <w:cantSplit/>
        </w:trPr>
        <w:tc>
          <w:tcPr>
            <w:tcW w:type="dxa" w:w="362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Реконструкция B</w:t>
            </w:r>
          </w:p>
        </w:tc>
        <w:tc>
          <w:tcPr>
            <w:tcW w:type="dxa" w:w="249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0,01205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22,495 дБ</w:t>
            </w:r>
          </w:p>
        </w:tc>
      </w:tr>
    </w:tbl>
    <w:p>
      <w:pPr>
        <w:keepNext w:val="0"/>
        <w:spacing w:after="40" w:line="264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6"/>
        </w:rPr>
      </w:r>
    </w:p>
    <w:p>
      <w:pPr>
        <w:keepNext w:val="0"/>
        <w:spacing w:after="120" w:line="264" w:lineRule="auto"/>
        <w:ind w:firstLine="0"/>
        <w:jc w:val="center"/>
      </w:pPr>
      <w:r>
        <w:rPr>
          <w:rFonts w:ascii="Times New Roman" w:hAnsi="Times New Roman" w:eastAsia="Times New Roman"/>
          <w:color w:val="000000"/>
          <w:sz w:val="20"/>
        </w:rPr>
        <w:t>Таблица 5 — Дополнительная проверка первых восьми сцен, seed 101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Остаток измеряется относительно чистой сцены тех же факторов. Для фона взяты первые четыре строки, куда диск не попадает. Это локальная проверка шума; она не измеряет качество контура и не доказывает полного отсутствия артефактов. Основная метрика реконструкции по методичке остаётся рассчитанной относительно шумных тестовых изображений.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Случайный шум входит в тестовый эталон, поэтому даже геометрически точная чистая реконструкция имеет ненулевую ошибку. При σ = 0,05 грубый ориентир −10 log₁₀(σ²) ≈ 26,02 дБ относится к неограниченному аддитивному шуму; клиппирование [0,1], цвет диска и ошибки модели меняют фактическое значение.</w:t>
      </w:r>
    </w:p>
    <w:p>
      <w:pPr>
        <w:pStyle w:val="1"/>
        <w:keepNext/>
        <w:pageBreakBefore/>
        <w:spacing w:before="240" w:after="120"/>
      </w:pPr>
      <w:r>
        <w:rPr>
          <w:rFonts w:ascii="Times New Roman" w:hAnsi="Times New Roman" w:eastAsia="Times New Roman"/>
          <w:b/>
          <w:color w:val="000000"/>
          <w:sz w:val="30"/>
        </w:rPr>
        <w:t>9 Анализ и вывод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Реконструкция, дБ. Δ = -2,208; |Δ|/s = 4,39. По учебному критерию 2s: эффект выше разброса; по практическому допуску — ухудшение.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Интерполяция, дБ. Δ = -0,636; |Δ|/s = 1,21. По учебному критерию 2s: эффект не выше разброса; по практическому допуску — нейтрально.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Сэмплы, дБ. Δ = 0,236; |Δ|/s = 0,48. По учебному критерию 2s: эффект не выше разброса; по практическому допуску — нейтрально.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R² факторов. Δ = -0,0408; |Δ|/s = 2,16. По учебному критерию 2s: эффект выше разброса; по практическому допуску — нейтрально.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Падение показателя и сокращение числа активных осей являются наблюдениями. Объяснение состоит в усилении регуляризации: сеть передаёт меньше информации о сцене через код, отдавая больший вес близости к априорному распределению. Возможны и альтернативные причины: за 30 эпох режимы могут находиться на разных стадиях сходимости, а seed влияет на оптимизацию. Для отделения этих причин потребовались бы кривые обучения и дополнительные эксперименты; они не подменяются данным объяснением.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Проверка чувствительности к допуску выполнена без нового обучения: границы смены практического класса равны |Δ| каждой метрики. Для реконструкции это 2,208 дБ, интерполяции 0,636 дБ, сэмплов 0,236 дБ и R² 0,0408. Увеличение допуска до этих границ делает соответствующий отклик нейтральным; критерий 2s при этом не меняется.</w:t>
      </w:r>
    </w:p>
    <w:p>
      <w:pPr>
        <w:pStyle w:val="21"/>
        <w:keepNext/>
        <w:spacing w:before="160" w:after="120"/>
      </w:pPr>
      <w:r>
        <w:rPr>
          <w:rFonts w:ascii="Times New Roman" w:hAnsi="Times New Roman" w:eastAsia="Times New Roman"/>
          <w:b/>
          <w:color w:val="000000"/>
          <w:sz w:val="24"/>
        </w:rPr>
        <w:t>9.1 Повтор и границы воспроизводимости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После основной серии заново обучены A/B seed 101. Максимальные абсолютные расхождения четырёх метрик: реконструкция 0,000000 дБ, интерполяция 0,000000 дБ, сэмплы 0,000000 дБ, R² 0,000000. Исходные результаты сохранены; повтор не заменяет ни дату, ни значения основной серии.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Независимая проверка без PyTorch повторно создала 5120 сцен, сверила восемь входов по пикселям, пересчитала PSNR, R², диагностику и таблицу 2. Лист сравнения совпал с первичными массивами. Проверка сохранённых измерений не является новым обучением на другой машине.</w:t>
      </w:r>
    </w:p>
    <w:p>
      <w:pPr>
        <w:pStyle w:val="21"/>
        <w:keepNext/>
        <w:spacing w:before="160" w:after="120"/>
      </w:pPr>
      <w:r>
        <w:rPr>
          <w:rFonts w:ascii="Times New Roman" w:hAnsi="Times New Roman" w:eastAsia="Times New Roman"/>
          <w:b/>
          <w:color w:val="000000"/>
          <w:sz w:val="24"/>
        </w:rPr>
        <w:t>9.2 Итог и ограничения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Гипотеза подтвердилась частично. При β: 1 → 8 реконструкция ухудшилась на 2,208 дБ — за пределами допуска и критерия 2s; число активных осей снизилось с 5–8 до 2–3. Предположение об улучшении интерполяции и сэмплов более чем на 1 дБ не подтвердилось: изменения −0,636 и +0,236 дБ практически нейтральны. R² снизился на 0,04085: эффект превышает 2s, но остаётся в допуске ±0,05, поэтому практического ухудшения по заранее заданному правилу нет. Таким образом, β = 8 не даёт подтверждённой практической пользы для порождения или интерполяции при заметной потере точности реконструкции. Для этих условий предпочтителен режим A.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Вывод относится к одной архитектуре, синтетическим дискам, шуму σ = 0,05 и пяти seed обучения при фиксированной выборке. PSNR ближайшего соседа не проверяет разнообразие и может поощрять повторение одной сцены. R² описывает линейное восстановление факторов, но не независимость осей. Ни одна из метрик не заменяет визуальную проверку круглой формы и отсутствия шума. Результат нельзя переносить на фотографии без отдельного исследования.</w:t>
      </w:r>
    </w:p>
    <w:p>
      <w:pPr>
        <w:pStyle w:val="1"/>
        <w:keepNext/>
        <w:pageBreakBefore/>
        <w:spacing w:before="240" w:after="120"/>
      </w:pPr>
      <w:r>
        <w:rPr>
          <w:rFonts w:ascii="Times New Roman" w:hAnsi="Times New Roman" w:eastAsia="Times New Roman"/>
          <w:b/>
          <w:color w:val="000000"/>
          <w:sz w:val="30"/>
        </w:rPr>
        <w:t>10 Протокол выполнения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932000" cy="5833549"/>
            <wp:docPr id="6" name="Picture 6" descr="Рисунок 5 — Фактический вывод результатов в командной строке Enge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_summa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5833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 w:line="264" w:lineRule="auto"/>
        <w:ind w:firstLine="0"/>
        <w:jc w:val="center"/>
      </w:pPr>
      <w:r>
        <w:rPr>
          <w:rFonts w:ascii="Times New Roman" w:hAnsi="Times New Roman" w:eastAsia="Times New Roman"/>
          <w:i/>
          <w:color w:val="000000"/>
          <w:sz w:val="20"/>
        </w:rPr>
        <w:t>Рисунок 5 — Фактический вывод результатов в командной строке Engee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Фактическое обучение одной модели: 32,68 с; длительности всех запусков находятся в training_times.json. Гипотеза записана раньше всех начал обучения, что проверяется автоматически по временным отметкам UTC+3.</w:t>
      </w:r>
    </w:p>
    <w:p>
      <w:pPr>
        <w:pStyle w:val="1"/>
        <w:keepNext/>
        <w:pageBreakBefore/>
        <w:spacing w:before="240" w:after="120"/>
      </w:pPr>
      <w:r>
        <w:rPr>
          <w:rFonts w:ascii="Times New Roman" w:hAnsi="Times New Roman" w:eastAsia="Times New Roman"/>
          <w:b/>
          <w:color w:val="000000"/>
          <w:sz w:val="30"/>
        </w:rPr>
        <w:t>11 Происхождение и воспроизводимость</w:t>
      </w:r>
    </w:p>
    <w:p>
      <w:pPr>
        <w:pStyle w:val="21"/>
        <w:keepNext/>
        <w:spacing w:before="160" w:after="120"/>
      </w:pPr>
      <w:r>
        <w:rPr>
          <w:rFonts w:ascii="Times New Roman" w:hAnsi="Times New Roman" w:eastAsia="Times New Roman"/>
          <w:b/>
          <w:color w:val="000000"/>
          <w:sz w:val="24"/>
        </w:rPr>
        <w:t>11.1 Происхождение и индивидуальная работа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Внешние изображения и предобученные веса не используются. Методичка, lab07_lib.py, lab08_lib.py и lab08_demo.py предоставлены как учебные материалы; отдельная лицензия в комплекте не указана. Оригиналы сохранены побайтово. При публикации не заявляется новая лицензия на чужой учебный код. Результаты демонстрационных журналов преподавателя не использованы вместо собственных измерений.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Индивидуальная часть включает программу варианта 13, сохранение первичных ошибок и поосевой диагностики, контроль дат и хешей, дополнительную проверку шума, повтор seed 101, независимый пересчёт и интерпретацию результатов. Метод и учебная архитектура взяты из предоставленных библиотек.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2"/>
        </w:rPr>
        <w:t>В комплект входят README с относительными командами запуска, src/original с учебными файлами, run_lab08.py и start_engee.jl, паспорт, среда, журналы, JSON и NPZ первичных измерений, веса трёх моделей seed 101, листы сравнения, выполненный экспорт ZIP, проверочные программы и MANIFEST.sha256. Методичка и контрольные ответы находятся в docs, отчёт — в reports.</w:t>
      </w:r>
    </w:p>
    <w:p>
      <w:pPr>
        <w:pStyle w:val="21"/>
        <w:keepNext/>
        <w:spacing w:before="160" w:after="120"/>
      </w:pPr>
      <w:r>
        <w:rPr>
          <w:rFonts w:ascii="Times New Roman" w:hAnsi="Times New Roman" w:eastAsia="Times New Roman"/>
          <w:b/>
          <w:color w:val="000000"/>
          <w:sz w:val="24"/>
        </w:rPr>
        <w:t>11.2 Паспорт и повторение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3969"/>
        <w:gridCol w:w="5556"/>
      </w:tblGrid>
      <w:tr>
        <w:trPr>
          <w:tblHeader/>
          <w:cantSplit/>
        </w:trPr>
        <w:tc>
          <w:tcPr>
            <w:tcW w:type="dxa" w:w="3969"/>
            <w:vAlign w:val="center"/>
            <w:shd w:fill="EDEDED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Файл</w:t>
            </w:r>
          </w:p>
        </w:tc>
        <w:tc>
          <w:tcPr>
            <w:tcW w:type="dxa" w:w="5556"/>
            <w:vAlign w:val="center"/>
            <w:shd w:fill="EDEDED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SHA-256 начало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lab07_lib.py</w:t>
            </w:r>
          </w:p>
        </w:tc>
        <w:tc>
          <w:tcPr>
            <w:tcW w:type="dxa" w:w="555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d84b83a878f55e95289d76a7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lab08_lib.py</w:t>
            </w:r>
          </w:p>
        </w:tc>
        <w:tc>
          <w:tcPr>
            <w:tcW w:type="dxa" w:w="555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f414c49bd0df4eb3aae1f822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lab08_demo.py</w:t>
            </w:r>
          </w:p>
        </w:tc>
        <w:tc>
          <w:tcPr>
            <w:tcW w:type="dxa" w:w="555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8ab781bf6a0e71fb9c007e2a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run_lab08.py</w:t>
            </w:r>
          </w:p>
        </w:tc>
        <w:tc>
          <w:tcPr>
            <w:tcW w:type="dxa" w:w="555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4e4d7988f05f6801d272cff0</w:t>
            </w:r>
          </w:p>
        </w:tc>
      </w:tr>
    </w:tbl>
    <w:p>
      <w:pPr>
        <w:keepNext w:val="0"/>
        <w:spacing w:after="40" w:line="264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6"/>
        </w:rPr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1"/>
        </w:rPr>
        <w:t>Полные SHA-256 сохранены в паспорте и журнале среды. Повтор выполняется в новой папке, чтобы сохранить первоначальные даты, измерения и ручные пояснения. Для проверки готового комплекта обучение и доступ к Engee не требуются.</w:t>
      </w:r>
    </w:p>
    <w:p>
      <w:pPr>
        <w:keepNext w:val="0"/>
        <w:spacing w:after="80" w:line="264" w:lineRule="auto"/>
        <w:ind w:firstLine="0"/>
        <w:jc w:val="left"/>
      </w:pPr>
      <w:r>
        <w:rPr>
          <w:rFonts w:ascii="Courier New" w:hAnsi="Courier New" w:eastAsia="Courier New"/>
          <w:color w:val="000000"/>
          <w:sz w:val="18"/>
        </w:rPr>
        <w:t>python -B tools/verify_submission.py</w:t>
      </w:r>
    </w:p>
    <w:p>
      <w:pPr>
        <w:keepNext w:val="0"/>
        <w:spacing w:after="80" w:line="264" w:lineRule="auto"/>
        <w:ind w:firstLine="0"/>
        <w:jc w:val="left"/>
      </w:pPr>
      <w:r>
        <w:rPr>
          <w:rFonts w:ascii="Courier New" w:hAnsi="Courier New" w:eastAsia="Courier New"/>
          <w:color w:val="000000"/>
          <w:sz w:val="18"/>
        </w:rPr>
        <w:t>mkdir repeat_run</w:t>
        <w:br/>
        <w:t>cp src/original/lab07_lib.py src/original/lab08_lib.py repeat_run/</w:t>
        <w:br/>
        <w:t>cp src/original/lab08_demo.py src/run_lab08.py repeat_run/</w:t>
        <w:br/>
        <w:t># Все четыре файла должны находиться в repeat_run</w:t>
        <w:br/>
        <w:t>cd repeat_run</w:t>
        <w:br/>
        <w:t>python run_lab08.py</w:t>
      </w:r>
    </w:p>
    <w:p>
      <w:pPr>
        <w:pStyle w:val="21"/>
        <w:keepNext/>
        <w:spacing w:before="160" w:after="120"/>
      </w:pPr>
      <w:r>
        <w:rPr>
          <w:rFonts w:ascii="Times New Roman" w:hAnsi="Times New Roman" w:eastAsia="Times New Roman"/>
          <w:b/>
          <w:color w:val="000000"/>
          <w:sz w:val="24"/>
        </w:rPr>
        <w:t>11.3 Источники</w:t>
      </w:r>
    </w:p>
    <w:p>
      <w:pPr>
        <w:keepNext w:val="0"/>
        <w:spacing w:after="120" w:line="264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20"/>
        </w:rPr>
        <w:t>1. Лабораторная работа №8 «Генерация и интерполяция в латентном пространстве». Методические указания по дисциплине «Искусственный интеллект в креативных технологиях», 29 с., предоставленный учебный PDF, 2026.</w:t>
      </w:r>
    </w:p>
    <w:p>
      <w:pPr>
        <w:keepNext w:val="0"/>
        <w:spacing w:after="120" w:line="264" w:lineRule="auto"/>
        <w:ind w:firstLine="0"/>
        <w:jc w:val="both"/>
      </w:pPr>
      <w:r>
        <w:rPr>
          <w:rFonts w:ascii="Times New Roman" w:hAnsi="Times New Roman" w:eastAsia="Times New Roman"/>
          <w:color w:val="000000"/>
          <w:sz w:val="20"/>
        </w:rPr>
        <w:t>2. Учебные библиотеки lab07_lib.py и lab08_lib.py и демонстрационный скрипт lab08_demo.py из приложенного комплекта; контрольные суммы приведены в environment.json и журнале среды.</w:t>
      </w:r>
    </w:p>
    <w:p>
      <w:pPr>
        <w:pStyle w:val="1"/>
        <w:keepNext/>
        <w:pageBreakBefore/>
        <w:spacing w:before="240" w:after="120"/>
      </w:pPr>
      <w:r>
        <w:rPr>
          <w:rFonts w:ascii="Times New Roman" w:hAnsi="Times New Roman" w:eastAsia="Times New Roman"/>
          <w:b/>
          <w:color w:val="000000"/>
          <w:sz w:val="30"/>
        </w:rPr>
        <w:t>12 Контрольные вопросы</w:t>
      </w:r>
    </w:p>
    <w:p>
      <w:pPr>
        <w:pStyle w:val="21"/>
        <w:keepNext/>
        <w:spacing w:before="160" w:after="120"/>
      </w:pPr>
      <w:r>
        <w:rPr>
          <w:rFonts w:ascii="Times New Roman" w:hAnsi="Times New Roman" w:eastAsia="Times New Roman"/>
          <w:b/>
          <w:color w:val="000000"/>
          <w:sz w:val="24"/>
        </w:rPr>
        <w:t>1 Выход кодировщика и репараметризация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1"/>
        </w:rPr>
        <w:t>Кодировщик выдаёт μ(x) и log σ²(x) диагонального нормального распределения q(z|x). Выборка записывается как z = μ + exp(0,5 log σ²) ⊙ ε, где ε ∼ N(0,I). Шум ε не зависит от параметров сети, поэтому градиенты ошибки проходят через μ и σ.</w:t>
      </w:r>
    </w:p>
    <w:p>
      <w:pPr>
        <w:pStyle w:val="21"/>
        <w:keepNext/>
        <w:spacing w:before="160" w:after="120"/>
      </w:pPr>
      <w:r>
        <w:rPr>
          <w:rFonts w:ascii="Times New Roman" w:hAnsi="Times New Roman" w:eastAsia="Times New Roman"/>
          <w:b/>
          <w:color w:val="000000"/>
          <w:sz w:val="24"/>
        </w:rPr>
        <w:t>2 Потери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1"/>
        </w:rPr>
        <w:t>В учебной реализации складываются средняя по пакету сумма квадратов ошибок по пикселям и средний KL с весом β. Первое слагаемое сохраняет информацию об изображении; второе согласует распределение кодов с априорным и ограничивает количество передаваемой информации. Формулы обоих слагаемых приведены в разделе о модели. При β = 0 используется z = μ, то есть обычный автокодировщик. Вес KL растёт за первые десять эпох.</w:t>
      </w:r>
    </w:p>
    <w:p>
      <w:pPr>
        <w:pStyle w:val="21"/>
        <w:keepNext/>
        <w:spacing w:before="160" w:after="120"/>
      </w:pPr>
      <w:r>
        <w:rPr>
          <w:rFonts w:ascii="Times New Roman" w:hAnsi="Times New Roman" w:eastAsia="Times New Roman"/>
          <w:b/>
          <w:color w:val="000000"/>
          <w:sz w:val="24"/>
        </w:rPr>
        <w:t>3 Сэмплы обычного автокодировщика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1"/>
        </w:rPr>
        <w:t>Минимизация только реконструкции не задаёт масштаб, центр и форму распределения кодов. Векторы N(0,I) могут попасть в области, где декодировщик не обучался. При этом реконструкция и интерполяция между известными кодами могут работать. Нужны регуляризация либо оценка распределения кодов на обучающих данных.</w:t>
      </w:r>
    </w:p>
    <w:p>
      <w:pPr>
        <w:pStyle w:val="21"/>
        <w:keepNext/>
        <w:spacing w:before="160" w:after="120"/>
      </w:pPr>
      <w:r>
        <w:rPr>
          <w:rFonts w:ascii="Times New Roman" w:hAnsi="Times New Roman" w:eastAsia="Times New Roman"/>
          <w:b/>
          <w:color w:val="000000"/>
          <w:sz w:val="24"/>
        </w:rPr>
        <w:t>4 Увеличение β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1"/>
        </w:rPr>
        <w:t>Усиливается давление к N(0,I), обычно ухудшается точность реконструкции и снижается информативность кодов. Регуляризация может сделать порождение устойчивее, но улучшение интерполяции и сэмплов не гарантировано. Слишком большой β делает оси неактивными и может вызвать схлопывание. Это проверяют по отдельным seed, разбросу μ, KL по осям и метрикам.</w:t>
      </w:r>
    </w:p>
    <w:p>
      <w:pPr>
        <w:pStyle w:val="21"/>
        <w:keepNext/>
        <w:spacing w:before="160" w:after="120"/>
      </w:pPr>
      <w:r>
        <w:rPr>
          <w:rFonts w:ascii="Times New Roman" w:hAnsi="Times New Roman" w:eastAsia="Times New Roman"/>
          <w:b/>
          <w:color w:val="000000"/>
          <w:sz w:val="24"/>
        </w:rPr>
        <w:t>5 Латентная интерполяция и пиксельная смесь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1"/>
        </w:rPr>
        <w:t>Пиксельная смесь взвешивает сами изображения коэффициентами 1−t и t; это накладывает изображения и часто даёт два полупрозрачных объекта. Латентная интерполяция сначала взвешивает коды, затем пропускает результат через декодировщик и может породить один промежуточный объект. Его геометрическая правильность не гарантирована; для синтетических сцен её проверяют относительно изображения промежуточных факторов.</w:t>
      </w:r>
    </w:p>
    <w:p>
      <w:pPr>
        <w:pStyle w:val="1"/>
        <w:keepNext/>
        <w:pageBreakBefore/>
        <w:spacing w:before="240" w:after="120"/>
      </w:pPr>
      <w:r>
        <w:rPr>
          <w:rFonts w:ascii="Times New Roman" w:hAnsi="Times New Roman" w:eastAsia="Times New Roman"/>
          <w:b/>
          <w:color w:val="000000"/>
          <w:sz w:val="30"/>
        </w:rPr>
        <w:t>12 Контрольные вопросы продолжение</w:t>
      </w:r>
    </w:p>
    <w:p>
      <w:pPr>
        <w:pStyle w:val="21"/>
        <w:keepNext/>
        <w:spacing w:before="160" w:after="120"/>
      </w:pPr>
      <w:r>
        <w:rPr>
          <w:rFonts w:ascii="Times New Roman" w:hAnsi="Times New Roman" w:eastAsia="Times New Roman"/>
          <w:b/>
          <w:color w:val="000000"/>
          <w:sz w:val="24"/>
        </w:rPr>
        <w:t>6 Линейная и сферическая интерполяции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1"/>
        </w:rPr>
        <w:t>Линейная идёт по отрезку; сферическая использует угловые веса sin((1−t)Ω)/sin Ω и sin(tΩ)/sin Ω. При равных нормах сферическая сохраняет радиус, линейная обычно приближается к центру. При разных нормах точного сохранения радиуса нет. Различия зависят от угла, норм и декодировщика; при почти коллинеарных векторах библиотека использует линейный путь. Большая норма сама по себе не определяет преимущество метода.</w:t>
      </w:r>
    </w:p>
    <w:p>
      <w:pPr>
        <w:pStyle w:val="21"/>
        <w:keepNext/>
        <w:spacing w:before="160" w:after="120"/>
      </w:pPr>
      <w:r>
        <w:rPr>
          <w:rFonts w:ascii="Times New Roman" w:hAnsi="Times New Roman" w:eastAsia="Times New Roman"/>
          <w:b/>
          <w:color w:val="000000"/>
          <w:sz w:val="24"/>
        </w:rPr>
        <w:t>7 KL одной оси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1"/>
        </w:rPr>
        <w:t>При μ = 0,5 и σ = 1: KL = −½(1 + ln 1 − 0,5² − 1) = 0,125 нат.</w:t>
      </w:r>
    </w:p>
    <w:p>
      <w:pPr>
        <w:pStyle w:val="21"/>
        <w:keepNext/>
        <w:spacing w:before="160" w:after="120"/>
      </w:pPr>
      <w:r>
        <w:rPr>
          <w:rFonts w:ascii="Times New Roman" w:hAnsi="Times New Roman" w:eastAsia="Times New Roman"/>
          <w:b/>
          <w:color w:val="000000"/>
          <w:sz w:val="24"/>
        </w:rPr>
        <w:t>8 Контроль для способа интерполяции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1"/>
        </w:rPr>
        <w:t>При неизменной обученной модели способ построения пути меняет только промежуточные z. Реконструкция D(μ(x)), случайные сэмплы с тем же seed и линейная регрессия факторов используют прежние данные. Поэтому реконструкция, сэмплы и R² имеют Δ = 0 и служат контролем. В основном опыте с β все четыре метрики могут измениться.</w:t>
      </w:r>
    </w:p>
    <w:p>
      <w:pPr>
        <w:pStyle w:val="21"/>
        <w:keepNext/>
        <w:spacing w:before="160" w:after="120"/>
      </w:pPr>
      <w:r>
        <w:rPr>
          <w:rFonts w:ascii="Times New Roman" w:hAnsi="Times New Roman" w:eastAsia="Times New Roman"/>
          <w:b/>
          <w:color w:val="000000"/>
          <w:sz w:val="24"/>
        </w:rPr>
        <w:t>9 Активная ось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1"/>
        </w:rPr>
        <w:t>В этой работе ось активна, если средний на тесте KL по этой оси больше 0,05 нат. Дополнительно измеряется выборочное стандартное отклонение соответствующей компоненты μ. Малый разброс μ вместе с малым KL указывает на неинформативную ось. Активность не доказывает, что ось соответствует одному независимому фактору. Для β = 0 голова дисперсии не обучается; число активных осей по такому KL не интерпретируется.</w:t>
      </w:r>
    </w:p>
    <w:p>
      <w:pPr>
        <w:pStyle w:val="21"/>
        <w:keepNext/>
        <w:spacing w:before="160" w:after="120"/>
      </w:pPr>
      <w:r>
        <w:rPr>
          <w:rFonts w:ascii="Times New Roman" w:hAnsi="Times New Roman" w:eastAsia="Times New Roman"/>
          <w:b/>
          <w:color w:val="000000"/>
          <w:sz w:val="24"/>
        </w:rPr>
        <w:t>10 Паспорт для повторения</w:t>
      </w:r>
    </w:p>
    <w:p>
      <w:pPr>
        <w:keepNext w:val="0"/>
        <w:spacing w:after="120" w:line="264" w:lineRule="auto"/>
        <w:ind w:firstLine="459"/>
        <w:jc w:val="both"/>
      </w:pPr>
      <w:r>
        <w:rPr>
          <w:rFonts w:ascii="Times New Roman" w:hAnsi="Times New Roman" w:eastAsia="Times New Roman"/>
          <w:color w:val="000000"/>
          <w:sz w:val="21"/>
        </w:rPr>
        <w:t>Нужны исходники и их SHA-256, алгоритм генерации и разбиение 4096/1024, seed данных 7, обучения 101–105, пар 11 и сэмплов 1000+seed, архитектура d = 8, β обоих режимов, Adam и lr = 0,002, batch = 128, 30 эпох и warmup = 10, t = 0,25/0,5/0,75, 200 пар и 256 сэмплов, определения метрик и порог активности. Также сохраняются гипотеза, допуски, первичные измерения, версии Python/PyTorch/NumPy/Pillow/Julia/Engee, устройство, число потоков и фактические даты. Веса помогают отдельно проверить вычисления без повторного обучения; время зависит от оборудования.</w:t>
      </w:r>
    </w:p>
    <w:sectPr w:rsidR="009E7411" w:rsidRPr="00052455" w:rsidSect="00034616">
      <w:footerReference w:type="default" r:id="rId11"/>
      <w:pgSz w:w="11909" w:h="16834"/>
      <w:pgMar w:top="1080" w:right="1080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76A00" w:rsidRDefault="00E76A00">
      <w:pPr>
        <w:spacing w:after="0" w:line="240" w:lineRule="auto"/>
      </w:pPr>
      <w:r>
        <w:separator/>
      </w:r>
    </w:p>
  </w:endnote>
  <w:endnote w:type="continuationSeparator" w:id="0">
    <w:p w:rsidR="00E76A00" w:rsidRDefault="00E76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E7411" w:rsidRDefault="00000000">
    <w:pPr>
      <w:pStyle w:val="a7"/>
      <w:jc w:val="center"/>
    </w:pPr>
    <w:r>
      <w:rPr>
        <w:rFonts w:eastAsia="Times New Roman"/>
        <w:sz w:val="18"/>
      </w:rPr>
      <w:fldChar w:fldCharType="begin"/>
    </w:r>
    <w:r>
      <w:rPr>
        <w:rFonts w:eastAsia="Times New Roman"/>
        <w:sz w:val="18"/>
      </w:rPr>
      <w:instrText>PAGE</w:instrText>
    </w:r>
    <w:r w:rsidR="00052455">
      <w:rPr>
        <w:rFonts w:eastAsia="Times New Roman"/>
        <w:sz w:val="18"/>
      </w:rPr>
      <w:fldChar w:fldCharType="separate"/>
    </w:r>
    <w:r w:rsidR="00052455">
      <w:rPr>
        <w:rFonts w:eastAsia="Times New Roman"/>
        <w:noProof/>
        <w:sz w:val="18"/>
      </w:rPr>
      <w:t>2</w:t>
    </w:r>
    <w:r>
      <w:rPr>
        <w:rFonts w:eastAsia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76A00" w:rsidRDefault="00E76A00">
      <w:pPr>
        <w:spacing w:after="0" w:line="240" w:lineRule="auto"/>
      </w:pPr>
      <w:r>
        <w:separator/>
      </w:r>
    </w:p>
  </w:footnote>
  <w:footnote w:type="continuationSeparator" w:id="0">
    <w:p w:rsidR="00E76A00" w:rsidRDefault="00E76A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534147">
    <w:abstractNumId w:val="8"/>
  </w:num>
  <w:num w:numId="2" w16cid:durableId="613639278">
    <w:abstractNumId w:val="6"/>
  </w:num>
  <w:num w:numId="3" w16cid:durableId="165827415">
    <w:abstractNumId w:val="5"/>
  </w:num>
  <w:num w:numId="4" w16cid:durableId="476189246">
    <w:abstractNumId w:val="4"/>
  </w:num>
  <w:num w:numId="5" w16cid:durableId="1427994545">
    <w:abstractNumId w:val="7"/>
  </w:num>
  <w:num w:numId="6" w16cid:durableId="1109474643">
    <w:abstractNumId w:val="3"/>
  </w:num>
  <w:num w:numId="7" w16cid:durableId="899093537">
    <w:abstractNumId w:val="2"/>
  </w:num>
  <w:num w:numId="8" w16cid:durableId="1413089801">
    <w:abstractNumId w:val="1"/>
  </w:num>
  <w:num w:numId="9" w16cid:durableId="800268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455"/>
    <w:rsid w:val="0006063C"/>
    <w:rsid w:val="0015074B"/>
    <w:rsid w:val="0029639D"/>
    <w:rsid w:val="00326F90"/>
    <w:rsid w:val="009E7411"/>
    <w:rsid w:val="00AA1D8D"/>
    <w:rsid w:val="00B47730"/>
    <w:rsid w:val="00CB0664"/>
    <w:rsid w:val="00E41D3C"/>
    <w:rsid w:val="00E76A00"/>
    <w:rsid w:val="00ED10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36CFC5F"/>
  <w14:defaultImageDpi w14:val="300"/>
  <w15:docId w15:val="{9B69DC54-31E2-C848-9D03-325C43EBEBA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052455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052455"/>
    <w:rPr>
      <w:rFonts w:ascii="Times New Roman" w:eastAsiaTheme="majorEastAsia" w:hAnsi="Times New Roman" w:cstheme="majorBidi"/>
      <w:b/>
      <w:bCs/>
      <w:color w:val="000000"/>
      <w:sz w:val="30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python-docx</Application>
  <DocSecurity>0</DocSecurity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 Генерация и интерполяция в латентном пространстве</dc:title>
  <dc:subject>Вариант 13 disc_noise beta 1 → 8</dc:subject>
  <dc:creator>Рясной Владимир Олегович</dc:creator>
  <cp:keywords/>
  <dc:description/>
  <cp:lastModifiedBy>Рясной Владимир Олегович</cp:lastModifiedBy>
  <cp:revision>2</cp:revision>
  <dcterms:created xsi:type="dcterms:W3CDTF">2026-10-29T09:27:03Z</dcterms:created>
  <dcterms:modified xsi:type="dcterms:W3CDTF">2026-10-29T09:27:03Z</dcterms:modified>
  <cp:category/>
</cp:coreProperties>
</file>