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2.</w:t>
      </w:r>
      <w:r>
        <w:t xml:space="preserve"> </w:t>
      </w:r>
      <w:r>
        <w:t xml:space="preserve">Карточка</w:t>
      </w:r>
      <w:r>
        <w:t xml:space="preserve"> </w:t>
      </w:r>
      <w:r>
        <w:t xml:space="preserve">модели,</w:t>
      </w:r>
      <w:r>
        <w:t xml:space="preserve"> </w:t>
      </w:r>
      <w:r>
        <w:t xml:space="preserve">лицензии,</w:t>
      </w:r>
      <w:r>
        <w:t xml:space="preserve"> </w:t>
      </w:r>
      <w:r>
        <w:t xml:space="preserve">происхождение</w:t>
      </w:r>
      <w:r>
        <w:t xml:space="preserve"> </w:t>
      </w:r>
      <w:r>
        <w:t xml:space="preserve">данных</w:t>
      </w:r>
      <w:r>
        <w:t xml:space="preserve"> </w:t>
      </w:r>
      <w:r>
        <w:t xml:space="preserve">и</w:t>
      </w:r>
      <w:r>
        <w:t xml:space="preserve"> </w:t>
      </w:r>
      <w:r>
        <w:t xml:space="preserve">анализ</w:t>
      </w:r>
      <w:r>
        <w:t xml:space="preserve"> </w:t>
      </w:r>
      <w:r>
        <w:t xml:space="preserve">рисков</w:t>
      </w:r>
    </w:p>
    <w:p>
      <w:pPr>
        <w:pStyle w:val="ac"/>
      </w:pPr>
      <w:r>
        <w:t xml:space="preserve">Методические</w:t>
      </w:r>
      <w:r>
        <w:t xml:space="preserve"> </w:t>
      </w:r>
      <w:r>
        <w:t xml:space="preserve">указания.</w:t>
      </w:r>
      <w:r>
        <w:t xml:space="preserve"> </w:t>
      </w:r>
      <w:r>
        <w:t xml:space="preserve">Дисциплина</w:t>
      </w:r>
      <w:r>
        <w:t xml:space="preserve"> </w:t>
      </w:r>
      <w:r>
        <w:t xml:space="preserve">«Искусственный</w:t>
      </w:r>
      <w:r>
        <w:t xml:space="preserve"> </w:t>
      </w:r>
      <w:r>
        <w:t xml:space="preserve">интеллект</w:t>
      </w:r>
      <w:r>
        <w:t xml:space="preserve"> </w:t>
      </w:r>
      <w:r>
        <w:t xml:space="preserve">в</w:t>
      </w:r>
      <w:r>
        <w:t xml:space="preserve"> </w:t>
      </w:r>
      <w:r>
        <w:t xml:space="preserve">креативных</w:t>
      </w:r>
      <w:r>
        <w:t xml:space="preserve"> </w:t>
      </w:r>
      <w:r>
        <w:t xml:space="preserve">технологиях»,</w:t>
      </w:r>
      <w:r>
        <w:t xml:space="preserve"> </w:t>
      </w:r>
      <w:r>
        <w:t xml:space="preserve">09.04.02</w:t>
      </w:r>
      <w:r>
        <w:t xml:space="preserve"> </w:t>
      </w:r>
      <w:r>
        <w:t xml:space="preserve">Информационные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и</w:t>
      </w:r>
      <w:r>
        <w:t xml:space="preserve"> </w:t>
      </w:r>
      <w:r>
        <w:t xml:space="preserve">технологии,</w:t>
      </w:r>
      <w:r>
        <w:t xml:space="preserve"> </w:t>
      </w:r>
      <w:r>
        <w:t xml:space="preserve">семестр</w:t>
      </w:r>
      <w:r>
        <w:t xml:space="preserve"> </w:t>
      </w:r>
      <w:r>
        <w:t xml:space="preserve">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f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778"/>
        <w:gridCol w:w="7860"/>
      </w:tblGrid>
      <w:tr>
        <w:trPr>
          <w:tblHeader w:val="true"/>
          <w:tblHeader w:val="true"/>
          <w:cantSplit w:val="true"/>
        </w:trPr>
        <w:tc>
          <w:tcPr>
            <w:tcW w:type="dxa" w:w="177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>
            <w:tcW w:type="dxa" w:w="786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Содержание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Продолжительность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 академических часа (аудиторная работа); оформление отчёта — самостоятельно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Форма работы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индивидуально; вариант назначается по номеру в журнале группы (варианты 1–30)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Связь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лекция 2 (четыре языка ответственного решения, происхождение данных и лицензии, авторство, риски, маркировка); ЛР 1 (паспорт эксперимента и учебный генератор — предмет карточки модели); лекции 1 и 15 (паспорт, реестр рисков)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Индикаторы компетенций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ПК-6.1 (декомпозиция задачи, ведение перечня задач и рисков, базовый уровень); ПК-8.2 (подготовка карточки набора данных и разметки, базовый уровень); ПК-11.1 (безопасная работа с данными и зависимостями, базовый уровень)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Контроль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файлы артефактов, устная защита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Программное обеспечение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Python 3.10 или новее, стандартная библиотека; текстовый редактор; результаты ЛР 1 (паспорт эксперимента)</w:t>
            </w:r>
          </w:p>
        </w:tc>
      </w:tr>
    </w:tbl>
    <w:bookmarkStart w:id="20" w:name="цель-и-результаты"/>
    <w:p>
      <w:pPr>
        <w:pStyle w:val="1"/>
      </w:pPr>
      <w:r>
        <w:t xml:space="preserve">1. Цель и результаты</w:t>
      </w:r>
    </w:p>
    <w:p>
      <w:pPr>
        <w:pStyle w:val="FirstParagraph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документировать происхождение и права на данные и модель так, чтобы решение об их использовании можно было проверить: составить паспорт набора данных и карточку модели, найти и разобрать конфликты лицензий и пробелы происхождения, описать риски по признанному перечню.</w:t>
      </w:r>
    </w:p>
    <w:p>
      <w:pPr>
        <w:pStyle w:val="af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После работы студент:</w:t>
      </w:r>
    </w:p>
    <w:p>
      <w:pPr>
        <w:numPr>
          <w:ilvl w:val="0"/>
          <w:numId w:val="1001"/>
        </w:numPr>
        <w:pStyle w:val="Compact"/>
      </w:pPr>
      <w:r>
        <w:t xml:space="preserve">различает лицензию на входные данные, лицензию на веса модели и права на результат (лекция 2) и записывает их раздельно;</w:t>
      </w:r>
    </w:p>
    <w:p>
      <w:pPr>
        <w:numPr>
          <w:ilvl w:val="0"/>
          <w:numId w:val="1001"/>
        </w:numPr>
        <w:pStyle w:val="Compact"/>
      </w:pPr>
      <w:r>
        <w:t xml:space="preserve">проверяет манифест набора данных на пробелы происхождения, конфликты лицензий и персональные данные по заданной политике использования;</w:t>
      </w:r>
    </w:p>
    <w:p>
      <w:pPr>
        <w:numPr>
          <w:ilvl w:val="0"/>
          <w:numId w:val="1001"/>
        </w:numPr>
        <w:pStyle w:val="Compact"/>
      </w:pPr>
      <w:r>
        <w:t xml:space="preserve">принимает и обосновывает решение по каждой находке (исключить, запросить разрешение, заменить, принять с последствиями) и отделяет инженерное решение от юридического вопроса;</w:t>
      </w:r>
    </w:p>
    <w:p>
      <w:pPr>
        <w:numPr>
          <w:ilvl w:val="0"/>
          <w:numId w:val="1001"/>
        </w:numPr>
        <w:pStyle w:val="Compact"/>
      </w:pPr>
      <w:r>
        <w:t xml:space="preserve">составляет паспорт набора данных (7 разделов) и карточку модели (9 разделов);</w:t>
      </w:r>
    </w:p>
    <w:p>
      <w:pPr>
        <w:numPr>
          <w:ilvl w:val="0"/>
          <w:numId w:val="1001"/>
        </w:numPr>
        <w:pStyle w:val="Compact"/>
      </w:pPr>
      <w:r>
        <w:t xml:space="preserve">составляет реестр не менее пяти рисков по 12 группам рисков генеративного ИИ NIST AI 600-1 с оценкой, мерой, ответственным и признаком наступления;</w:t>
      </w:r>
    </w:p>
    <w:p>
      <w:pPr>
        <w:numPr>
          <w:ilvl w:val="0"/>
          <w:numId w:val="1001"/>
        </w:numPr>
        <w:pStyle w:val="Compact"/>
      </w:pPr>
      <w:r>
        <w:t xml:space="preserve">называет пределы автоматической проверки: она не заменяет юриста и экспертизу.</w:t>
      </w:r>
    </w:p>
    <w:bookmarkEnd w:id="20"/>
    <w:bookmarkStart w:id="26" w:name="теоретический-минимум"/>
    <w:p>
      <w:pPr>
        <w:pStyle w:val="1"/>
      </w:pPr>
      <w:r>
        <w:t xml:space="preserve">2. Теоретический минимум</w:t>
      </w:r>
    </w:p>
    <w:bookmarkStart w:id="21" w:name="три-сущности-которые-нельзя-смешивать"/>
    <w:p>
      <w:pPr>
        <w:pStyle w:val="21"/>
      </w:pPr>
      <w:r>
        <w:t xml:space="preserve">2.1. Три сущности, которые нельзя смешивать</w:t>
      </w:r>
    </w:p>
    <w:p>
      <w:pPr>
        <w:pStyle w:val="FirstParagraph"/>
      </w:pPr>
      <w:r>
        <w:t xml:space="preserve">В лекции 2 введено различие: лицензия на</w:t>
      </w:r>
      <w:r>
        <w:t xml:space="preserve"> </w:t>
      </w:r>
      <w:r>
        <w:rPr>
          <w:bCs/>
          <w:b/>
        </w:rPr>
        <w:t xml:space="preserve">входные данные</w:t>
      </w:r>
      <w:r>
        <w:t xml:space="preserve"> </w:t>
      </w:r>
      <w:r>
        <w:t xml:space="preserve">(что можно делать с исходными материалами), лицензия на</w:t>
      </w:r>
      <w:r>
        <w:t xml:space="preserve"> </w:t>
      </w:r>
      <w:r>
        <w:rPr>
          <w:bCs/>
          <w:b/>
        </w:rPr>
        <w:t xml:space="preserve">веса модели</w:t>
      </w:r>
      <w:r>
        <w:t xml:space="preserve"> </w:t>
      </w:r>
      <w:r>
        <w:t xml:space="preserve">(что можно делать с моделью) и права на</w:t>
      </w:r>
      <w:r>
        <w:t xml:space="preserve"> </w:t>
      </w:r>
      <w:r>
        <w:rPr>
          <w:bCs/>
          <w:b/>
        </w:rPr>
        <w:t xml:space="preserve">результат генерации</w:t>
      </w:r>
      <w:r>
        <w:t xml:space="preserve">. Ошибка «данные открытые, значит, и результат свободен» ведёт к нарушениям. В этой работе главный предмет анализа — входные данные набора и документация модели; права на результат остаются вопросом, который решается по актуальным нормам и условиям сервиса и в автоматической проверке не разрешается.</w:t>
      </w:r>
    </w:p>
    <w:bookmarkEnd w:id="21"/>
    <w:bookmarkStart w:id="22" w:name="X8f3e2af14e91cb74ca7a3b7ee1b633dda04bff0"/>
    <w:p>
      <w:pPr>
        <w:pStyle w:val="21"/>
      </w:pPr>
      <w:r>
        <w:t xml:space="preserve">2.2. Условия лицензий Creative Commons и идентификаторы SPDX</w:t>
      </w:r>
    </w:p>
    <w:p>
      <w:pPr>
        <w:pStyle w:val="FirstParagraph"/>
      </w:pPr>
      <w:r>
        <w:t xml:space="preserve">Creative Commons описывает условия лицензий четырьмя элементами (страница creativecommons.org, проверено 19.09.2026):</w:t>
      </w:r>
      <w:r>
        <w:t xml:space="preserve"> </w:t>
      </w:r>
      <w:r>
        <w:rPr>
          <w:bCs/>
          <w:b/>
        </w:rPr>
        <w:t xml:space="preserve">Attribution (BY)</w:t>
      </w:r>
      <w:r>
        <w:t xml:space="preserve"> </w:t>
      </w:r>
      <w:r>
        <w:t xml:space="preserve">— обязательно указать автора;</w:t>
      </w:r>
      <w:r>
        <w:t xml:space="preserve"> </w:t>
      </w:r>
      <w:r>
        <w:rPr>
          <w:bCs/>
          <w:b/>
        </w:rPr>
        <w:t xml:space="preserve">ShareAlike (SA)</w:t>
      </w:r>
      <w:r>
        <w:t xml:space="preserve"> </w:t>
      </w:r>
      <w:r>
        <w:t xml:space="preserve">— адаптации нужно распространять на тех же условиях;</w:t>
      </w:r>
      <w:r>
        <w:t xml:space="preserve"> </w:t>
      </w:r>
      <w:r>
        <w:rPr>
          <w:bCs/>
          <w:b/>
        </w:rPr>
        <w:t xml:space="preserve">NonCommercial (NC)</w:t>
      </w:r>
      <w:r>
        <w:t xml:space="preserve"> </w:t>
      </w:r>
      <w:r>
        <w:t xml:space="preserve">— допускается только некоммерческое использование, то есть не имеющее основной целью коммерческую выгоду или денежное вознаграждение;</w:t>
      </w:r>
      <w:r>
        <w:t xml:space="preserve"> </w:t>
      </w:r>
      <w:r>
        <w:rPr>
          <w:bCs/>
          <w:b/>
        </w:rPr>
        <w:t xml:space="preserve">NoDerivatives (ND)</w:t>
      </w:r>
      <w:r>
        <w:t xml:space="preserve"> </w:t>
      </w:r>
      <w:r>
        <w:t xml:space="preserve">— производные и адаптации не допускаются. Отдельно</w:t>
      </w:r>
      <w:r>
        <w:t xml:space="preserve"> </w:t>
      </w:r>
      <w:r>
        <w:rPr>
          <w:bCs/>
          <w:b/>
        </w:rPr>
        <w:t xml:space="preserve">CC0</w:t>
      </w:r>
      <w:r>
        <w:t xml:space="preserve"> </w:t>
      </w:r>
      <w:r>
        <w:t xml:space="preserve">— отказ от прав, использование без обязательного указания автора и без разрешения.</w:t>
      </w:r>
    </w:p>
    <w:p>
      <w:pPr>
        <w:pStyle w:val="af"/>
      </w:pPr>
      <w:r>
        <w:t xml:space="preserve">Идентификаторы лицензий записываются в стандартном виде SPDX (например,</w:t>
      </w:r>
      <w:r>
        <w:t xml:space="preserve"> </w:t>
      </w:r>
      <w:r>
        <w:rPr>
          <w:rStyle w:val="VerbatimChar"/>
        </w:rPr>
        <w:t xml:space="preserve">CC-BY-4.0</w:t>
      </w:r>
      <w:r>
        <w:t xml:space="preserve">); в списке SPDX License List (версия 3.29.0 от 16.09.2026) присутствуют, в частности,</w:t>
      </w:r>
      <w:r>
        <w:t xml:space="preserve"> </w:t>
      </w:r>
      <w:r>
        <w:rPr>
          <w:rStyle w:val="VerbatimChar"/>
        </w:rPr>
        <w:t xml:space="preserve">CC0-1.0</w:t>
      </w:r>
      <w:r>
        <w:t xml:space="preserve">,</w:t>
      </w:r>
      <w:r>
        <w:t xml:space="preserve"> </w:t>
      </w:r>
      <w:r>
        <w:rPr>
          <w:rStyle w:val="VerbatimChar"/>
        </w:rPr>
        <w:t xml:space="preserve">CC-BY-4.0</w:t>
      </w:r>
      <w:r>
        <w:t xml:space="preserve">,</w:t>
      </w:r>
      <w:r>
        <w:t xml:space="preserve"> </w:t>
      </w:r>
      <w:r>
        <w:rPr>
          <w:rStyle w:val="VerbatimChar"/>
        </w:rPr>
        <w:t xml:space="preserve">CC-BY-SA-4.0</w:t>
      </w:r>
      <w:r>
        <w:t xml:space="preserve">,</w:t>
      </w:r>
      <w:r>
        <w:t xml:space="preserve"> </w:t>
      </w:r>
      <w:r>
        <w:rPr>
          <w:rStyle w:val="VerbatimChar"/>
        </w:rPr>
        <w:t xml:space="preserve">CC-BY-NC-4.0</w:t>
      </w:r>
      <w:r>
        <w:t xml:space="preserve">,</w:t>
      </w:r>
      <w:r>
        <w:t xml:space="preserve"> </w:t>
      </w:r>
      <w:r>
        <w:rPr>
          <w:rStyle w:val="VerbatimChar"/>
        </w:rPr>
        <w:t xml:space="preserve">CC-BY-ND-4.0</w:t>
      </w:r>
      <w:r>
        <w:t xml:space="preserve">,</w:t>
      </w:r>
      <w:r>
        <w:t xml:space="preserve"> </w:t>
      </w:r>
      <w:r>
        <w:rPr>
          <w:rStyle w:val="VerbatimChar"/>
        </w:rPr>
        <w:t xml:space="preserve">CC-BY-NC-SA-4.0</w:t>
      </w:r>
      <w:r>
        <w:t xml:space="preserve">,</w:t>
      </w:r>
      <w:r>
        <w:t xml:space="preserve"> </w:t>
      </w:r>
      <w:r>
        <w:rPr>
          <w:rStyle w:val="VerbatimChar"/>
        </w:rPr>
        <w:t xml:space="preserve">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Apache-2.0</w:t>
      </w:r>
      <w:r>
        <w:t xml:space="preserve">. Запись «CC BY 4» или «free-to-use» идентификатором SPDX не является: ей нельзя доверять без уточнения.</w:t>
      </w:r>
    </w:p>
    <w:p>
      <w:pPr>
        <w:pStyle w:val="af"/>
      </w:pPr>
      <w:r>
        <w:rPr>
          <w:bCs/>
          <w:b/>
        </w:rPr>
        <w:t xml:space="preserve">Учебная модель проверки.</w:t>
      </w:r>
      <w:r>
        <w:t xml:space="preserve"> </w:t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lab02_audit.py</w:t>
      </w:r>
      <w:r>
        <w:t xml:space="preserve"> </w:t>
      </w:r>
      <w:r>
        <w:t xml:space="preserve">сопоставляет условия лицензий с политикой использования набора и применяет правила: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195"/>
        <w:gridCol w:w="6782"/>
        <w:gridCol w:w="1661"/>
      </w:tblGrid>
      <w:tr>
        <w:trPr>
          <w:tblHeader w:val="true"/>
          <w:tblHeader w:val="true"/>
          <w:cantSplit w:val="true"/>
        </w:trPr>
        <w:tc>
          <w:tcPr>
            <w:tcW w:type="dxa" w:w="119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Правило</w:t>
            </w:r>
          </w:p>
        </w:tc>
        <w:tc>
          <w:tcPr>
            <w:tcW w:type="dxa" w:w="6782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Что проверяется</w:t>
            </w:r>
          </w:p>
        </w:tc>
        <w:tc>
          <w:tcPr>
            <w:tcW w:type="dxa" w:w="166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Уровень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R1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лицензия не указана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R2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идентификатор не из каталога учебной работы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условие NC при коммерческом использовании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R4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условие ND при создании производных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R5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условие SA при создании производных, если передача на тех же условиях недопустима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R6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персональные данные без документа-согласия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R7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согласие есть, но набор публикуется: проверить охват и срок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R8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указан источник или дата получения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R9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совпадающая контрольная сумма (дубликат)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</w:t>
            </w:r>
          </w:p>
        </w:tc>
      </w:tr>
      <w:tr>
        <w:trPr>
          <w:cantSplit w:val="true"/>
        </w:trPr>
        <w:tc>
          <w:tcPr>
            <w:tcW w:type="dxa" w:w="11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R10</w:t>
            </w:r>
          </w:p>
        </w:tc>
        <w:tc>
          <w:tcPr>
            <w:tcW w:type="dxa" w:w="67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указан правообладатель</w:t>
            </w:r>
          </w:p>
        </w:tc>
        <w:tc>
          <w:tcPr>
            <w:tcW w:type="dxa" w:w="166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</w:t>
            </w:r>
          </w:p>
        </w:tc>
      </w:tr>
    </w:tbl>
    <w:p>
      <w:pPr>
        <w:pStyle w:val="af"/>
      </w:pPr>
      <w:r>
        <w:t xml:space="preserve">Это</w:t>
      </w:r>
      <w:r>
        <w:t xml:space="preserve"> </w:t>
      </w:r>
      <w:r>
        <w:rPr>
          <w:bCs/>
          <w:b/>
        </w:rPr>
        <w:t xml:space="preserve">упрощённая учебная модель, не юридическая консультация</w:t>
      </w:r>
      <w:r>
        <w:t xml:space="preserve">: реальные вопросы (например, что считается производной работой, когда использование «основной целью не является коммерческим») решаются с юристом. «Предупреждение» — не «можно»: решение всё равно нужно принять и записать.</w:t>
      </w:r>
    </w:p>
    <w:bookmarkEnd w:id="22"/>
    <w:bookmarkStart w:id="23" w:name="паспорт-набора-данных-и-карточка-модели"/>
    <w:p>
      <w:pPr>
        <w:pStyle w:val="21"/>
      </w:pPr>
      <w:r>
        <w:t xml:space="preserve">2.3. Паспорт набора данных и карточка модели</w:t>
      </w:r>
    </w:p>
    <w:p>
      <w:pPr>
        <w:pStyle w:val="FirstParagraph"/>
      </w:pPr>
      <w:r>
        <w:rPr>
          <w:bCs/>
          <w:b/>
        </w:rPr>
        <w:t xml:space="preserve">Паспорт набора данных</w:t>
      </w:r>
      <w:r>
        <w:t xml:space="preserve"> </w:t>
      </w:r>
      <w:r>
        <w:t xml:space="preserve">(Gebru и др., 2018) задаёт вопросы по семи разделам: Motivation (мотивация), Composition (состав), Collection Process (процесс сбора), Preprocessing/cleaning/labeling (обработка и разметка), Uses (использование), Distribution (распространение), Maintenance (сопровождение). Примеры вопросов раздела «состав»: сколько всего объектов и каких типов, что содержит каждый объект.</w:t>
      </w:r>
    </w:p>
    <w:p>
      <w:pPr>
        <w:pStyle w:val="af"/>
      </w:pPr>
      <w:r>
        <w:rPr>
          <w:bCs/>
          <w:b/>
        </w:rPr>
        <w:t xml:space="preserve">Карточка модели</w:t>
      </w:r>
      <w:r>
        <w:t xml:space="preserve"> </w:t>
      </w:r>
      <w:r>
        <w:t xml:space="preserve">(Mitchell и др., 2018) содержит девять разделов: Model Details (сведения о модели), Intended Use (назначение), Factors (факторы), Metrics (метрики), Evaluation Data (данные для оценки), Training Data (обучающие данные), Quantitative Analyses (количественный анализ), Ethical Considerations (этические аспекты), Caveats and Recommendations (ограничения и рекомендации).</w:t>
      </w:r>
    </w:p>
    <w:p>
      <w:pPr>
        <w:pStyle w:val="af"/>
      </w:pPr>
      <w:r>
        <w:t xml:space="preserve">Смысл обоих документов — сделать допущения видимыми для тех, кто будет использовать набор или модель позже, и выявить пробелы в момент составления, а не в момент инцидента.</w:t>
      </w:r>
    </w:p>
    <w:bookmarkEnd w:id="23"/>
    <w:bookmarkStart w:id="24" w:name="риски-генеративного-ии-по-nist-ai-600-1"/>
    <w:p>
      <w:pPr>
        <w:pStyle w:val="21"/>
      </w:pPr>
      <w:r>
        <w:t xml:space="preserve">2.4. Риски генеративного ИИ по NIST AI 600-1</w:t>
      </w:r>
    </w:p>
    <w:p>
      <w:pPr>
        <w:pStyle w:val="FirstParagraph"/>
      </w:pPr>
      <w:r>
        <w:t xml:space="preserve">Профиль NIST AI 600-1 (26.07.2024) в разделе 2 выделяет двенадцать групп рисков, специфичных для генеративного ИИ или усиливаемых им (проверено по тексту документа 19.09.2026). Названия приводятся по документу, краткое содержание — пересказ.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724"/>
        <w:gridCol w:w="2706"/>
        <w:gridCol w:w="6208"/>
      </w:tblGrid>
      <w:tr>
        <w:trPr>
          <w:tblHeader w:val="true"/>
          <w:tblHeader w:val="true"/>
          <w:cantSplit w:val="true"/>
        </w:trPr>
        <w:tc>
          <w:tcPr>
            <w:tcW w:type="dxa" w:w="724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270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Группа рисков (как в документе)</w:t>
            </w:r>
          </w:p>
        </w:tc>
        <w:tc>
          <w:tcPr>
            <w:tcW w:type="dxa" w:w="620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Суть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CBRN Information or Capabilities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облегчённый доступ к опасной информации о химическом, биологическом, радиологическом и ядерном оружии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Confabulation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уверенно поданный, но ошибочный или ложный контент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Dangerous, Violent, or Hateful Content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облегчённое создание насильственного, подстрекающего, ненавистнического контента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Data Privacy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утечка, неправомерное использование или деанонимизация персональных и чувствительных данных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Environmental Impacts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влияние высоких вычислительных затрат при обучении и эксплуатации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Harmful Bias or Homogenization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усиление предвзятости, различия качества для групп и языков, нежелательная однородность результатов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Human-AI Configuration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неверное отношение человека к системе: очеловечивание, недоверие, чрезмерное доверие, эмоциональная привязанность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Information Integrity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облегчённое создание и распространение контента, не различающего факты, мнения и вымысел, в том числе кампаний дезинформации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Information Security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облегчённые наступательные кибервозможности и рост поверхности атаки на данные, код, веса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Intellectual Property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облегчённое воспроизведение защищённого, лицензируемого контента без разрешения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Obscene, Degrading, and/or Abusive Content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облегчённое создание непристойных, унижающих, оскорбительных материалов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27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Value Chain and Component Integration</w:t>
            </w:r>
          </w:p>
        </w:tc>
        <w:tc>
          <w:tcPr>
            <w:tcW w:type="dxa" w:w="62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непрозрачная или неотслеживаемая интеграция сторонних компонентов и данных</w:t>
            </w:r>
          </w:p>
        </w:tc>
      </w:tr>
    </w:tbl>
    <w:p>
      <w:pPr>
        <w:pStyle w:val="af"/>
      </w:pPr>
      <w:r>
        <w:t xml:space="preserve">Для оценки риска используется приём лекции 15: вероятность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и влияние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по шкале 1–5, оценка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⋅</m:t>
        </m:r>
        <m:r>
          <m:t>I</m:t>
        </m:r>
      </m:oMath>
      <w:r>
        <w:t xml:space="preserve">. Реестр содержит по каждому риску меру, ответственного и</w:t>
      </w:r>
      <w:r>
        <w:t xml:space="preserve"> </w:t>
      </w:r>
      <w:r>
        <w:rPr>
          <w:bCs/>
          <w:b/>
        </w:rPr>
        <w:t xml:space="preserve">признак наступления</w:t>
      </w:r>
      <w:r>
        <w:t xml:space="preserve"> </w:t>
      </w:r>
      <w:r>
        <w:t xml:space="preserve">— наблюдаемое событие, по которому видно, что риск реализовался. Риск без признака наступления не управляется.</w:t>
      </w:r>
    </w:p>
    <w:bookmarkEnd w:id="24"/>
    <w:bookmarkStart w:id="25" w:name="Xf3f0f6d87e8af6ddab18b2c88b7d0639db39f10"/>
    <w:p>
      <w:pPr>
        <w:pStyle w:val="21"/>
      </w:pPr>
      <w:r>
        <w:t xml:space="preserve">2.5. Что автоматическая проверка не доказывает</w:t>
      </w:r>
    </w:p>
    <w:p>
      <w:pPr>
        <w:pStyle w:val="FirstParagraph"/>
      </w:pPr>
      <w:r>
        <w:t xml:space="preserve">Скрипт видит только то, что записано в манифесте. Он не проверяет, что лицензия в манифесте действительно принадлежит объекту, что источник существует и что согласие корректно оформлено. Поэтому «нет ошибок» означает «нет ошибок по записанным данным», а не «набор чист». Заявленную лицензию проверяют по первоисточнику.</w:t>
      </w:r>
    </w:p>
    <w:bookmarkEnd w:id="25"/>
    <w:bookmarkEnd w:id="26"/>
    <w:bookmarkStart w:id="27" w:name="постановка-задачи"/>
    <w:p>
      <w:pPr>
        <w:pStyle w:val="1"/>
      </w:pPr>
      <w:r>
        <w:t xml:space="preserve">3. Постановка задачи</w:t>
      </w:r>
    </w:p>
    <w:p>
      <w:pPr>
        <w:pStyle w:val="FirstParagraph"/>
      </w:pPr>
      <w:r>
        <w:rPr>
          <w:bCs/>
          <w:b/>
        </w:rPr>
        <w:t xml:space="preserve">Вход.</w:t>
      </w:r>
      <w:r>
        <w:t xml:space="preserve"> </w:t>
      </w:r>
      <w:r>
        <w:t xml:space="preserve">Номер варианта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(1–30) задаёт пару «сценарий использования × профиль дефектов» по правилу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номер сценария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rPr>
            <m:nor/>
            <m:sty m:val="p"/>
          </m:rPr>
          <m:t>номер профиля</m:t>
        </m:r>
      </m:oMath>
      <w:r>
        <w:t xml:space="preserve">. Скрипт</w:t>
      </w:r>
      <w:r>
        <w:t xml:space="preserve"> </w:t>
      </w:r>
      <w:r>
        <w:rPr>
          <w:rStyle w:val="VerbatimChar"/>
        </w:rPr>
        <w:t xml:space="preserve">lab02_make_variant.py</w:t>
      </w:r>
      <w:r>
        <w:t xml:space="preserve"> </w:t>
      </w:r>
      <w:r>
        <w:t xml:space="preserve">создаёт манифест из 12 синтетических объектов и политику использования. Вымышленные данные: домены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 условные правообладатели, реальных лиц и материалов нет.</w:t>
      </w:r>
    </w:p>
    <w:p>
      <w:pPr>
        <w:pStyle w:val="af"/>
      </w:pPr>
      <w:r>
        <w:rPr>
          <w:bCs/>
          <w:b/>
        </w:rPr>
        <w:t xml:space="preserve">Что нужно получить.</w:t>
      </w:r>
      <w:r>
        <w:t xml:space="preserve"> </w:t>
      </w:r>
      <w:r>
        <w:t xml:space="preserve">(а) Отчёт аудита с решением и обоснованием по каждой находке; (б) паспорт набора данных (7 разделов); (в) карточку модели учебного генератора из ЛР 1 (9 разделов); (г) реестр рисков не менее чем на пять позиций по группам NIST, проходящий проверку скрипта; (д) вывод о пригодности набора для сценария.</w:t>
      </w:r>
    </w:p>
    <w:p>
      <w:pPr>
        <w:pStyle w:val="af"/>
      </w:pPr>
      <w:r>
        <w:rPr>
          <w:bCs/>
          <w:b/>
        </w:rPr>
        <w:t xml:space="preserve">Что фиксируется и что варьируется.</w:t>
      </w:r>
      <w:r>
        <w:t xml:space="preserve"> </w:t>
      </w:r>
      <w:r>
        <w:t xml:space="preserve">Фиксируются метод, перечень правил, шаблоны документов. Варьируются сценарий и профиль дефектов.</w:t>
      </w:r>
    </w:p>
    <w:p>
      <w:pPr>
        <w:pStyle w:val="af"/>
      </w:pPr>
      <w:r>
        <w:rPr>
          <w:bCs/>
          <w:b/>
        </w:rPr>
        <w:t xml:space="preserve">Критерий успеха.</w:t>
      </w:r>
      <w:r>
        <w:t xml:space="preserve"> </w:t>
      </w:r>
      <w:r>
        <w:t xml:space="preserve">Каждая находка имеет решение и обоснование; в паспорте и карточке нет пустых разделов; реестр рисков даёт</w:t>
      </w:r>
      <w:r>
        <w:t xml:space="preserve"> </w:t>
      </w:r>
      <w:r>
        <w:rPr>
          <w:rStyle w:val="VerbatimChar"/>
        </w:rPr>
        <w:t xml:space="preserve">RESULT: PASS</w:t>
      </w:r>
      <w:r>
        <w:t xml:space="preserve"> </w:t>
      </w:r>
      <w:r>
        <w:t xml:space="preserve">и включает обязательные группы вашего варианта; вывод отделяет то, что решено инженерно, от того, что требует юриста.</w:t>
      </w:r>
    </w:p>
    <w:bookmarkEnd w:id="27"/>
    <w:bookmarkStart w:id="28" w:name="подготовка"/>
    <w:p>
      <w:pPr>
        <w:pStyle w:val="1"/>
      </w:pPr>
      <w:r>
        <w:t xml:space="preserve">4. Подготовка</w:t>
      </w:r>
    </w:p>
    <w:p>
      <w:pPr>
        <w:numPr>
          <w:ilvl w:val="0"/>
          <w:numId w:val="1002"/>
        </w:numPr>
        <w:pStyle w:val="Compact"/>
      </w:pPr>
      <w:r>
        <w:t xml:space="preserve">Убедитесь, что выполнена ЛР 1 и у вас есть паспорт эксперимента</w:t>
      </w:r>
      <w:r>
        <w:t xml:space="preserve"> </w:t>
      </w:r>
      <w:r>
        <w:rPr>
          <w:rStyle w:val="VerbatimChar"/>
        </w:rPr>
        <w:t xml:space="preserve">passport.json</w:t>
      </w:r>
      <w:r>
        <w:t xml:space="preserve"> </w:t>
      </w:r>
      <w:r>
        <w:t xml:space="preserve">(демонстрационный экземпляр лежит в папке ЛР 1,</w:t>
      </w:r>
      <w:r>
        <w:t xml:space="preserve"> </w:t>
      </w:r>
      <w:r>
        <w:rPr>
          <w:rStyle w:val="VerbatimChar"/>
        </w:rPr>
        <w:t xml:space="preserve">demo_journal/variant01/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Создайте папку</w:t>
      </w:r>
      <w:r>
        <w:t xml:space="preserve"> </w:t>
      </w:r>
      <w:r>
        <w:rPr>
          <w:rStyle w:val="VerbatimChar"/>
        </w:rPr>
        <w:t xml:space="preserve">lab02/</w:t>
      </w:r>
      <w:r>
        <w:t xml:space="preserve"> </w:t>
      </w:r>
      <w:r>
        <w:t xml:space="preserve">со структурой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; скопируйте в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пять скриптов:</w:t>
      </w:r>
      <w:r>
        <w:t xml:space="preserve"> </w:t>
      </w:r>
      <w:r>
        <w:rPr>
          <w:rStyle w:val="VerbatimChar"/>
        </w:rPr>
        <w:t xml:space="preserve">lab02_common.py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lab02_make_variant.py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lab02_audit.py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lab02_model_card.py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lab02_risks.py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Активируйте среду из ЛР 1 и проверьте версию: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Заведите журнал: дата, версии, команды, решения.</w:t>
      </w:r>
    </w:p>
    <w:p>
      <w:pPr>
        <w:pStyle w:val="FirstParagraph"/>
      </w:pPr>
      <w:r>
        <w:t xml:space="preserve">Данные вымышленные; загружать в работу реальные персональные данные и лицензионно ограниченные материалы запрещено.</w:t>
      </w:r>
    </w:p>
    <w:bookmarkEnd w:id="28"/>
    <w:bookmarkStart w:id="29" w:name="план-выполнения"/>
    <w:p>
      <w:pPr>
        <w:pStyle w:val="1"/>
      </w:pPr>
      <w:r>
        <w:t xml:space="preserve">5. План выполнения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685"/>
        <w:gridCol w:w="5868"/>
        <w:gridCol w:w="2401"/>
        <w:gridCol w:w="685"/>
      </w:tblGrid>
      <w:tr>
        <w:trPr>
          <w:tblHeader w:val="true"/>
          <w:tblHeader w:val="true"/>
          <w:cantSplit w:val="true"/>
        </w:trPr>
        <w:tc>
          <w:tcPr>
            <w:tcW w:type="dxa" w:w="68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Шаг</w:t>
            </w:r>
          </w:p>
        </w:tc>
        <w:tc>
          <w:tcPr>
            <w:tcW w:type="dxa" w:w="586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Действие</w:t>
            </w:r>
          </w:p>
        </w:tc>
        <w:tc>
          <w:tcPr>
            <w:tcW w:type="dxa" w:w="240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Наблюдаемый результат</w:t>
            </w:r>
          </w:p>
        </w:tc>
        <w:tc>
          <w:tcPr>
            <w:tcW w:type="dxa" w:w="68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Время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Создайте данные варианта: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python src\lab02_make_variant.py --variant N --out artifacts\vNN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manifest.csv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policy.json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variant.json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Прочитайте политику и манифест; до запуска запишите в журнал, какие проблемы ожидаете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список ожиданий с датой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Выполните аудит: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python src\lab02_audit.py --manifest … --policy … --out …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audit_report.md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audit_report.json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data_card_draft.md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Сопоставьте находки с ожиданиями; заполните колонку «Решение студента» по каждой находке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решение и обоснование для 100 % находок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Дополните паспорт набора данных: мотивация, обработка, использование, сопровождение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7 заполненных разделов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Создайте карточку модели: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python src\lab02_model_card.py --passport &lt;паспорт ЛР 1&gt; --out artifacts\model_card.md</w:t>
            </w:r>
            <w:r>
              <w:rPr>
                <w:sz w:val="20"/>
              </w:rPr>
              <w:t xml:space="preserve">; дополните её и устраните пробелы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9 заполненных разделов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Создайте шаблон реестра: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python src\lab02_risks.py --template artifacts\risk_register.csv</w:t>
            </w:r>
            <w:r>
              <w:rPr>
                <w:sz w:val="20"/>
              </w:rPr>
              <w:t xml:space="preserve">; заполните не менее пяти рисков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файл реестра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Проверьте реестр: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python src\lab02_risks.py --csv … --out …</w:t>
            </w:r>
            <w:r>
              <w:rPr>
                <w:sz w:val="20"/>
              </w:rPr>
              <w:t xml:space="preserve">; исправьте ошибки до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RESULT: PASS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risk_ranking.md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Сформулируйте вывод о пригодности набора для сценария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с оговорками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 мин</w:t>
            </w:r>
          </w:p>
        </w:tc>
      </w:tr>
      <w:tr>
        <w:trPr>
          <w:cantSplit w:val="true"/>
        </w:trPr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58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Оформите отчёт и приложите артефакты</w:t>
            </w:r>
          </w:p>
        </w:tc>
        <w:tc>
          <w:tcPr>
            <w:tcW w:type="dxa" w:w="240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</w:t>
            </w:r>
          </w:p>
        </w:tc>
        <w:tc>
          <w:tcPr>
            <w:tcW w:type="dxa" w:w="6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самостоятельно</w:t>
            </w:r>
          </w:p>
        </w:tc>
      </w:tr>
    </w:tbl>
    <w:p>
      <w:pPr>
        <w:pStyle w:val="af"/>
      </w:pPr>
      <w:r>
        <w:rPr>
          <w:bCs/>
          <w:b/>
        </w:rPr>
        <w:t xml:space="preserve">Контрольные точки.</w:t>
      </w:r>
      <w:r>
        <w:t xml:space="preserve"> </w:t>
      </w:r>
      <w:r>
        <w:t xml:space="preserve">После шага 4 — покажите таблицу решений; после шага 8 — результат проверки реестра.</w:t>
      </w:r>
    </w:p>
    <w:p>
      <w:pPr>
        <w:pStyle w:val="af"/>
      </w:pPr>
      <w:r>
        <w:rPr>
          <w:bCs/>
          <w:b/>
        </w:rPr>
        <w:t xml:space="preserve">Чек-лист перед сдачей.</w:t>
      </w:r>
      <w:r>
        <w:t xml:space="preserve"> </w:t>
      </w:r>
      <w:r>
        <w:t xml:space="preserve">Ожидания записаны до запуска; решения приняты по всем находкам, включая предупреждения; в карточке модели нет пустых разделов и записан вывод о пробелах (лицензия кода, ответственный); в реестре есть обязательные группы варианта; названия групп совпадают с перечнем NIST дословно; признаки наступления — наблюдаемые события; отчёт содержит оговорку «не юридическая консультация».</w:t>
      </w:r>
    </w:p>
    <w:bookmarkEnd w:id="29"/>
    <w:bookmarkStart w:id="38" w:name="демонстрационный-вариант"/>
    <w:p>
      <w:pPr>
        <w:pStyle w:val="1"/>
      </w:pPr>
      <w:r>
        <w:t xml:space="preserve">6. Демонстрационный вариант</w:t>
      </w:r>
    </w:p>
    <w:p>
      <w:pPr>
        <w:pStyle w:val="FirstParagraph"/>
      </w:pPr>
      <w:r>
        <w:t xml:space="preserve">Демонстрационный вариант — вариант 1: сценарий «афиша фестиваля (печать, продажа билетов)», профиль «часть материалов под лицензиями с условием NonCommercial». Значения ниже получены реальным запуском 2026-09-19 06:50:37 UTC на Python 3.13.7; журнал и файлы лежат в</w:t>
      </w:r>
      <w:r>
        <w:t xml:space="preserve"> </w:t>
      </w:r>
      <w:r>
        <w:rPr>
          <w:rStyle w:val="VerbatimChar"/>
        </w:rPr>
        <w:t xml:space="preserve">demo_journal/</w:t>
      </w:r>
      <w:r>
        <w:t xml:space="preserve">.</w:t>
      </w:r>
    </w:p>
    <w:bookmarkStart w:id="30" w:name="мини-задача-и-критерий"/>
    <w:p>
      <w:pPr>
        <w:pStyle w:val="21"/>
      </w:pPr>
      <w:r>
        <w:t xml:space="preserve">6.1. Мини-задача и критерий</w:t>
      </w:r>
    </w:p>
    <w:p>
      <w:pPr>
        <w:pStyle w:val="FirstParagraph"/>
      </w:pPr>
      <w:r>
        <w:rPr>
          <w:iCs/>
          <w:i/>
        </w:rPr>
        <w:t xml:space="preserve">Задача.</w:t>
      </w:r>
      <w:r>
        <w:t xml:space="preserve"> </w:t>
      </w:r>
      <w:r>
        <w:t xml:space="preserve">Набор из 12 объектов планируется использовать для иллюстраций афиши, которая будет напечатана и продаваться. Нужно решить, какие объекты можно использовать, что исправить и какие риски учесть.</w:t>
      </w:r>
    </w:p>
    <w:p>
      <w:pPr>
        <w:pStyle w:val="af"/>
      </w:pPr>
      <w:r>
        <w:rPr>
          <w:iCs/>
          <w:i/>
        </w:rPr>
        <w:t xml:space="preserve">Политика использования:</w:t>
      </w:r>
      <w:r>
        <w:t xml:space="preserve"> </w:t>
      </w:r>
      <w:r>
        <w:t xml:space="preserve">коммерческое использование — да; публикация или передача набора — да; создание производных работ — да; допустимо передавать производные на тех же условиях — нет.</w:t>
      </w:r>
    </w:p>
    <w:p>
      <w:pPr>
        <w:pStyle w:val="af"/>
      </w:pPr>
      <w:r>
        <w:rPr>
          <w:iCs/>
          <w:i/>
        </w:rPr>
        <w:t xml:space="preserve">Критерий успеха.</w:t>
      </w:r>
      <w:r>
        <w:t xml:space="preserve"> </w:t>
      </w:r>
      <w:r>
        <w:t xml:space="preserve">Решение по каждой находке; паспорт набора данных и карточка модели без пустых разделов; реестр рисков с проверкой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bookmarkEnd w:id="30"/>
    <w:bookmarkStart w:id="31" w:name="данные-и-команды"/>
    <w:p>
      <w:pPr>
        <w:pStyle w:val="21"/>
      </w:pPr>
      <w:r>
        <w:t xml:space="preserve">6.2. Данные и команды</w:t>
      </w:r>
    </w:p>
    <w:p>
      <w:pPr>
        <w:pStyle w:val="FirstParagraph"/>
      </w:pPr>
      <w:r>
        <w:t xml:space="preserve">Данные синтетические, лицензии и правообладатели вымышленные. Команды:</w:t>
      </w:r>
    </w:p>
    <w:p>
      <w:pPr>
        <w:pStyle w:val="SourceCode"/>
      </w:pPr>
      <w:r>
        <w:rPr>
          <w:rStyle w:val="NormalTok"/>
        </w:rPr>
        <w:t xml:space="preserve">python src\lab02_make_variant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variant 1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demo_journal\variant01</w:t>
      </w:r>
      <w:r>
        <w:br/>
      </w:r>
      <w:r>
        <w:rPr>
          <w:rStyle w:val="NormalTok"/>
        </w:rPr>
        <w:t xml:space="preserve">python src\lab02_audit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manifest demo_journal\variant01\manifest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 demo_journal\variant01\policy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demo_journal\variant01</w:t>
      </w:r>
      <w:r>
        <w:br/>
      </w:r>
      <w:r>
        <w:rPr>
          <w:rStyle w:val="NormalTok"/>
        </w:rPr>
        <w:t xml:space="preserve">python src\lab02_model_card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passport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паспорт ЛР 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demo_journal\variant01\model_card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python src\lab02_risks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csv demo_journal\variant01\risk_register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demo_journal\variant01\risk_ranking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bookmarkEnd w:id="31"/>
    <w:bookmarkStart w:id="32" w:name="результат-аудита"/>
    <w:p>
      <w:pPr>
        <w:pStyle w:val="21"/>
      </w:pPr>
      <w:r>
        <w:t xml:space="preserve">6.3. Результат аудита</w:t>
      </w:r>
    </w:p>
    <w:p>
      <w:pPr>
        <w:pStyle w:val="FirstParagraph"/>
      </w:pPr>
      <w:r>
        <w:t xml:space="preserve">Найдено: ошибок — 4, предупреждений — 3.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695"/>
        <w:gridCol w:w="695"/>
        <w:gridCol w:w="905"/>
        <w:gridCol w:w="695"/>
        <w:gridCol w:w="5954"/>
        <w:gridCol w:w="695"/>
      </w:tblGrid>
      <w:tr>
        <w:trPr>
          <w:tblHeader w:val="true"/>
          <w:tblHeader w:val="true"/>
          <w:cantSplit w:val="true"/>
        </w:trPr>
        <w:tc>
          <w:tcPr>
            <w:tcW w:type="dxa" w:w="69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69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Правило</w:t>
            </w:r>
          </w:p>
        </w:tc>
        <w:tc>
          <w:tcPr>
            <w:tcW w:type="dxa" w:w="90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Уровень</w:t>
            </w:r>
          </w:p>
        </w:tc>
        <w:tc>
          <w:tcPr>
            <w:tcW w:type="dxa" w:w="69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Объект</w:t>
            </w:r>
          </w:p>
        </w:tc>
        <w:tc>
          <w:tcPr>
            <w:tcW w:type="dxa" w:w="5954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Описание</w:t>
            </w:r>
          </w:p>
        </w:tc>
        <w:tc>
          <w:tcPr>
            <w:tcW w:type="dxa" w:w="69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Решение студента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</w:t>
            </w:r>
          </w:p>
        </w:tc>
        <w:tc>
          <w:tcPr>
            <w:tcW w:type="dxa" w:w="90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item01</w:t>
            </w:r>
          </w:p>
        </w:tc>
        <w:tc>
          <w:tcPr>
            <w:tcW w:type="dxa" w:w="595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CC-BY-NC-SA-4.0: условие NonCommercial противоречит коммерческому использованию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</w:pP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R5</w:t>
            </w:r>
          </w:p>
        </w:tc>
        <w:tc>
          <w:tcPr>
            <w:tcW w:type="dxa" w:w="90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item01</w:t>
            </w:r>
          </w:p>
        </w:tc>
        <w:tc>
          <w:tcPr>
            <w:tcW w:type="dxa" w:w="595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CC-BY-NC-SA-4.0: ShareAlike требует передавать производные на тех же условиях; сценарий этого не допускает — нужно решение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</w:pP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</w:t>
            </w:r>
          </w:p>
        </w:tc>
        <w:tc>
          <w:tcPr>
            <w:tcW w:type="dxa" w:w="90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item04</w:t>
            </w:r>
          </w:p>
        </w:tc>
        <w:tc>
          <w:tcPr>
            <w:tcW w:type="dxa" w:w="595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CC-BY-NC-SA-4.0: условие NonCommercial противоречит коммерческому использованию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</w:pP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R5</w:t>
            </w:r>
          </w:p>
        </w:tc>
        <w:tc>
          <w:tcPr>
            <w:tcW w:type="dxa" w:w="90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item04</w:t>
            </w:r>
          </w:p>
        </w:tc>
        <w:tc>
          <w:tcPr>
            <w:tcW w:type="dxa" w:w="595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CC-BY-NC-SA-4.0: ShareAlike требует передавать производные на тех же условиях; сценарий этого не допускает — нужно решение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</w:pP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</w:t>
            </w:r>
          </w:p>
        </w:tc>
        <w:tc>
          <w:tcPr>
            <w:tcW w:type="dxa" w:w="90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item08</w:t>
            </w:r>
          </w:p>
        </w:tc>
        <w:tc>
          <w:tcPr>
            <w:tcW w:type="dxa" w:w="595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CC-BY-NC-4.0: условие NonCommercial противоречит коммерческому использованию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</w:pP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R8</w:t>
            </w:r>
          </w:p>
        </w:tc>
        <w:tc>
          <w:tcPr>
            <w:tcW w:type="dxa" w:w="90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item09</w:t>
            </w:r>
          </w:p>
        </w:tc>
        <w:tc>
          <w:tcPr>
            <w:tcW w:type="dxa" w:w="595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указана дата получения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</w:pP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</w:t>
            </w:r>
          </w:p>
        </w:tc>
        <w:tc>
          <w:tcPr>
            <w:tcW w:type="dxa" w:w="90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item10</w:t>
            </w:r>
          </w:p>
        </w:tc>
        <w:tc>
          <w:tcPr>
            <w:tcW w:type="dxa" w:w="595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CC-BY-NC-4.0: условие NonCommercial противоречит коммерческому использованию</w:t>
            </w:r>
          </w:p>
        </w:tc>
        <w:tc>
          <w:tcPr>
            <w:tcW w:type="dxa" w:w="695"/>
          </w:tcPr>
          <w:p>
            <w:pPr>
              <w:pStyle w:val="Compact"/>
              <w:spacing w:before="40" w:after="40"/>
            </w:pPr>
          </w:p>
        </w:tc>
      </w:tr>
    </w:tbl>
    <w:bookmarkEnd w:id="32"/>
    <w:bookmarkStart w:id="33" w:name="X1465759875bae429b657c286ccf61deab1cf3d5"/>
    <w:p>
      <w:pPr>
        <w:pStyle w:val="21"/>
      </w:pPr>
      <w:r>
        <w:t xml:space="preserve">6.4. Образец решений по находкам (образец автора)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645"/>
        <w:gridCol w:w="645"/>
        <w:gridCol w:w="2824"/>
        <w:gridCol w:w="5525"/>
      </w:tblGrid>
      <w:tr>
        <w:trPr>
          <w:tblHeader w:val="true"/>
          <w:tblHeader w:val="true"/>
          <w:cantSplit w:val="true"/>
        </w:trPr>
        <w:tc>
          <w:tcPr>
            <w:tcW w:type="dxa" w:w="64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Объект</w:t>
            </w:r>
          </w:p>
        </w:tc>
        <w:tc>
          <w:tcPr>
            <w:tcW w:type="dxa" w:w="64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Находки</w:t>
            </w:r>
          </w:p>
        </w:tc>
        <w:tc>
          <w:tcPr>
            <w:tcW w:type="dxa" w:w="2824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Решение</w:t>
            </w:r>
          </w:p>
        </w:tc>
        <w:tc>
          <w:tcPr>
            <w:tcW w:type="dxa" w:w="552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Обоснование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item01</w:t>
            </w:r>
          </w:p>
        </w:tc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R3, R5</w:t>
            </w:r>
          </w:p>
        </w:tc>
        <w:tc>
          <w:tcPr>
            <w:tcW w:type="dxa" w:w="282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Исключить объект</w:t>
            </w:r>
          </w:p>
        </w:tc>
        <w:tc>
          <w:tcPr>
            <w:tcW w:type="dxa" w:w="552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лицензия с условием NonCommercial несовместима с продажей афиши; условие ShareAlike также не допускается политикой; заменить материалом под CC0 или CC-BY из другого источника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item04</w:t>
            </w:r>
          </w:p>
        </w:tc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R3, R5</w:t>
            </w:r>
          </w:p>
        </w:tc>
        <w:tc>
          <w:tcPr>
            <w:tcW w:type="dxa" w:w="282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Исключить объект</w:t>
            </w:r>
          </w:p>
        </w:tc>
        <w:tc>
          <w:tcPr>
            <w:tcW w:type="dxa" w:w="552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лицензия с условием NonCommercial несовместима с продажей афиши; условие ShareAlike также не допускается политикой; заменить материалом под CC0 или CC-BY из другого источника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item08</w:t>
            </w:r>
          </w:p>
        </w:tc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</w:t>
            </w:r>
          </w:p>
        </w:tc>
        <w:tc>
          <w:tcPr>
            <w:tcW w:type="dxa" w:w="282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Исключить объект или запросить коммерческое разрешение</w:t>
            </w:r>
          </w:p>
        </w:tc>
        <w:tc>
          <w:tcPr>
            <w:tcW w:type="dxa" w:w="552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условие NonCommercial противоречит продаже афиши; разрешение правообладателя может снять конфликт, но до его получения объект не используется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item09</w:t>
            </w:r>
          </w:p>
        </w:tc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R8</w:t>
            </w:r>
          </w:p>
        </w:tc>
        <w:tc>
          <w:tcPr>
            <w:tcW w:type="dxa" w:w="282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Запросить у поставщика дату получения</w:t>
            </w:r>
          </w:p>
        </w:tc>
        <w:tc>
          <w:tcPr>
            <w:tcW w:type="dxa" w:w="552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конфликта лицензий нет; до ответа дата помечается в паспорте как неизвестная, догадкой не заполняется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item10</w:t>
            </w:r>
          </w:p>
        </w:tc>
        <w:tc>
          <w:tcPr>
            <w:tcW w:type="dxa" w:w="64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R3</w:t>
            </w:r>
          </w:p>
        </w:tc>
        <w:tc>
          <w:tcPr>
            <w:tcW w:type="dxa" w:w="282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Исключить объект или запросить коммерческое разрешение</w:t>
            </w:r>
          </w:p>
        </w:tc>
        <w:tc>
          <w:tcPr>
            <w:tcW w:type="dxa" w:w="552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условие NonCommercial противоречит продаже афиши; разрешение правообладателя может снять конфликт, но до его получения объект не используется</w:t>
            </w:r>
          </w:p>
        </w:tc>
      </w:tr>
    </w:tbl>
    <w:p>
      <w:pPr>
        <w:pStyle w:val="af"/>
      </w:pPr>
      <w:r>
        <w:t xml:space="preserve">Обратите внимание: одни и те же объекты дважды попали в отчёт (правила R3 и R5 для объектов с лицензией</w:t>
      </w:r>
      <w:r>
        <w:t xml:space="preserve"> </w:t>
      </w:r>
      <w:r>
        <w:rPr>
          <w:rStyle w:val="VerbatimChar"/>
        </w:rPr>
        <w:t xml:space="preserve">CC-BY-NC-SA-4.0</w:t>
      </w:r>
      <w:r>
        <w:t xml:space="preserve">), но решение принимается</w:t>
      </w:r>
      <w:r>
        <w:t xml:space="preserve"> </w:t>
      </w:r>
      <w:r>
        <w:rPr>
          <w:bCs/>
          <w:b/>
        </w:rPr>
        <w:t xml:space="preserve">по объекту</w:t>
      </w:r>
      <w:r>
        <w:t xml:space="preserve">, а не по строке отчёта. Кроме того, находка R5 при исключении объекта теряет смысл, поэтому исключение снимает обе находки.</w:t>
      </w:r>
    </w:p>
    <w:bookmarkEnd w:id="33"/>
    <w:bookmarkStart w:id="34" w:name="X74458f282bfb803221beb1217df74bb217a3279"/>
    <w:p>
      <w:pPr>
        <w:pStyle w:val="21"/>
      </w:pPr>
      <w:r>
        <w:t xml:space="preserve">6.5. Паспорт набора данных и карточка модели</w:t>
      </w:r>
    </w:p>
    <w:p>
      <w:pPr>
        <w:pStyle w:val="FirstParagraph"/>
      </w:pPr>
      <w:r>
        <w:t xml:space="preserve">Заготовка паспорта набора создаётся скриптом аудита (</w:t>
      </w:r>
      <w:r>
        <w:rPr>
          <w:rStyle w:val="VerbatimChar"/>
        </w:rPr>
        <w:t xml:space="preserve">data_card_draft.md</w:t>
      </w:r>
      <w:r>
        <w:t xml:space="preserve">): разделы «состав» и «процесс сбора» заполнены автоматически по манифесту (число объектов, типы, распределение лицензий, число объектов с обязательным указанием авторства, даты и источники), остальные разделы студент заполняет сам. Образец заполненных разделов — файл</w:t>
      </w:r>
      <w:r>
        <w:t xml:space="preserve"> </w:t>
      </w:r>
      <w:r>
        <w:rPr>
          <w:rStyle w:val="VerbatimChar"/>
        </w:rPr>
        <w:t xml:space="preserve">demo_journal/data_card_sample.md</w:t>
      </w:r>
      <w:r>
        <w:t xml:space="preserve">.</w:t>
      </w:r>
    </w:p>
    <w:p>
      <w:pPr>
        <w:pStyle w:val="af"/>
      </w:pPr>
      <w:r>
        <w:t xml:space="preserve">Карточка модели для генератора из ЛР 1 создаётся из его паспорта эксперимента. Фрагмент раздела «Quantitative Analyses» (значения взяты из паспорта ЛР 1):</w:t>
      </w:r>
    </w:p>
    <w:tbl>
      <w:tblPr>
        <w:tblStyle w:val="aff0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46"/>
        <w:gridCol w:w="3036"/>
        <w:gridCol w:w="2656"/>
      </w:tblGrid>
      <w:tr>
        <w:trPr>
          <w:tblHeader w:val="true"/>
          <w:tblHeader w:val="true"/>
          <w:cantSplit w:val="true"/>
        </w:trPr>
        <w:tc>
          <w:tcPr>
            <w:tcW w:type="dxa" w:w="394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>
            <w:tcW w:type="dxa" w:w="3036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среднее по серии</w:t>
            </w:r>
          </w:p>
        </w:tc>
        <w:tc>
          <w:tcPr>
            <w:tcW w:type="dxa" w:w="2656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s (n−1)</w:t>
            </w:r>
          </w:p>
        </w:tc>
      </w:tr>
      <w:tr>
        <w:trPr>
          <w:cantSplit w:val="true"/>
        </w:trPr>
        <w:tc>
          <w:tcPr>
            <w:tcW w:type="dxa" w:w="394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среднее</w:t>
            </w:r>
          </w:p>
        </w:tc>
        <w:tc>
          <w:tcPr>
            <w:tcW w:type="dxa" w:w="303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0,4782</w:t>
            </w:r>
          </w:p>
        </w:tc>
        <w:tc>
          <w:tcPr>
            <w:tcW w:type="dxa" w:w="26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0,0481</w:t>
            </w:r>
          </w:p>
        </w:tc>
      </w:tr>
      <w:tr>
        <w:trPr>
          <w:cantSplit w:val="true"/>
        </w:trPr>
        <w:tc>
          <w:tcPr>
            <w:tcW w:type="dxa" w:w="394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</w:t>
            </w:r>
          </w:p>
        </w:tc>
        <w:tc>
          <w:tcPr>
            <w:tcW w:type="dxa" w:w="303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0,1311</w:t>
            </w:r>
          </w:p>
        </w:tc>
        <w:tc>
          <w:tcPr>
            <w:tcW w:type="dxa" w:w="26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0,0102</w:t>
            </w:r>
          </w:p>
        </w:tc>
      </w:tr>
      <w:tr>
        <w:trPr>
          <w:cantSplit w:val="true"/>
        </w:trPr>
        <w:tc>
          <w:tcPr>
            <w:tcW w:type="dxa" w:w="394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граничная энергия</w:t>
            </w:r>
          </w:p>
        </w:tc>
        <w:tc>
          <w:tcPr>
            <w:tcW w:type="dxa" w:w="303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0,0097</w:t>
            </w:r>
          </w:p>
        </w:tc>
        <w:tc>
          <w:tcPr>
            <w:tcW w:type="dxa" w:w="26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0,0006</w:t>
            </w:r>
          </w:p>
        </w:tc>
      </w:tr>
      <w:tr>
        <w:trPr>
          <w:cantSplit w:val="true"/>
        </w:trPr>
        <w:tc>
          <w:tcPr>
            <w:tcW w:type="dxa" w:w="394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энтропия, бит</w:t>
            </w:r>
          </w:p>
        </w:tc>
        <w:tc>
          <w:tcPr>
            <w:tcW w:type="dxa" w:w="303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6,9969</w:t>
            </w:r>
          </w:p>
        </w:tc>
        <w:tc>
          <w:tcPr>
            <w:tcW w:type="dxa" w:w="26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0,1264</w:t>
            </w:r>
          </w:p>
        </w:tc>
      </w:tr>
    </w:tbl>
    <w:p>
      <w:pPr>
        <w:pStyle w:val="af"/>
      </w:pPr>
      <w:r>
        <w:t xml:space="preserve">Карточка сама выявила два пробела:</w:t>
      </w:r>
      <w:r>
        <w:t xml:space="preserve"> </w:t>
      </w:r>
      <w:r>
        <w:rPr>
          <w:bCs/>
          <w:b/>
        </w:rPr>
        <w:t xml:space="preserve">лицензия кода не указана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ответственный не указан</w:t>
      </w:r>
      <w:r>
        <w:t xml:space="preserve">. Их нельзя определить по паспорту эксперимента; автор кода должен принять решение и записать его. Это типичный результат составления карточки: она делает пробелы видимыми.</w:t>
      </w:r>
    </w:p>
    <w:bookmarkEnd w:id="34"/>
    <w:bookmarkStart w:id="35" w:name="реестр-рисков"/>
    <w:p>
      <w:pPr>
        <w:pStyle w:val="21"/>
      </w:pPr>
      <w:r>
        <w:t xml:space="preserve">6.6. Реестр рисков</w:t>
      </w:r>
    </w:p>
    <w:p>
      <w:pPr>
        <w:pStyle w:val="FirstParagraph"/>
      </w:pPr>
      <w:r>
        <w:t xml:space="preserve">Образец автора для сценария «афиша» (файл</w:t>
      </w:r>
      <w:r>
        <w:t xml:space="preserve"> </w:t>
      </w:r>
      <w:r>
        <w:rPr>
          <w:rStyle w:val="VerbatimChar"/>
        </w:rPr>
        <w:t xml:space="preserve">demo_journal/variant01/risk_register.csv</w:t>
      </w:r>
      <w:r>
        <w:t xml:space="preserve">), ранжированный скриптом: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70"/>
        <w:gridCol w:w="370"/>
        <w:gridCol w:w="1079"/>
        <w:gridCol w:w="2891"/>
        <w:gridCol w:w="2709"/>
        <w:gridCol w:w="619"/>
        <w:gridCol w:w="1600"/>
      </w:tblGrid>
      <w:tr>
        <w:trPr>
          <w:tblHeader w:val="true"/>
          <w:tblHeader w:val="true"/>
          <w:cantSplit w:val="true"/>
        </w:trPr>
        <w:tc>
          <w:tcPr>
            <w:tcW w:type="dxa" w:w="37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Место</w:t>
            </w:r>
          </w:p>
        </w:tc>
        <w:tc>
          <w:tcPr>
            <w:tcW w:type="dxa" w:w="37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Оценка</w:t>
            </w:r>
          </w:p>
        </w:tc>
        <w:tc>
          <w:tcPr>
            <w:tcW w:type="dxa" w:w="107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Категория</w:t>
            </w:r>
          </w:p>
        </w:tc>
        <w:tc>
          <w:tcPr>
            <w:tcW w:type="dxa" w:w="289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Описание</w:t>
            </w:r>
          </w:p>
        </w:tc>
        <w:tc>
          <w:tcPr>
            <w:tcW w:type="dxa" w:w="270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Мера</w:t>
            </w:r>
          </w:p>
        </w:tc>
        <w:tc>
          <w:tcPr>
            <w:tcW w:type="dxa" w:w="61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Ответственный</w:t>
            </w:r>
          </w:p>
        </w:tc>
        <w:tc>
          <w:tcPr>
            <w:tcW w:type="dxa" w:w="160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Признак</w:t>
            </w:r>
          </w:p>
        </w:tc>
      </w:tr>
      <w:tr>
        <w:trPr>
          <w:cantSplit w:val="true"/>
        </w:trPr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10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Intellectual Property</w:t>
            </w:r>
          </w:p>
        </w:tc>
        <w:tc>
          <w:tcPr>
            <w:tcW w:type="dxa" w:w="2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 набор попадают материалы с лицензией NonCommercial при продаже афиш</w:t>
            </w:r>
          </w:p>
        </w:tc>
        <w:tc>
          <w:tcPr>
            <w:tcW w:type="dxa" w:w="270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Автоматический аудит лицензий при приёме; исключение материалов с NC</w:t>
            </w:r>
          </w:p>
        </w:tc>
        <w:tc>
          <w:tcPr>
            <w:tcW w:type="dxa" w:w="61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куратор данных</w:t>
            </w:r>
          </w:p>
        </w:tc>
        <w:tc>
          <w:tcPr>
            <w:tcW w:type="dxa" w:w="16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Правило R3 в отчёте аудита</w:t>
            </w:r>
          </w:p>
        </w:tc>
      </w:tr>
      <w:tr>
        <w:trPr>
          <w:cantSplit w:val="true"/>
        </w:trPr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10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Value Chain and Component Integration</w:t>
            </w:r>
          </w:p>
        </w:tc>
        <w:tc>
          <w:tcPr>
            <w:tcW w:type="dxa" w:w="2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Происхождение части материалов нельзя проследить</w:t>
            </w:r>
          </w:p>
        </w:tc>
        <w:tc>
          <w:tcPr>
            <w:tcW w:type="dxa" w:w="270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Обязательные поля источника и даты; карантин объектов без них</w:t>
            </w:r>
          </w:p>
        </w:tc>
        <w:tc>
          <w:tcPr>
            <w:tcW w:type="dxa" w:w="61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куратор данных</w:t>
            </w:r>
          </w:p>
        </w:tc>
        <w:tc>
          <w:tcPr>
            <w:tcW w:type="dxa" w:w="16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Правило R8 в отчёте аудита</w:t>
            </w:r>
          </w:p>
        </w:tc>
      </w:tr>
      <w:tr>
        <w:trPr>
          <w:cantSplit w:val="true"/>
        </w:trPr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10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Confabulation</w:t>
            </w:r>
          </w:p>
        </w:tc>
        <w:tc>
          <w:tcPr>
            <w:tcW w:type="dxa" w:w="2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 на афише содержит ошибочные дату или место</w:t>
            </w:r>
          </w:p>
        </w:tc>
        <w:tc>
          <w:tcPr>
            <w:tcW w:type="dxa" w:w="270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 набирается вручную; вычитка вторым человеком</w:t>
            </w:r>
          </w:p>
        </w:tc>
        <w:tc>
          <w:tcPr>
            <w:tcW w:type="dxa" w:w="61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редактор</w:t>
            </w:r>
          </w:p>
        </w:tc>
        <w:tc>
          <w:tcPr>
            <w:tcW w:type="dxa" w:w="16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Ошибка найдена после печати тиража</w:t>
            </w:r>
          </w:p>
        </w:tc>
      </w:tr>
      <w:tr>
        <w:trPr>
          <w:cantSplit w:val="true"/>
        </w:trPr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10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Data Privacy</w:t>
            </w:r>
          </w:p>
        </w:tc>
        <w:tc>
          <w:tcPr>
            <w:tcW w:type="dxa" w:w="2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 материалах есть узнаваемые люди без согласия</w:t>
            </w:r>
          </w:p>
        </w:tc>
        <w:tc>
          <w:tcPr>
            <w:tcW w:type="dxa" w:w="270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Признак персональных данных в манифесте; документ-согласие обязателен</w:t>
            </w:r>
          </w:p>
        </w:tc>
        <w:tc>
          <w:tcPr>
            <w:tcW w:type="dxa" w:w="61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юрист проекта</w:t>
            </w:r>
          </w:p>
        </w:tc>
        <w:tc>
          <w:tcPr>
            <w:tcW w:type="dxa" w:w="16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Объект с признаком personal_data без документа-согласия</w:t>
            </w:r>
          </w:p>
        </w:tc>
      </w:tr>
      <w:tr>
        <w:trPr>
          <w:cantSplit w:val="true"/>
        </w:trPr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10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Harmful Bias or Homogenization</w:t>
            </w:r>
          </w:p>
        </w:tc>
        <w:tc>
          <w:tcPr>
            <w:tcW w:type="dxa" w:w="2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Серия афиш в одном стиле сужает разнообразие и повторяет стереотипные образы</w:t>
            </w:r>
          </w:p>
        </w:tc>
        <w:tc>
          <w:tcPr>
            <w:tcW w:type="dxa" w:w="270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Разнообразные референсы; проверка серии по чек-листу</w:t>
            </w:r>
          </w:p>
        </w:tc>
        <w:tc>
          <w:tcPr>
            <w:tcW w:type="dxa" w:w="61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арт-директор</w:t>
            </w:r>
          </w:p>
        </w:tc>
        <w:tc>
          <w:tcPr>
            <w:tcW w:type="dxa" w:w="16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Жалоба или отклонение по чек-листу</w:t>
            </w:r>
          </w:p>
        </w:tc>
      </w:tr>
      <w:tr>
        <w:trPr>
          <w:cantSplit w:val="true"/>
        </w:trPr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37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10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Information Integrity</w:t>
            </w:r>
          </w:p>
        </w:tc>
        <w:tc>
          <w:tcPr>
            <w:tcW w:type="dxa" w:w="2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Иллюстрация похожа на документальное изображение события и вводит зрителя в заблуждение</w:t>
            </w:r>
          </w:p>
        </w:tc>
        <w:tc>
          <w:tcPr>
            <w:tcW w:type="dxa" w:w="270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Раскрытие использования ИИ; правило маркировки на афише</w:t>
            </w:r>
          </w:p>
        </w:tc>
        <w:tc>
          <w:tcPr>
            <w:tcW w:type="dxa" w:w="61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редактор</w:t>
            </w:r>
          </w:p>
        </w:tc>
        <w:tc>
          <w:tcPr>
            <w:tcW w:type="dxa" w:w="16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Запрос или жалоба на раскрытие</w:t>
            </w:r>
          </w:p>
        </w:tc>
      </w:tr>
    </w:tbl>
    <w:bookmarkEnd w:id="35"/>
    <w:bookmarkStart w:id="36" w:name="Xbc1eeb0d79da804bf946fdeb35afbede278f260"/>
    <w:p>
      <w:pPr>
        <w:pStyle w:val="21"/>
      </w:pPr>
      <w:r>
        <w:t xml:space="preserve">6.7. Намеренно введённая ошибка: реестр не проходит проверку</w:t>
      </w:r>
    </w:p>
    <w:p>
      <w:pPr>
        <w:pStyle w:val="FirstParagraph"/>
      </w:pPr>
      <w:r>
        <w:rPr>
          <w:iCs/>
          <w:i/>
        </w:rPr>
        <w:t xml:space="preserve">Симптом.</w:t>
      </w:r>
      <w:r>
        <w:t xml:space="preserve"> </w:t>
      </w:r>
      <w:r>
        <w:t xml:space="preserve">Проверка реестра возвращает</w:t>
      </w:r>
      <w:r>
        <w:t xml:space="preserve"> </w:t>
      </w:r>
      <w:r>
        <w:rPr>
          <w:rStyle w:val="VerbatimChar"/>
        </w:rPr>
        <w:t xml:space="preserve">RESULT: FAIL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FAIL 1: R01: категория «Copyright» не из перечня NIST AI 600-1</w:t>
      </w:r>
      <w:r>
        <w:br/>
      </w:r>
      <w:r>
        <w:rPr>
          <w:rStyle w:val="VerbatimChar"/>
        </w:rPr>
        <w:t xml:space="preserve">FAIL 2: R01: likelihood и impact должны быть целыми от 1 до 5</w:t>
      </w:r>
      <w:r>
        <w:br/>
      </w:r>
      <w:r>
        <w:rPr>
          <w:rStyle w:val="VerbatimChar"/>
        </w:rPr>
        <w:t xml:space="preserve">FAIL 3: R01: не заполнено поле «owner»</w:t>
      </w:r>
      <w:r>
        <w:br/>
      </w:r>
      <w:r>
        <w:rPr>
          <w:rStyle w:val="VerbatimChar"/>
        </w:rPr>
        <w:t xml:space="preserve">FAIL 4: рисков 3, требуется не менее 5</w:t>
      </w:r>
      <w:r>
        <w:br/>
      </w:r>
      <w:r>
        <w:rPr>
          <w:rStyle w:val="VerbatimChar"/>
        </w:rPr>
        <w:t xml:space="preserve">FAIL 5: нужно не менее 4 разных категорий</w:t>
      </w:r>
      <w:r>
        <w:br/>
      </w:r>
      <w:r>
        <w:rPr>
          <w:rStyle w:val="VerbatimChar"/>
        </w:rPr>
        <w:t xml:space="preserve">RESULT: FAIL (5)</w:t>
      </w:r>
    </w:p>
    <w:p>
      <w:pPr>
        <w:pStyle w:val="FirstParagraph"/>
      </w:pPr>
      <w:r>
        <w:rPr>
          <w:iCs/>
          <w:i/>
        </w:rPr>
        <w:t xml:space="preserve">Диагностика.</w:t>
      </w:r>
      <w:r>
        <w:t xml:space="preserve"> </w:t>
      </w:r>
      <w:r>
        <w:t xml:space="preserve">Прочитать сообщения по порядку: категория</w:t>
      </w:r>
      <w:r>
        <w:t xml:space="preserve"> </w:t>
      </w:r>
      <w:r>
        <w:rPr>
          <w:rStyle w:val="VerbatimChar"/>
        </w:rPr>
        <w:t xml:space="preserve">Copyright</w:t>
      </w:r>
      <w:r>
        <w:t xml:space="preserve"> </w:t>
      </w:r>
      <w:r>
        <w:t xml:space="preserve">не из перечня NIST (нужное название —</w:t>
      </w:r>
      <w:r>
        <w:t xml:space="preserve"> </w:t>
      </w:r>
      <w:r>
        <w:rPr>
          <w:rStyle w:val="VerbatimChar"/>
        </w:rPr>
        <w:t xml:space="preserve">Intellectual Property</w:t>
      </w:r>
      <w:r>
        <w:t xml:space="preserve">); оценка 7 вне шкалы 1–5; пустое поле «ответственный»; рисков меньше пяти и категорий меньше четырёх.</w:t>
      </w:r>
    </w:p>
    <w:p>
      <w:pPr>
        <w:pStyle w:val="af"/>
      </w:pPr>
      <w:r>
        <w:rPr>
          <w:iCs/>
          <w:i/>
        </w:rPr>
        <w:t xml:space="preserve">Исправление.</w:t>
      </w:r>
      <w:r>
        <w:t xml:space="preserve"> </w:t>
      </w:r>
      <w:r>
        <w:t xml:space="preserve">Использовать названия групп дословно из таблицы раздела 2.4; держать оценки в пределах шкалы; заполнить все поля; добавить недостающие риски. После исправления —</w:t>
      </w:r>
      <w:r>
        <w:t xml:space="preserve"> </w:t>
      </w:r>
      <w:r>
        <w:rPr>
          <w:rStyle w:val="VerbatimChar"/>
        </w:rPr>
        <w:t xml:space="preserve">RESULT: PASS</w:t>
      </w:r>
      <w:r>
        <w:t xml:space="preserve">.</w:t>
      </w:r>
    </w:p>
    <w:bookmarkEnd w:id="36"/>
    <w:bookmarkStart w:id="37" w:name="X5b167be1df325330835052525d6440e73ce2fe8"/>
    <w:p>
      <w:pPr>
        <w:pStyle w:val="21"/>
      </w:pPr>
      <w:r>
        <w:t xml:space="preserve">6.8. Вывод, ограничения и вопрос для обсуждения</w:t>
      </w:r>
    </w:p>
    <w:p>
      <w:pPr>
        <w:pStyle w:val="FirstParagraph"/>
      </w:pPr>
      <w:r>
        <w:t xml:space="preserve">Вывод: в исходном виде набор для коммерческой афиши непригоден: аудит выявил 4 ошибки (правило R3) по 4 объектам с условием NonCommercial. После исключения этих объектов остаются 8 из 12; по объекту item09 нужно запросить дату получения. Реестр рисков выделяет наибольший риск в области интеллектуальной собственности (оценка 20), затем происхождение материалов и достоверность текста.</w:t>
      </w:r>
      <w:r>
        <w:t xml:space="preserve"> </w:t>
      </w:r>
      <w:r>
        <w:rPr>
          <w:iCs/>
          <w:i/>
        </w:rPr>
        <w:t xml:space="preserve">Ограничения:</w:t>
      </w:r>
      <w:r>
        <w:t xml:space="preserve"> </w:t>
      </w:r>
      <w:r>
        <w:t xml:space="preserve">набор и правообладатели вымышленные; скрипт видит только записанное в манифесте и не проверяет, что заявленная лицензия действительно принадлежит объекту; учебная модель правил упрощена и не является юридической консультацией; решение об использовании окончательно принимает ответственный с участием юриста.</w:t>
      </w:r>
    </w:p>
    <w:p>
      <w:pPr>
        <w:pStyle w:val="af"/>
      </w:pPr>
      <w:r>
        <w:rPr>
          <w:iCs/>
          <w:i/>
        </w:rPr>
        <w:t xml:space="preserve">Вопрос для обсуждения.</w:t>
      </w:r>
      <w:r>
        <w:t xml:space="preserve"> </w:t>
      </w:r>
      <w:r>
        <w:t xml:space="preserve">Какие из найденных проблем можно исправить самостоятельно, а какие требуют участия правообладателя, юриста или заказчика? Кто в вашем проекте принимает решение об исключении объекта?</w:t>
      </w:r>
    </w:p>
    <w:bookmarkEnd w:id="37"/>
    <w:bookmarkEnd w:id="38"/>
    <w:bookmarkStart w:id="39" w:name="индивидуальные-варианты-30"/>
    <w:p>
      <w:pPr>
        <w:pStyle w:val="1"/>
      </w:pPr>
      <w:r>
        <w:t xml:space="preserve">7. Индивидуальные варианты (30)</w:t>
      </w:r>
    </w:p>
    <w:p>
      <w:pPr>
        <w:pStyle w:val="FirstParagraph"/>
      </w:pPr>
      <w:r>
        <w:t xml:space="preserve">Вариант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задаёт пару «сценарий × профиль» по правилу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номер сценария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rPr>
            <m:nor/>
            <m:sty m:val="p"/>
          </m:rPr>
          <m:t>номер профиля</m:t>
        </m:r>
      </m:oMath>
      <w:r>
        <w:t xml:space="preserve"> </w:t>
      </w:r>
      <w:r>
        <w:t xml:space="preserve">(5 сценариев × 6 профилей = 30 различных сочетаний). Назначение: номер варианта равен номеру студента в журнале группы; при числе студентов больше 30 варианты повторяются, а значения</w:t>
      </w:r>
      <w:r>
        <w:t xml:space="preserve"> </w:t>
      </w:r>
      <w:r>
        <w:rPr>
          <w:rStyle w:val="VerbatimChar"/>
        </w:rPr>
        <w:t xml:space="preserve">--variant</w:t>
      </w:r>
      <w:r>
        <w:t xml:space="preserve"> </w:t>
      </w:r>
      <w:r>
        <w:t xml:space="preserve">берутся как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(тот же набор, но студент работает независимо). Общий метод и число обязательных шагов (10) одинаковы для всех вариантов.</w:t>
      </w:r>
    </w:p>
    <w:p>
      <w:pPr>
        <w:pStyle w:val="af"/>
      </w:pPr>
      <w:r>
        <w:rPr>
          <w:bCs/>
          <w:b/>
        </w:rPr>
        <w:t xml:space="preserve">Сценарии.</w:t>
      </w:r>
      <w:r>
        <w:t xml:space="preserve"> </w:t>
      </w:r>
      <w:r>
        <w:t xml:space="preserve">1 — афиша фестиваля (коммерческое, публикация, производные, передача на тех же условиях недопустима); 2 — обложки подкастов (коммерческое, публикация, производные, передача на тех же условиях допустима); 3 — открытый учебный набор университета (некоммерческое, публикация, производные, на тех же условиях допустимо); 4 — внутренний прототип (некоммерческое, без публикации, производные, допустимо); 5 — электронный каталог фотоархива (некоммерческое, публикация, без производных, на тех же условиях недопустимо).</w:t>
      </w:r>
    </w:p>
    <w:p>
      <w:pPr>
        <w:pStyle w:val="af"/>
      </w:pPr>
      <w:r>
        <w:rPr>
          <w:bCs/>
          <w:b/>
        </w:rPr>
        <w:t xml:space="preserve">Профили дефектов.</w:t>
      </w:r>
      <w:r>
        <w:t xml:space="preserve"> </w:t>
      </w:r>
      <w:r>
        <w:t xml:space="preserve">1 — материалы с условием NonCommercial; 2 — с условием ShareAlike; 3 — с условием NoDerivatives; 4 — лицензия не указана или записана нестандартно; 5 — персональные данные и разные согласия; 6 — пробелы происхождения (источник, дата, дубликаты).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40"/>
        <w:gridCol w:w="1560"/>
        <w:gridCol w:w="1675"/>
        <w:gridCol w:w="2055"/>
        <w:gridCol w:w="2055"/>
        <w:gridCol w:w="2055"/>
      </w:tblGrid>
      <w:tr>
        <w:trPr>
          <w:tblHeader w:val="true"/>
          <w:tblHeader w:val="true"/>
          <w:cantSplit w:val="true"/>
        </w:trPr>
        <w:tc>
          <w:tcPr>
            <w:tcW w:type="dxa" w:w="24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156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Сценарий</w:t>
            </w:r>
          </w:p>
        </w:tc>
        <w:tc>
          <w:tcPr>
            <w:tcW w:type="dxa" w:w="167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Профиль дефектов</w:t>
            </w:r>
          </w:p>
        </w:tc>
        <w:tc>
          <w:tcPr>
            <w:tcW w:type="dxa" w:w="205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Обязательный эксперимент</w:t>
            </w:r>
          </w:p>
        </w:tc>
        <w:tc>
          <w:tcPr>
            <w:tcW w:type="dxa" w:w="205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Критерий оценки</w:t>
            </w:r>
          </w:p>
        </w:tc>
        <w:tc>
          <w:tcPr>
            <w:tcW w:type="dxa" w:w="205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Ограничение или риск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афиша фестиваля (печать, продажа билетов)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лицензиями с условием NonCommercial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иллюстраций афиши, которая будет напечатана и продаваться: использование коммерческое, афиша публикуется и создаётся как производная работа; передавать производные на тех же условиях (ShareAlike) нельзя. Определите, какие материалы под лицензиями с условием NonCommercial допустимы для этого сценария, а какие нет, и обоснуйте решение по каждому.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Information Integrity;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превращайте условие NonCommercial в «почти можно»: критерий коммерческого использования задаёт сценарий, а не желание автора.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афиша фестиваля (печать, продажа билетов)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ShareAlike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иллюстраций афиши, которая будет напечатана и продаваться: использование коммерческое, афиша публикуется и создаётся как производная работа; передавать производные на тех же условиях (ShareAlike) нельзя. Определите, какие материалы с условием ShareAlike требуют решения в этом сценарии, и выберите для каждого исключение, замену или принятие с последствиями.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Information Integrity;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 — не ошибка: решение нужно принять и записать, а не проигнорировать.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афиша фестиваля (печать, продажа билетов)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NoDerivatives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иллюстраций афиши, которая будет напечатана и продаваться: использование коммерческое, афиша публикуется и создаётся как производная работа; передавать производные на тех же условиях (ShareAlike) нельзя. Определите, какие материалы с условием NoDerivatives конфликтуют со сценарием, и предложите, чем их заменить или как использовать без изменения.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Information Integrity;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Понятие «без изменений» проверяйте по сценарию: кадрирование или сжатие могут считаться изменением — запишите вопрос юристу.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афиша фестиваля (печать, продажа билетов)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лицензия не указана или записана нестандартно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иллюстраций афиши, которая будет напечатана и продаваться: использование коммерческое, афиша публикуется и создаётся как производная работа; передавать производные на тех же условиях (ShareAlike) нельзя. Разберите объекты с отсутствующей или нестандартно записанной лицензией: что можно выяснить, что нужно запросить у правообладателя, что исключить.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Information Integrity;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Нестандартная запись («CC BY 4») не равна стандартной: не исправляйте её по догадке, запросите подтверждение.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афиша фестиваля (печать, продажа билетов)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персональные данные и разные виды согласий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иллюстраций афиши, которая будет напечатана и продаваться: использование коммерческое, афиша публикуется и создаётся как производная работа; передавать производные на тех же условиях (ShareAlike) нельзя. Разберите объекты с персональными данными: какие согласия достаточны для сценария, какие нет, и что нужно проверить помимо наличия документа.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Information Integrity;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Документ-согласие достаточен не всегда: проверьте охват публикации и срок.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афиша фестиваля (печать, продажа билетов)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пробелы в происхождении: источник, дата, дубликаты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иллюстраций афиши, которая будет напечатана и продаваться: использование коммерческое, афиша публикуется и создаётся как производная работа; передавать производные на тех же условиях (ShareAlike) нельзя. Разберите объекты с пробелами в происхождении: что можно восстановить, что отправить в карантин, как обращаться с дубликатами.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Information Integrity;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Восстановленную по догадке дату записывать нельзя: отметьте её как неизвестную.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обложки подкастов (публикация в сети, монетизация)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лицензиями с условием NonCommercial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обложек подкастов с монетизацией: использование коммерческое, обложки публикуются и создаются как производные; автор готов передавать производные на тех же условиях. Определите, какие материалы под лицензиями с условием NonCommercial допустимы для этого сценария, а какие нет, и обоснуйте решение по каждому.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превращайте условие NonCommercial в «почти можно»: критерий коммерческого использования задаёт сценарий, а не желание автора.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обложки подкастов (публикация в сети, монетизация)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ShareAlike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обложек подкастов с монетизацией: использование коммерческое, обложки публикуются и создаются как производные; автор готов передавать производные на тех же условиях. Определите, какие материалы с условием ShareAlike требуют решения в этом сценарии, и выберите для каждого исключение, замену или принятие с последствиями.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 — не ошибка: решение нужно принять и записать, а не проигнорировать.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обложки подкастов (публикация в сети, монетизация)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NoDerivatives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обложек подкастов с монетизацией: использование коммерческое, обложки публикуются и создаются как производные; автор готов передавать производные на тех же условиях. Определите, какие материалы с условием NoDerivatives конфликтуют со сценарием, и предложите, чем их заменить или как использовать без изменения.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Понятие «без изменений» проверяйте по сценарию: кадрирование или сжатие могут считаться изменением — запишите вопрос юристу.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обложки подкастов (публикация в сети, монетизация)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лицензия не указана или записана нестандартно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обложек подкастов с монетизацией: использование коммерческое, обложки публикуются и создаются как производные; автор готов передавать производные на тех же условиях. Разберите объекты с отсутствующей или нестандартно записанной лицензией: что можно выяснить, что нужно запросить у правообладателя, что исключить.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Нестандартная запись («CC BY 4») не равна стандартной: не исправляйте её по догадке, запросите подтверждение.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обложки подкастов (публикация в сети, монетизация)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персональные данные и разные виды согласий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обложек подкастов с монетизацией: использование коммерческое, обложки публикуются и создаются как производные; автор готов передавать производные на тех же условиях. Разберите объекты с персональными данными: какие согласия достаточны для сценария, какие нет, и что нужно проверить помимо наличия документа.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Документ-согласие достаточен не всегда: проверьте охват публикации и срок.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обложки подкастов (публикация в сети, монетизация)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пробелы в происхождении: источник, дата, дубликаты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используется для обложек подкастов с монетизацией: использование коммерческое, обложки публикуются и создаются как производные; автор готов передавать производные на тех же условиях. Разберите объекты с пробелами в происхождении: что можно восстановить, что отправить в карантин, как обращаться с дубликатами.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Intellectual Property,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Восстановленную по догадке дату записывать нельзя: отметьте её как неизвестную.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открытый учебный набор университета (некоммерческий)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лицензиями с условием NonCommercial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университетом как открытый учебный, без коммерческого использования; производные создаются и передаются на тех же условиях. Определите, какие материалы под лицензиями с условием NonCommercial допустимы для этого сценария, а какие нет, и обоснуйте решение по каждому.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превращайте условие NonCommercial в «почти можно»: критерий коммерческого использования задаёт сценарий, а не желание автора.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открытый учебный набор университета (некоммерческий)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ShareAlike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университетом как открытый учебный, без коммерческого использования; производные создаются и передаются на тех же условиях. Определите, какие материалы с условием ShareAlike требуют решения в этом сценарии, и выберите для каждого исключение, замену или принятие с последствиями.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 — не ошибка: решение нужно принять и записать, а не проигнорировать.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открытый учебный набор университета (некоммерческий)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NoDerivatives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университетом как открытый учебный, без коммерческого использования; производные создаются и передаются на тех же условиях. Определите, какие материалы с условием NoDerivatives конфликтуют со сценарием, и предложите, чем их заменить или как использовать без изменения.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Понятие «без изменений» проверяйте по сценарию: кадрирование или сжатие могут считаться изменением — запишите вопрос юристу.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открытый учебный набор университета (некоммерческий)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лицензия не указана или записана нестандартно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университетом как открытый учебный, без коммерческого использования; производные создаются и передаются на тех же условиях. Разберите объекты с отсутствующей или нестандартно записанной лицензией: что можно выяснить, что нужно запросить у правообладателя, что исключить.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Нестандартная запись («CC BY 4») не равна стандартной: не исправляйте её по догадке, запросите подтверждение.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открытый учебный набор университета (некоммерческий)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персональные данные и разные виды согласий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университетом как открытый учебный, без коммерческого использования; производные создаются и передаются на тех же условиях. Разберите объекты с персональными данными: какие согласия достаточны для сценария, какие нет, и что нужно проверить помимо наличия документа.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Документ-согласие достаточен не всегда: проверьте охват публикации и срок.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открытый учебный набор университета (некоммерческий)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пробелы в происхождении: источник, дата, дубликаты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университетом как открытый учебный, без коммерческого использования; производные создаются и передаются на тех же условиях. Разберите объекты с пробелами в происхождении: что можно восстановить, что отправить в карантин, как обращаться с дубликатами.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Harmful Bias or Homogenization;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Восстановленную по догадке дату записывать нельзя: отметьте её как неизвестную.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внутренний прототип без публикации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лицензиями с условием NonCommercial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нужен для внутреннего прототипа без публикации и без коммерческого использования; производные создаются, но наружу не передаются. Определите, какие материалы под лицензиями с условием NonCommercial допустимы для этого сценария, а какие нет, и обоснуйте решение по каждому.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Information Security, Value Chain and Component Integration;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превращайте условие NonCommercial в «почти можно»: критерий коммерческого использования задаёт сценарий, а не желание автора.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внутренний прототип без публикации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ShareAlike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нужен для внутреннего прототипа без публикации и без коммерческого использования; производные создаются, но наружу не передаются. Определите, какие материалы с условием ShareAlike требуют решения в этом сценарии, и выберите для каждого исключение, замену или принятие с последствиями.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Information Security, Value Chain and Component Integration;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 — не ошибка: решение нужно принять и записать, а не проигнорировать.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внутренний прототип без публикации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NoDerivatives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нужен для внутреннего прототипа без публикации и без коммерческого использования; производные создаются, но наружу не передаются. Определите, какие материалы с условием NoDerivatives конфликтуют со сценарием, и предложите, чем их заменить или как использовать без изменения.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Information Security, Value Chain and Component Integration;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Понятие «без изменений» проверяйте по сценарию: кадрирование или сжатие могут считаться изменением — запишите вопрос юристу.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внутренний прототип без публикации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лицензия не указана или записана нестандартно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нужен для внутреннего прототипа без публикации и без коммерческого использования; производные создаются, но наружу не передаются. Разберите объекты с отсутствующей или нестандартно записанной лицензией: что можно выяснить, что нужно запросить у правообладателя, что исключить.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Information Security, Value Chain and Component Integration;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Нестандартная запись («CC BY 4») не равна стандартной: не исправляйте её по догадке, запросите подтверждение.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внутренний прототип без публикации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персональные данные и разные виды согласий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нужен для внутреннего прототипа без публикации и без коммерческого использования; производные создаются, но наружу не передаются. Разберите объекты с персональными данными: какие согласия достаточны для сценария, какие нет, и что нужно проверить помимо наличия документа.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Information Security, Value Chain and Component Integration;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Документ-согласие достаточен не всегда: проверьте охват публикации и срок.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внутренний прототип без публикации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пробелы в происхождении: источник, дата, дубликаты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нужен для внутреннего прототипа без публикации и без коммерческого использования; производные создаются, но наружу не передаются. Разберите объекты с пробелами в происхождении: что можно восстановить, что отправить в карантин, как обращаться с дубликатами.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Information Security, Value Chain and Component Integration;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Восстановленную по догадке дату записывать нельзя: отметьте её как неизвестную.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электронный каталог фотоархива (публикация без изменений)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лицензиями с условием NonCommercial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в электронном каталоге фотоархива без изменений и без коммерческого использования; производные не создаются, передача производных на тех же условиях не допускается. Определите, какие материалы под лицензиями с условием NonCommercial допустимы для этого сценария, а какие нет, и обоснуйте решение по каждому.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Intellectual Property;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превращайте условие NonCommercial в «почти можно»: критерий коммерческого использования задаёт сценарий, а не желание автора.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электронный каталог фотоархива (публикация без изменений)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ShareAlike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в электронном каталоге фотоархива без изменений и без коммерческого использования; производные не создаются, передача производных на тех же условиях не допускается. Определите, какие материалы с условием ShareAlike требуют решения в этом сценарии, и выберите для каждого исключение, замену или принятие с последствиями.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Intellectual Property;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Предупреждение — не ошибка: решение нужно принять и записать, а не проигнорировать.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электронный каталог фотоархива (публикация без изменений)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часть материалов под лицензией с условием NoDerivatives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в электронном каталоге фотоархива без изменений и без коммерческого использования; производные не создаются, передача производных на тех же условиях не допускается. Определите, какие материалы с условием NoDerivatives конфликтуют со сценарием, и предложите, чем их заменить или как использовать без изменения.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Intellectual Property;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Понятие «без изменений» проверяйте по сценарию: кадрирование или сжатие могут считаться изменением — запишите вопрос юристу.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электронный каталог фотоархива (публикация без изменений)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лицензия не указана или записана нестандартно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в электронном каталоге фотоархива без изменений и без коммерческого использования; производные не создаются, передача производных на тех же условиях не допускается. Разберите объекты с отсутствующей или нестандартно записанной лицензией: что можно выяснить, что нужно запросить у правообладателя, что исключить.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Intellectual Property;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Нестандартная запись («CC BY 4») не равна стандартной: не исправляйте её по догадке, запросите подтверждение.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электронный каталог фотоархива (публикация без изменений)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персональные данные и разные виды согласий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в электронном каталоге фотоархива без изменений и без коммерческого использования; производные не создаются, передача производных на тех же условиях не допускается. Разберите объекты с персональными данными: какие согласия достаточны для сценария, какие нет, и что нужно проверить помимо наличия документа.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Intellectual Property;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Документ-согласие достаточен не всегда: проверьте охват публикации и срок.</w:t>
            </w:r>
          </w:p>
        </w:tc>
      </w:tr>
      <w:tr>
        <w:trPr>
          <w:cantSplit w:val="true"/>
        </w:trPr>
        <w:tc>
          <w:tcPr>
            <w:tcW w:type="dxa" w:w="24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15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электронный каталог фотоархива (публикация без изменений)</w:t>
            </w:r>
          </w:p>
        </w:tc>
        <w:tc>
          <w:tcPr>
            <w:tcW w:type="dxa" w:w="167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пробелы в происхождении: источник, дата, дубликаты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Набор публикуется в электронном каталоге фотоархива без изменений и без коммерческого использования; производные не создаются, передача производных на тех же условиях не допускается. Разберите объекты с пробелами в происхождении: что можно восстановить, что отправить в карантин, как обращаться с дубликатами.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Ожидания записаны до запуска; каждая находка имеет решение и обоснование; в реестре есть группы Data Privacy, Intellectual Property; вывод отделяет инженерное решение от юридического вопроса.</w:t>
            </w:r>
          </w:p>
        </w:tc>
        <w:tc>
          <w:tcPr>
            <w:tcW w:type="dxa" w:w="20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Восстановленную по догадке дату записывать нельзя: отметьте её как неизвестную.</w:t>
            </w:r>
          </w:p>
        </w:tc>
      </w:tr>
    </w:tbl>
    <w:p>
      <w:pPr>
        <w:pStyle w:val="af"/>
      </w:pPr>
      <w:r>
        <w:t xml:space="preserve">Для всех вариантов обязательны: ожидания записаны до запуска; решения по всем находкам; паспорт набора данных и карточка модели без пустых разделов; реестр рисков, проходящий проверку; вывод с оговоркой «не юридическая консультация».</w:t>
      </w:r>
    </w:p>
    <w:bookmarkEnd w:id="39"/>
    <w:bookmarkStart w:id="40" w:name="отчёт-и-защита"/>
    <w:p>
      <w:pPr>
        <w:pStyle w:val="1"/>
      </w:pPr>
      <w:r>
        <w:t xml:space="preserve">8. Отчёт и защита</w:t>
      </w:r>
    </w:p>
    <w:p>
      <w:pPr>
        <w:pStyle w:val="FirstParagraph"/>
      </w:pPr>
      <w:r>
        <w:rPr>
          <w:bCs/>
          <w:b/>
        </w:rPr>
        <w:t xml:space="preserve">Структура отчёта.</w:t>
      </w:r>
      <w:r>
        <w:t xml:space="preserve"> </w:t>
      </w:r>
      <w:r>
        <w:t xml:space="preserve">1) титульный лист и номер варианта; 2) цель, сценарий, политика использования, ожидания; 3) данные и их происхождение (вымышленные), ограничения; 4) среда и версии; 5) ход работы с командами; 6) результаты: отчёт аудита с решениями, паспорт набора данных, карточка модели, реестр рисков; 7) анализ: что скрипт не может проверить, где решение спорно; 8) вывод; 9) ссылка на архив артефактов.</w:t>
      </w:r>
    </w:p>
    <w:p>
      <w:pPr>
        <w:pStyle w:val="af"/>
      </w:pPr>
      <w:r>
        <w:rPr>
          <w:bCs/>
          <w:b/>
        </w:rPr>
        <w:t xml:space="preserve">Оценивание (100 баллов).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59"/>
        <w:gridCol w:w="390"/>
        <w:gridCol w:w="1682"/>
        <w:gridCol w:w="2863"/>
        <w:gridCol w:w="3343"/>
      </w:tblGrid>
      <w:tr>
        <w:trPr>
          <w:tblHeader w:val="true"/>
          <w:tblHeader w:val="true"/>
          <w:cantSplit w:val="true"/>
        </w:trPr>
        <w:tc>
          <w:tcPr>
            <w:tcW w:type="dxa" w:w="135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Блок</w:t>
            </w:r>
          </w:p>
        </w:tc>
        <w:tc>
          <w:tcPr>
            <w:tcW w:type="dxa" w:w="39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Доля</w:t>
            </w:r>
          </w:p>
        </w:tc>
        <w:tc>
          <w:tcPr>
            <w:tcW w:type="dxa" w:w="1682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Базовый уровень</w:t>
            </w:r>
          </w:p>
        </w:tc>
        <w:tc>
          <w:tcPr>
            <w:tcW w:type="dxa" w:w="286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Средний уровень</w:t>
            </w:r>
          </w:p>
        </w:tc>
        <w:tc>
          <w:tcPr>
            <w:tcW w:type="dxa" w:w="33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Продвинутый уровень</w:t>
            </w:r>
          </w:p>
        </w:tc>
      </w:tr>
      <w:tr>
        <w:trPr>
          <w:cantSplit w:val="true"/>
        </w:trPr>
        <w:tc>
          <w:tcPr>
            <w:tcW w:type="dxa" w:w="135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Артефакты и воспроизводимость</w:t>
            </w:r>
          </w:p>
        </w:tc>
        <w:tc>
          <w:tcPr>
            <w:tcW w:type="dxa" w:w="39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35</w:t>
            </w:r>
          </w:p>
        </w:tc>
        <w:tc>
          <w:tcPr>
            <w:tcW w:type="dxa" w:w="16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все пять артефактов созданы, реестр проходит проверку</w:t>
            </w:r>
          </w:p>
        </w:tc>
        <w:tc>
          <w:tcPr>
            <w:tcW w:type="dxa" w:w="286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паспорт и карточка без пустых разделов; решения по всем находкам</w:t>
            </w:r>
          </w:p>
        </w:tc>
        <w:tc>
          <w:tcPr>
            <w:tcW w:type="dxa" w:w="33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 журналу и командам результат воспроизводится другим студентом</w:t>
            </w:r>
          </w:p>
        </w:tc>
      </w:tr>
      <w:tr>
        <w:trPr>
          <w:cantSplit w:val="true"/>
        </w:trPr>
        <w:tc>
          <w:tcPr>
            <w:tcW w:type="dxa" w:w="135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Постановка, данные, методика</w:t>
            </w:r>
          </w:p>
        </w:tc>
        <w:tc>
          <w:tcPr>
            <w:tcW w:type="dxa" w:w="39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6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политика и ожидания записаны до запуска</w:t>
            </w:r>
          </w:p>
        </w:tc>
        <w:tc>
          <w:tcPr>
            <w:tcW w:type="dxa" w:w="286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различены ошибки и предупреждения; ожидания сопоставлены с находками</w:t>
            </w:r>
          </w:p>
        </w:tc>
        <w:tc>
          <w:tcPr>
            <w:tcW w:type="dxa" w:w="33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обосновано, где учебная модель правил расходится с реальностью</w:t>
            </w:r>
          </w:p>
        </w:tc>
      </w:tr>
      <w:tr>
        <w:trPr>
          <w:cantSplit w:val="true"/>
        </w:trPr>
        <w:tc>
          <w:tcPr>
            <w:tcW w:type="dxa" w:w="135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Анализ, ошибки, риски, ограничения</w:t>
            </w:r>
          </w:p>
        </w:tc>
        <w:tc>
          <w:tcPr>
            <w:tcW w:type="dxa" w:w="39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6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решение по каждой находке</w:t>
            </w:r>
          </w:p>
        </w:tc>
        <w:tc>
          <w:tcPr>
            <w:tcW w:type="dxa" w:w="286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решение отделяет инженерный вопрос от юридического; риски связаны с находками</w:t>
            </w:r>
          </w:p>
        </w:tc>
        <w:tc>
          <w:tcPr>
            <w:tcW w:type="dxa" w:w="33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названы пределы проверки и предложены дополнительные проверки (первоисточник лицензии, запрос правообладателю)</w:t>
            </w:r>
          </w:p>
        </w:tc>
      </w:tr>
      <w:tr>
        <w:trPr>
          <w:cantSplit w:val="true"/>
        </w:trPr>
        <w:tc>
          <w:tcPr>
            <w:tcW w:type="dxa" w:w="135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ответы, коммуникация</w:t>
            </w:r>
          </w:p>
        </w:tc>
        <w:tc>
          <w:tcPr>
            <w:tcW w:type="dxa" w:w="39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16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структура соблюдена</w:t>
            </w:r>
          </w:p>
        </w:tc>
        <w:tc>
          <w:tcPr>
            <w:tcW w:type="dxa" w:w="286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ответы на вопросы аргументированы</w:t>
            </w:r>
          </w:p>
        </w:tc>
        <w:tc>
          <w:tcPr>
            <w:tcW w:type="dxa" w:w="33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студент объясняет решения и предлагает улучшить правила</w:t>
            </w:r>
          </w:p>
        </w:tc>
      </w:tr>
    </w:tbl>
    <w:p>
      <w:pPr>
        <w:pStyle w:val="af"/>
      </w:pPr>
      <w:r>
        <w:rPr>
          <w:bCs/>
          <w:b/>
        </w:rPr>
        <w:t xml:space="preserve">Критические ошибки</w:t>
      </w:r>
      <w:r>
        <w:t xml:space="preserve"> </w:t>
      </w:r>
      <w:r>
        <w:t xml:space="preserve">(работа не принимается): в отчёте выдана юридическая гарантия («использовать можно») вместо оговорки; не рассмотрены находки-предупреждения; названия групп рисков придуманы; в артефакты попали реальные персональные данные; ожидания записаны после запуска.</w:t>
      </w:r>
      <w:r>
        <w:t xml:space="preserve"> </w:t>
      </w:r>
      <w:r>
        <w:rPr>
          <w:bCs/>
          <w:b/>
        </w:rPr>
        <w:t xml:space="preserve">Допуск к защите:</w:t>
      </w:r>
      <w:r>
        <w:t xml:space="preserve"> </w:t>
      </w:r>
      <w:r>
        <w:t xml:space="preserve">отчёт и артефакты, ответы на два вопроса из раздела 9.</w:t>
      </w:r>
    </w:p>
    <w:bookmarkEnd w:id="40"/>
    <w:bookmarkStart w:id="41" w:name="контрольные-вопросы-для-самоконтроля"/>
    <w:p>
      <w:pPr>
        <w:pStyle w:val="1"/>
      </w:pPr>
      <w:r>
        <w:t xml:space="preserve">9. Контрольные вопросы для самоконтроля</w:t>
      </w:r>
    </w:p>
    <w:p>
      <w:pPr>
        <w:numPr>
          <w:ilvl w:val="0"/>
          <w:numId w:val="1003"/>
        </w:numPr>
        <w:pStyle w:val="Compact"/>
      </w:pPr>
      <w:r>
        <w:t xml:space="preserve">Чем лицензия на входные данные отличается от лицензии на веса модели и от прав на результат? Приведите пример ошибки, возникающей при их смешении.</w:t>
      </w:r>
    </w:p>
    <w:p>
      <w:pPr>
        <w:numPr>
          <w:ilvl w:val="0"/>
          <w:numId w:val="1003"/>
        </w:numPr>
        <w:pStyle w:val="Compact"/>
      </w:pPr>
      <w:r>
        <w:t xml:space="preserve">Что означают условия BY, SA, NC и ND? Какое из них создаёт конфликт со сценарием коммерческой афиши?</w:t>
      </w:r>
    </w:p>
    <w:p>
      <w:pPr>
        <w:numPr>
          <w:ilvl w:val="0"/>
          <w:numId w:val="1003"/>
        </w:numPr>
        <w:pStyle w:val="Compact"/>
      </w:pPr>
      <w:r>
        <w:t xml:space="preserve">Почему запись «CC BY 4» нельзя принять как лицензию без уточнения? Как выглядит корректный идентификатор?</w:t>
      </w:r>
    </w:p>
    <w:p>
      <w:pPr>
        <w:numPr>
          <w:ilvl w:val="0"/>
          <w:numId w:val="1003"/>
        </w:numPr>
        <w:pStyle w:val="Compact"/>
      </w:pPr>
      <w:r>
        <w:t xml:space="preserve">Почему в отчёте демо два объекта с лицензией</w:t>
      </w:r>
      <w:r>
        <w:t xml:space="preserve"> </w:t>
      </w:r>
      <w:r>
        <w:rPr>
          <w:rStyle w:val="VerbatimChar"/>
        </w:rPr>
        <w:t xml:space="preserve">CC-BY-NC-SA-4.0</w:t>
      </w:r>
      <w:r>
        <w:t xml:space="preserve"> </w:t>
      </w:r>
      <w:r>
        <w:t xml:space="preserve">получили по две находки? Как снять обе одним решением?</w:t>
      </w:r>
    </w:p>
    <w:p>
      <w:pPr>
        <w:numPr>
          <w:ilvl w:val="0"/>
          <w:numId w:val="1003"/>
        </w:numPr>
        <w:pStyle w:val="Compact"/>
      </w:pPr>
      <w:r>
        <w:t xml:space="preserve">Чем ошибка отличается от предупреждения? Приведите пример предупреждения, которое нельзя оставить без решения.</w:t>
      </w:r>
    </w:p>
    <w:p>
      <w:pPr>
        <w:numPr>
          <w:ilvl w:val="0"/>
          <w:numId w:val="1003"/>
        </w:numPr>
        <w:pStyle w:val="Compact"/>
      </w:pPr>
      <w:r>
        <w:t xml:space="preserve">Список из 12 объектов содержит 4 объекта с персональными данными: 1 без согласия, 2 с документом-согласием, 1 с пометкой «n-a». Сколько ошибок и сколько предупреждений даст аудит сценария с публикацией? Без публикации?</w:t>
      </w:r>
    </w:p>
    <w:p>
      <w:pPr>
        <w:numPr>
          <w:ilvl w:val="0"/>
          <w:numId w:val="1003"/>
        </w:numPr>
        <w:pStyle w:val="Compact"/>
      </w:pPr>
      <w:r>
        <w:t xml:space="preserve">Вероятность риска 3, влияние 5. Найдите оценку. Какой из рисков ранжируется выше: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p>
      <w:pPr>
        <w:numPr>
          <w:ilvl w:val="0"/>
          <w:numId w:val="1003"/>
        </w:numPr>
        <w:pStyle w:val="Compact"/>
      </w:pPr>
      <w:r>
        <w:t xml:space="preserve">Какие разделы карточки модели вы не смогли заполнить по паспорту ЛР 1 и почему? Что это говорит о самом паспорте?</w:t>
      </w:r>
    </w:p>
    <w:p>
      <w:pPr>
        <w:numPr>
          <w:ilvl w:val="0"/>
          <w:numId w:val="1003"/>
        </w:numPr>
        <w:pStyle w:val="Compact"/>
      </w:pPr>
      <w:r>
        <w:t xml:space="preserve">Почему риск без «признака наступления» плохо управляется? Приведите пример хорошего признака для риска «Data Privacy».</w:t>
      </w:r>
    </w:p>
    <w:p>
      <w:pPr>
        <w:numPr>
          <w:ilvl w:val="0"/>
          <w:numId w:val="1003"/>
        </w:numPr>
        <w:pStyle w:val="Compact"/>
      </w:pPr>
      <w:r>
        <w:t xml:space="preserve">Что скрипт аудита принципиально не может проверить? Как вы получите недостающие сведения?</w:t>
      </w:r>
    </w:p>
    <w:bookmarkEnd w:id="41"/>
    <w:bookmarkStart w:id="42" w:name="материалы-преподавателя"/>
    <w:p>
      <w:pPr>
        <w:pStyle w:val="1"/>
      </w:pPr>
      <w:r>
        <w:t xml:space="preserve">10. Материалы преподавателя</w:t>
      </w:r>
    </w:p>
    <w:p>
      <w:pPr>
        <w:pStyle w:val="FirstParagraph"/>
      </w:pPr>
      <w:r>
        <w:rPr>
          <w:bCs/>
          <w:b/>
        </w:rPr>
        <w:t xml:space="preserve">Ожидаемые закономерности (общие).</w:t>
      </w:r>
      <w:r>
        <w:t xml:space="preserve"> </w:t>
      </w:r>
      <w:r>
        <w:t xml:space="preserve">Сценарии с коммерческим использованием дают ошибки для материалов с NC; сценарии с производными дают ошибки для ND; сценарии без передачи производных на тех же условиях дают предупреждения для SA; профили «лицензия» и «персональные данные» дают ошибки в любом сценарии; профиль «происхождение» даёт предупреждения. Отсутствие ошибок при наличии предупреждений — не «зелёный свет»: студент должен принять решение по каждому предупреждению.</w:t>
      </w:r>
    </w:p>
    <w:p>
      <w:pPr>
        <w:pStyle w:val="af"/>
      </w:pPr>
      <w:r>
        <w:rPr>
          <w:bCs/>
          <w:b/>
        </w:rPr>
        <w:t xml:space="preserve">Проверка выполнимости вариантов.</w:t>
      </w:r>
      <w:r>
        <w:t xml:space="preserve"> </w:t>
      </w:r>
      <w:r>
        <w:t xml:space="preserve">19.09.2026 (местное время) для всех 30 вариантов выполнены создание набора и аудит: в каждом варианте есть находки; в 14 вариантах только предупреждения; найдено 18 различных сочетаний срабатывающих правил. Конкретные результаты по вариантам студентам не выдаются; для проверки отчёта запустите нужный вариант.</w:t>
      </w:r>
    </w:p>
    <w:p>
      <w:pPr>
        <w:pStyle w:val="af"/>
      </w:pPr>
      <w:r>
        <w:rPr>
          <w:bCs/>
          <w:b/>
        </w:rPr>
        <w:t xml:space="preserve">Типичные ошибки студентов.</w:t>
      </w:r>
      <w:r>
        <w:t xml:space="preserve"> </w:t>
      </w:r>
      <w:r>
        <w:t xml:space="preserve">Решение принято по строке отчёта, а не по объекту; предупреждения проигнорированы; лицензия «исправлена» по догадке; в реестре придуманы названия групп; признак наступления описан как «может произойти»; вывод содержит юридическую гарантию; ожидания записаны после запуска.</w:t>
      </w:r>
    </w:p>
    <w:p>
      <w:pPr>
        <w:pStyle w:val="af"/>
      </w:pPr>
      <w:r>
        <w:rPr>
          <w:bCs/>
          <w:b/>
        </w:rPr>
        <w:t xml:space="preserve">Вопросы для защиты.</w:t>
      </w:r>
      <w:r>
        <w:t xml:space="preserve"> </w:t>
      </w:r>
      <w:r>
        <w:t xml:space="preserve">«Что изменится в решении, если сценарий станет некоммерческим?», «Какой документ вы запросите у правообладателя?», «Какой риск вы бы добавили и как измерите его наступление?».</w:t>
      </w:r>
    </w:p>
    <w:p>
      <w:pPr>
        <w:pStyle w:val="af"/>
      </w:pPr>
      <w:r>
        <w:rPr>
          <w:bCs/>
          <w:b/>
        </w:rPr>
        <w:t xml:space="preserve">Ключ к вопросам (кратко).</w:t>
      </w:r>
      <w:r>
        <w:t xml:space="preserve"> </w:t>
      </w:r>
      <w:r>
        <w:t xml:space="preserve">4) Объект попадает под правила R3 и R5; исключение объекта снимает обе находки. 6) С публикацией: ошибок 2 (без согласия и «n-a»), предупреждений 2 (два документа-согласия, правило R7); без публикации: ошибок 2, предупреждений 0. 7)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15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даёт 12,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даёт 10 — выше первый. 9) Без наблюдаемого события невозможно понять, что риск реализовался; пример: «обнаружен объект с признаком персональных данных без документа-согласия».</w:t>
      </w:r>
    </w:p>
    <w:bookmarkEnd w:id="42"/>
    <w:bookmarkStart w:id="43" w:name="источники"/>
    <w:p>
      <w:pPr>
        <w:pStyle w:val="1"/>
      </w:pPr>
      <w:r>
        <w:t xml:space="preserve">11. Источники</w:t>
      </w:r>
    </w:p>
    <w:p>
      <w:pPr>
        <w:numPr>
          <w:ilvl w:val="0"/>
          <w:numId w:val="1004"/>
        </w:numPr>
        <w:pStyle w:val="Compact"/>
      </w:pPr>
      <w:r>
        <w:t xml:space="preserve">Mitchell M. и др. Model Cards for Model Reporting (arXiv:1810.03993, 05.10.2018). Разделы карточки проверены по тексту работы 19.09.2026.</w:t>
      </w:r>
    </w:p>
    <w:p>
      <w:pPr>
        <w:numPr>
          <w:ilvl w:val="0"/>
          <w:numId w:val="1004"/>
        </w:numPr>
        <w:pStyle w:val="Compact"/>
      </w:pPr>
      <w:r>
        <w:t xml:space="preserve">Gebru T. и др. Datasheets for Datasets (arXiv:1803.09010, 23.03.2018). Разделы проверены по тексту работы 19.09.2026.</w:t>
      </w:r>
    </w:p>
    <w:p>
      <w:pPr>
        <w:numPr>
          <w:ilvl w:val="0"/>
          <w:numId w:val="1004"/>
        </w:numPr>
        <w:pStyle w:val="Compact"/>
      </w:pPr>
      <w:r>
        <w:t xml:space="preserve">NIST AI 600-1. Artificial Intelligence Risk Management Framework: Generative Artificial Intelligence Profile, 26.07.2024, раздел 2 (перечень из 12 групп рисков проверен по тексту 19.09.2026).</w:t>
      </w:r>
    </w:p>
    <w:p>
      <w:pPr>
        <w:numPr>
          <w:ilvl w:val="0"/>
          <w:numId w:val="1004"/>
        </w:numPr>
        <w:pStyle w:val="Compact"/>
      </w:pPr>
      <w:r>
        <w:t xml:space="preserve">Creative Commons. About CC licenses (creativecommons.org/share-your-work/cclicenses/; проверено 19.09.2026).</w:t>
      </w:r>
    </w:p>
    <w:p>
      <w:pPr>
        <w:numPr>
          <w:ilvl w:val="0"/>
          <w:numId w:val="1004"/>
        </w:numPr>
        <w:pStyle w:val="Compact"/>
      </w:pPr>
      <w:r>
        <w:t xml:space="preserve">SPDX License List, версия 3.29.0 от 16.09.2026 (spdx.org/licenses/).</w:t>
      </w:r>
    </w:p>
    <w:p>
      <w:pPr>
        <w:numPr>
          <w:ilvl w:val="0"/>
          <w:numId w:val="1004"/>
        </w:numPr>
        <w:pStyle w:val="Compact"/>
      </w:pPr>
      <w:r>
        <w:t xml:space="preserve">Конспекты лекций 1, 2 и 15 курса.</w:t>
      </w:r>
    </w:p>
    <w:bookmarkEnd w:id="43"/>
    <w:sectPr w:rsidR="00E55B48" w:rsidSect="00034616">
      <w:footerReference r:id="rId9" w:type="default"/>
      <w:pgSz w:h="16838" w:w="11906"/>
      <w:pgMar w:bottom="1020" w:footer="454" w:gutter="0" w:header="454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8B6" w:rsidRDefault="008328B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90285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1BBF1C02"/>
    <w:multiLevelType w:val="hybridMultilevel"/>
    <w:tmpl w:val="6016A21A"/>
    <w:lvl w:ilvl="0" w:tplc="F4A05840">
      <w:start w:val="1"/>
      <w:numFmt w:val="bullet"/>
      <w:lvlText w:val="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4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b/>
      <w:bCs/>
      <w:color w:val="000000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cstheme="majorBidi" w:eastAsiaTheme="majorEastAsia" w:hAnsiTheme="majorHAnsi"/>
      <w:b/>
      <w:color w:val="000000"/>
      <w:spacing w:val="5"/>
      <w:kern w:val="28"/>
      <w:sz w:val="32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" w:type="paragraph">
    <w:name w:val="Code"/>
    <w:pPr>
      <w:spacing w:after="100" w:before="60"/>
      <w:ind w:left="454" w:right="227"/>
    </w:pPr>
    <w:rPr>
      <w:rFonts w:ascii="Liberation Mono" w:hAnsi="Liberation Mono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39</Pages>
  <Words>12324</Words>
  <Characters>70249</Characters>
  <Application>Microsoft Office Word</Application>
  <DocSecurity>0</DocSecurity>
  <Lines>585</Lines>
  <Paragraphs>164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  <vt:variant>
        <vt:lpstr>Title</vt:lpstr>
      </vt:variant>
      <vt:variant>
        <vt:i4>1</vt:i4>
      </vt:variant>
    </vt:vector>
  </HeadingPairs>
  <TitlesOfParts>
    <vt:vector size="102" baseType="lpstr">
      <vt:lpstr/>
      <vt:lpstr>Содержание</vt:lpstr>
      <vt:lpstr>    1 Методические рекомендации по работе с конспектами</vt:lpstr>
      <vt:lpstr>    1.1 Результаты обучения</vt:lpstr>
      <vt:lpstr>    1.2 Логика курса</vt:lpstr>
      <vt:lpstr>    2 Конспекты лекций 1 семестр</vt:lpstr>
      <vt:lpstr>        Лекция 1. Искусственный интеллект в креативных индустриях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2. Этика, авторское право и ответственное применение генеративного ИИ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3. Вероятностные модели, латентное пространство и автокодировщики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4. Генеративно-состязательные сети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5. Диффузионные модели и трансформерные механизмы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6. Архитектуры компьютерного зрения для медиазадач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7. Конвейер text-to-image и промпт-инжиниринг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8. Условная генерация, постобработка и оценка качества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/>
    </vt:vector>
  </TitlesOfParts>
  <Manager/>
  <Company/>
  <LinksUpToDate>false</LinksUpToDate>
  <CharactersWithSpaces>82409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Карточка модели, лицензии, происхождение данных и анализ рисков</dc:title>
  <dc:creator/>
  <cp:keywords/>
  <dcterms:created xsi:type="dcterms:W3CDTF">2026-09-19T06:54:06Z</dcterms:created>
  <dcterms:modified xsi:type="dcterms:W3CDTF">2026-09-19T06:54:06Z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Методические указания. Дисциплина «Искусственный интеллект в креативных технологиях», 09.04.02 Информационные системы и технологии, семестр 1</vt:lpwstr>
  </property>
</Properties>
</file>