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9E7411" w:rsidRDefault="00000000">
      <w:pPr>
        <w:spacing w:after="80"/>
        <w:jc w:val="center"/>
      </w:pPr>
      <w:r>
        <w:rPr>
          <w:noProof/>
        </w:rPr>
        <w:drawing>
          <wp:inline distT="0" distB="0" distL="0" distR="0">
            <wp:extent cx="621792" cy="676123"/>
            <wp:effectExtent l="0" t="0" r="0" b="0"/>
            <wp:docPr id="1" name="Picture 1" descr="Эмблема Донского государственного технического университета" title="Эмблема ДГТ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" cy="676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7411" w:rsidRPr="00052455" w:rsidRDefault="00000000">
      <w:pPr>
        <w:spacing w:after="240" w:line="240" w:lineRule="auto"/>
        <w:ind w:left="-144"/>
        <w:jc w:val="center"/>
        <w:rPr>
          <w:lang w:val="ru-RU"/>
        </w:rPr>
      </w:pPr>
      <w:r w:rsidRPr="00052455">
        <w:rPr>
          <w:rFonts w:eastAsia="Times New Roman"/>
          <w:sz w:val="24"/>
          <w:lang w:val="ru-RU"/>
        </w:rPr>
        <w:t>МИНИСТЕРСТВО НАУКИ И ВЫСШЕГО ОБРАЗОВАНИЯ РОССИЙСКОЙ ФЕДЕРАЦИИ</w:t>
      </w:r>
    </w:p>
    <w:p w:rsidR="009E7411" w:rsidRPr="00052455" w:rsidRDefault="00000000">
      <w:pPr>
        <w:spacing w:after="0" w:line="240" w:lineRule="auto"/>
        <w:jc w:val="center"/>
        <w:rPr>
          <w:lang w:val="ru-RU"/>
        </w:rPr>
      </w:pPr>
      <w:r w:rsidRPr="00052455">
        <w:rPr>
          <w:rFonts w:eastAsia="Times New Roman"/>
          <w:sz w:val="28"/>
          <w:lang w:val="ru-RU"/>
        </w:rPr>
        <w:t>ФЕДЕРАЛЬНОЕ ГОСУДАРСТВЕННОЕ БЮДЖЕТНОЕ</w:t>
      </w:r>
      <w:r w:rsidRPr="00052455">
        <w:rPr>
          <w:rFonts w:eastAsia="Times New Roman"/>
          <w:sz w:val="28"/>
          <w:lang w:val="ru-RU"/>
        </w:rPr>
        <w:br/>
        <w:t>ОБРАЗОВАТЕЛЬНОЕ УЧРЕЖДЕНИЕ</w:t>
      </w:r>
      <w:r w:rsidRPr="00052455">
        <w:rPr>
          <w:rFonts w:eastAsia="Times New Roman"/>
          <w:sz w:val="28"/>
          <w:lang w:val="ru-RU"/>
        </w:rPr>
        <w:br/>
        <w:t>ВЫСШЕГО ОБРАЗОВАНИЯ</w:t>
      </w:r>
      <w:r w:rsidRPr="00052455">
        <w:rPr>
          <w:rFonts w:eastAsia="Times New Roman"/>
          <w:sz w:val="28"/>
          <w:lang w:val="ru-RU"/>
        </w:rPr>
        <w:br/>
        <w:t>«ДОНСКОЙ ГОСУДАРСТВЕННЫЙ ТЕХНИЧЕСКИЙ УНИВЕРСИТЕТ»</w:t>
      </w:r>
      <w:r w:rsidRPr="00052455">
        <w:rPr>
          <w:rFonts w:eastAsia="Times New Roman"/>
          <w:sz w:val="28"/>
          <w:lang w:val="ru-RU"/>
        </w:rPr>
        <w:br/>
        <w:t>(ДГТУ)</w:t>
      </w:r>
    </w:p>
    <w:p w:rsidR="009E7411" w:rsidRPr="00052455" w:rsidRDefault="00000000">
      <w:pPr>
        <w:spacing w:before="1920" w:after="120" w:line="240" w:lineRule="auto"/>
        <w:jc w:val="center"/>
        <w:rPr>
          <w:lang w:val="ru-RU"/>
        </w:rPr>
      </w:pPr>
      <w:r w:rsidRPr="00052455">
        <w:rPr>
          <w:rFonts w:eastAsia="Times New Roman"/>
          <w:sz w:val="28"/>
          <w:lang w:val="ru-RU"/>
        </w:rPr>
        <w:t>ЛАБОРАТОРНАЯ РАБОТА №2</w:t>
      </w:r>
    </w:p>
    <w:p w:rsidR="009E7411" w:rsidRPr="00052455" w:rsidRDefault="00000000">
      <w:pPr>
        <w:spacing w:after="60" w:line="240" w:lineRule="auto"/>
        <w:jc w:val="center"/>
        <w:rPr>
          <w:lang w:val="ru-RU"/>
        </w:rPr>
      </w:pPr>
      <w:r w:rsidRPr="00052455">
        <w:rPr>
          <w:rFonts w:eastAsia="Times New Roman"/>
          <w:sz w:val="28"/>
          <w:lang w:val="ru-RU"/>
        </w:rPr>
        <w:t>по дисциплине:</w:t>
      </w:r>
    </w:p>
    <w:p w:rsidR="009E7411" w:rsidRPr="00052455" w:rsidRDefault="00000000">
      <w:pPr>
        <w:spacing w:after="440" w:line="240" w:lineRule="auto"/>
        <w:jc w:val="center"/>
        <w:rPr>
          <w:lang w:val="ru-RU"/>
        </w:rPr>
      </w:pPr>
      <w:r w:rsidRPr="00052455">
        <w:rPr>
          <w:rFonts w:eastAsia="Times New Roman"/>
          <w:sz w:val="28"/>
          <w:lang w:val="ru-RU"/>
        </w:rPr>
        <w:t>«Искусственный интеллект в креативных технологиях»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52"/>
        <w:gridCol w:w="1656"/>
        <w:gridCol w:w="4752"/>
      </w:tblGrid>
      <w:tr w:rsidR="009E7411">
        <w:trPr>
          <w:jc w:val="center"/>
        </w:trPr>
        <w:tc>
          <w:tcPr>
            <w:tcW w:w="2952" w:type="dxa"/>
            <w:tcMar>
              <w:top w:w="45" w:type="dxa"/>
              <w:left w:w="0" w:type="dxa"/>
              <w:bottom w:w="45" w:type="dxa"/>
              <w:right w:w="0" w:type="dxa"/>
            </w:tcMar>
            <w:vAlign w:val="center"/>
          </w:tcPr>
          <w:p w:rsidR="009E7411" w:rsidRDefault="00000000">
            <w:pPr>
              <w:spacing w:after="0" w:line="240" w:lineRule="auto"/>
            </w:pPr>
            <w:proofErr w:type="spellStart"/>
            <w:r>
              <w:rPr>
                <w:rFonts w:eastAsia="Times New Roman"/>
                <w:sz w:val="28"/>
              </w:rPr>
              <w:t>Направление</w:t>
            </w:r>
            <w:proofErr w:type="spellEnd"/>
          </w:p>
        </w:tc>
        <w:tc>
          <w:tcPr>
            <w:tcW w:w="1656" w:type="dxa"/>
            <w:tcMar>
              <w:top w:w="45" w:type="dxa"/>
              <w:left w:w="0" w:type="dxa"/>
              <w:bottom w:w="45" w:type="dxa"/>
              <w:right w:w="0" w:type="dxa"/>
            </w:tcMar>
            <w:vAlign w:val="center"/>
          </w:tcPr>
          <w:p w:rsidR="009E7411" w:rsidRDefault="009E7411">
            <w:pPr>
              <w:spacing w:after="0" w:line="240" w:lineRule="auto"/>
            </w:pPr>
          </w:p>
        </w:tc>
        <w:tc>
          <w:tcPr>
            <w:tcW w:w="4752" w:type="dxa"/>
            <w:tcMar>
              <w:top w:w="45" w:type="dxa"/>
              <w:left w:w="0" w:type="dxa"/>
              <w:bottom w:w="45" w:type="dxa"/>
              <w:right w:w="0" w:type="dxa"/>
            </w:tcMar>
            <w:vAlign w:val="center"/>
          </w:tcPr>
          <w:p w:rsidR="009E7411" w:rsidRDefault="00000000">
            <w:pPr>
              <w:spacing w:after="0" w:line="240" w:lineRule="auto"/>
            </w:pPr>
            <w:r>
              <w:rPr>
                <w:rFonts w:eastAsia="Times New Roman"/>
                <w:sz w:val="28"/>
              </w:rPr>
              <w:t>09.04.02 Информационные системы и технологии</w:t>
            </w:r>
          </w:p>
        </w:tc>
      </w:tr>
      <w:tr w:rsidR="009E7411">
        <w:trPr>
          <w:jc w:val="center"/>
        </w:trPr>
        <w:tc>
          <w:tcPr>
            <w:tcW w:w="2952" w:type="dxa"/>
            <w:tcMar>
              <w:top w:w="45" w:type="dxa"/>
              <w:left w:w="0" w:type="dxa"/>
              <w:bottom w:w="45" w:type="dxa"/>
              <w:right w:w="0" w:type="dxa"/>
            </w:tcMar>
            <w:vAlign w:val="center"/>
          </w:tcPr>
          <w:p w:rsidR="009E7411" w:rsidRDefault="00000000">
            <w:pPr>
              <w:spacing w:after="0" w:line="240" w:lineRule="auto"/>
            </w:pPr>
            <w:r>
              <w:rPr>
                <w:rFonts w:eastAsia="Times New Roman"/>
                <w:sz w:val="28"/>
              </w:rPr>
              <w:t>Программа</w:t>
            </w:r>
          </w:p>
        </w:tc>
        <w:tc>
          <w:tcPr>
            <w:tcW w:w="1656" w:type="dxa"/>
            <w:tcMar>
              <w:top w:w="45" w:type="dxa"/>
              <w:left w:w="0" w:type="dxa"/>
              <w:bottom w:w="45" w:type="dxa"/>
              <w:right w:w="0" w:type="dxa"/>
            </w:tcMar>
            <w:vAlign w:val="center"/>
          </w:tcPr>
          <w:p w:rsidR="009E7411" w:rsidRDefault="009E7411">
            <w:pPr>
              <w:spacing w:after="0" w:line="240" w:lineRule="auto"/>
            </w:pPr>
          </w:p>
        </w:tc>
        <w:tc>
          <w:tcPr>
            <w:tcW w:w="4752" w:type="dxa"/>
            <w:tcMar>
              <w:top w:w="45" w:type="dxa"/>
              <w:left w:w="0" w:type="dxa"/>
              <w:bottom w:w="45" w:type="dxa"/>
              <w:right w:w="0" w:type="dxa"/>
            </w:tcMar>
            <w:vAlign w:val="center"/>
          </w:tcPr>
          <w:p w:rsidR="009E7411" w:rsidRDefault="00000000">
            <w:pPr>
              <w:spacing w:after="0" w:line="240" w:lineRule="auto"/>
            </w:pPr>
            <w:r>
              <w:rPr>
                <w:rFonts w:eastAsia="Times New Roman"/>
                <w:sz w:val="28"/>
              </w:rPr>
              <w:t>Интеллектуальные медиатехнологии</w:t>
            </w:r>
          </w:p>
        </w:tc>
      </w:tr>
      <w:tr w:rsidR="009E7411">
        <w:trPr>
          <w:jc w:val="center"/>
        </w:trPr>
        <w:tc>
          <w:tcPr>
            <w:tcW w:w="2952" w:type="dxa"/>
            <w:tcMar>
              <w:top w:w="45" w:type="dxa"/>
              <w:left w:w="0" w:type="dxa"/>
              <w:bottom w:w="45" w:type="dxa"/>
              <w:right w:w="0" w:type="dxa"/>
            </w:tcMar>
            <w:vAlign w:val="center"/>
          </w:tcPr>
          <w:p w:rsidR="009E7411" w:rsidRDefault="00000000">
            <w:pPr>
              <w:spacing w:after="0" w:line="240" w:lineRule="auto"/>
            </w:pPr>
            <w:r>
              <w:rPr>
                <w:rFonts w:eastAsia="Times New Roman"/>
                <w:sz w:val="28"/>
              </w:rPr>
              <w:t>Номер зачетн. книжки</w:t>
            </w:r>
          </w:p>
        </w:tc>
        <w:tc>
          <w:tcPr>
            <w:tcW w:w="1656" w:type="dxa"/>
            <w:tcMar>
              <w:top w:w="45" w:type="dxa"/>
              <w:left w:w="0" w:type="dxa"/>
              <w:bottom w:w="45" w:type="dxa"/>
              <w:right w:w="0" w:type="dxa"/>
            </w:tcMar>
            <w:vAlign w:val="center"/>
          </w:tcPr>
          <w:p w:rsidR="009E7411" w:rsidRDefault="009E7411">
            <w:pPr>
              <w:spacing w:after="0" w:line="240" w:lineRule="auto"/>
            </w:pPr>
          </w:p>
        </w:tc>
        <w:tc>
          <w:tcPr>
            <w:tcW w:w="4752" w:type="dxa"/>
            <w:tcMar>
              <w:top w:w="45" w:type="dxa"/>
              <w:left w:w="0" w:type="dxa"/>
              <w:bottom w:w="45" w:type="dxa"/>
              <w:right w:w="0" w:type="dxa"/>
            </w:tcMar>
            <w:vAlign w:val="center"/>
          </w:tcPr>
          <w:p w:rsidR="009E7411" w:rsidRDefault="00000000">
            <w:pPr>
              <w:spacing w:after="0" w:line="240" w:lineRule="auto"/>
            </w:pPr>
            <w:r>
              <w:rPr>
                <w:rFonts w:eastAsia="Times New Roman"/>
                <w:sz w:val="28"/>
              </w:rPr>
              <w:t>2602149</w:t>
            </w:r>
          </w:p>
        </w:tc>
      </w:tr>
      <w:tr w:rsidR="009E7411">
        <w:trPr>
          <w:jc w:val="center"/>
        </w:trPr>
        <w:tc>
          <w:tcPr>
            <w:tcW w:w="2952" w:type="dxa"/>
            <w:tcMar>
              <w:top w:w="45" w:type="dxa"/>
              <w:left w:w="0" w:type="dxa"/>
              <w:bottom w:w="45" w:type="dxa"/>
              <w:right w:w="0" w:type="dxa"/>
            </w:tcMar>
            <w:vAlign w:val="center"/>
          </w:tcPr>
          <w:p w:rsidR="009E7411" w:rsidRDefault="00000000">
            <w:pPr>
              <w:spacing w:after="0" w:line="240" w:lineRule="auto"/>
            </w:pPr>
            <w:r>
              <w:rPr>
                <w:rFonts w:eastAsia="Times New Roman"/>
                <w:sz w:val="28"/>
              </w:rPr>
              <w:t>Группа</w:t>
            </w:r>
          </w:p>
        </w:tc>
        <w:tc>
          <w:tcPr>
            <w:tcW w:w="1656" w:type="dxa"/>
            <w:tcMar>
              <w:top w:w="45" w:type="dxa"/>
              <w:left w:w="0" w:type="dxa"/>
              <w:bottom w:w="45" w:type="dxa"/>
              <w:right w:w="0" w:type="dxa"/>
            </w:tcMar>
            <w:vAlign w:val="center"/>
          </w:tcPr>
          <w:p w:rsidR="009E7411" w:rsidRDefault="009E7411">
            <w:pPr>
              <w:spacing w:after="0" w:line="240" w:lineRule="auto"/>
            </w:pPr>
          </w:p>
        </w:tc>
        <w:tc>
          <w:tcPr>
            <w:tcW w:w="4752" w:type="dxa"/>
            <w:tcMar>
              <w:top w:w="45" w:type="dxa"/>
              <w:left w:w="0" w:type="dxa"/>
              <w:bottom w:w="45" w:type="dxa"/>
              <w:right w:w="0" w:type="dxa"/>
            </w:tcMar>
            <w:vAlign w:val="center"/>
          </w:tcPr>
          <w:p w:rsidR="009E7411" w:rsidRDefault="00000000">
            <w:pPr>
              <w:spacing w:after="0" w:line="240" w:lineRule="auto"/>
            </w:pPr>
            <w:r>
              <w:rPr>
                <w:rFonts w:eastAsia="Times New Roman"/>
                <w:sz w:val="28"/>
              </w:rPr>
              <w:t>МИК11</w:t>
            </w:r>
          </w:p>
        </w:tc>
      </w:tr>
      <w:tr w:rsidR="009E7411">
        <w:trPr>
          <w:jc w:val="center"/>
        </w:trPr>
        <w:tc>
          <w:tcPr>
            <w:tcW w:w="2952" w:type="dxa"/>
            <w:tcMar>
              <w:top w:w="45" w:type="dxa"/>
              <w:left w:w="0" w:type="dxa"/>
              <w:bottom w:w="45" w:type="dxa"/>
              <w:right w:w="0" w:type="dxa"/>
            </w:tcMar>
            <w:vAlign w:val="center"/>
          </w:tcPr>
          <w:p w:rsidR="009E7411" w:rsidRDefault="00000000">
            <w:pPr>
              <w:spacing w:after="0" w:line="240" w:lineRule="auto"/>
            </w:pPr>
            <w:r>
              <w:rPr>
                <w:rFonts w:eastAsia="Times New Roman"/>
                <w:sz w:val="28"/>
              </w:rPr>
              <w:t>Студент</w:t>
            </w:r>
          </w:p>
        </w:tc>
        <w:tc>
          <w:tcPr>
            <w:tcW w:w="1656" w:type="dxa"/>
            <w:tcMar>
              <w:top w:w="45" w:type="dxa"/>
              <w:left w:w="0" w:type="dxa"/>
              <w:bottom w:w="45" w:type="dxa"/>
              <w:right w:w="0" w:type="dxa"/>
            </w:tcMar>
            <w:vAlign w:val="center"/>
          </w:tcPr>
          <w:p w:rsidR="009E7411" w:rsidRDefault="009E7411">
            <w:pPr>
              <w:spacing w:after="0" w:line="240" w:lineRule="auto"/>
            </w:pPr>
          </w:p>
        </w:tc>
        <w:tc>
          <w:tcPr>
            <w:tcW w:w="4752" w:type="dxa"/>
            <w:tcMar>
              <w:top w:w="45" w:type="dxa"/>
              <w:left w:w="0" w:type="dxa"/>
              <w:bottom w:w="45" w:type="dxa"/>
              <w:right w:w="0" w:type="dxa"/>
            </w:tcMar>
            <w:vAlign w:val="center"/>
          </w:tcPr>
          <w:p w:rsidR="009E7411" w:rsidRDefault="00000000">
            <w:pPr>
              <w:spacing w:after="0" w:line="240" w:lineRule="auto"/>
            </w:pPr>
            <w:r>
              <w:rPr>
                <w:rFonts w:eastAsia="Times New Roman"/>
                <w:sz w:val="28"/>
              </w:rPr>
              <w:t>Рясной Владимир Олегович</w:t>
            </w:r>
          </w:p>
        </w:tc>
      </w:tr>
      <w:tr w:rsidR="009E7411">
        <w:trPr>
          <w:jc w:val="center"/>
        </w:trPr>
        <w:tc>
          <w:tcPr>
            <w:tcW w:w="2952" w:type="dxa"/>
            <w:tcMar>
              <w:top w:w="45" w:type="dxa"/>
              <w:left w:w="0" w:type="dxa"/>
              <w:bottom w:w="45" w:type="dxa"/>
              <w:right w:w="0" w:type="dxa"/>
            </w:tcMar>
            <w:vAlign w:val="center"/>
          </w:tcPr>
          <w:p w:rsidR="009E7411" w:rsidRDefault="00000000">
            <w:pPr>
              <w:spacing w:after="0" w:line="240" w:lineRule="auto"/>
            </w:pPr>
            <w:r>
              <w:rPr>
                <w:rFonts w:eastAsia="Times New Roman"/>
                <w:sz w:val="28"/>
              </w:rPr>
              <w:t>Преподаватель</w:t>
            </w:r>
          </w:p>
        </w:tc>
        <w:tc>
          <w:tcPr>
            <w:tcW w:w="1656" w:type="dxa"/>
            <w:tcMar>
              <w:top w:w="45" w:type="dxa"/>
              <w:left w:w="0" w:type="dxa"/>
              <w:bottom w:w="45" w:type="dxa"/>
              <w:right w:w="0" w:type="dxa"/>
            </w:tcMar>
            <w:vAlign w:val="center"/>
          </w:tcPr>
          <w:p w:rsidR="009E7411" w:rsidRDefault="009E7411">
            <w:pPr>
              <w:spacing w:after="0" w:line="240" w:lineRule="auto"/>
            </w:pPr>
          </w:p>
        </w:tc>
        <w:tc>
          <w:tcPr>
            <w:tcW w:w="4752" w:type="dxa"/>
            <w:tcMar>
              <w:top w:w="45" w:type="dxa"/>
              <w:left w:w="0" w:type="dxa"/>
              <w:bottom w:w="45" w:type="dxa"/>
              <w:right w:w="0" w:type="dxa"/>
            </w:tcMar>
            <w:vAlign w:val="center"/>
          </w:tcPr>
          <w:p w:rsidR="009E7411" w:rsidRPr="00052455" w:rsidRDefault="00052455">
            <w:pPr>
              <w:spacing w:after="0" w:line="240" w:lineRule="auto"/>
              <w:rPr>
                <w:lang w:val="ru-RU"/>
              </w:rPr>
            </w:pPr>
            <w:proofErr w:type="spellStart"/>
            <w:r>
              <w:rPr>
                <w:rFonts w:eastAsia="Times New Roman"/>
                <w:sz w:val="28"/>
                <w:lang w:val="ru-RU"/>
              </w:rPr>
              <w:t>Трубчик</w:t>
            </w:r>
            <w:proofErr w:type="spellEnd"/>
            <w:r>
              <w:rPr>
                <w:rFonts w:eastAsia="Times New Roman"/>
                <w:sz w:val="28"/>
                <w:lang w:val="ru-RU"/>
              </w:rPr>
              <w:t xml:space="preserve"> Ирина Степановна</w:t>
            </w:r>
          </w:p>
        </w:tc>
      </w:tr>
    </w:tbl>
    <w:p w:rsidR="009E7411" w:rsidRDefault="00052455">
      <w:pPr>
        <w:spacing w:before="2360" w:after="80" w:line="240" w:lineRule="auto"/>
        <w:jc w:val="center"/>
      </w:pPr>
      <w:r>
        <w:rPr>
          <w:rFonts w:eastAsia="Times New Roman"/>
          <w:sz w:val="28"/>
          <w:lang w:val="ru-RU"/>
        </w:rPr>
        <w:br/>
      </w:r>
      <w:r>
        <w:rPr>
          <w:rFonts w:eastAsia="Times New Roman"/>
          <w:sz w:val="28"/>
          <w:lang w:val="ru-RU"/>
        </w:rPr>
        <w:br/>
      </w:r>
      <w:r>
        <w:rPr>
          <w:rFonts w:eastAsia="Times New Roman"/>
          <w:sz w:val="28"/>
          <w:lang w:val="ru-RU"/>
        </w:rPr>
        <w:br/>
      </w:r>
      <w:r>
        <w:rPr>
          <w:rFonts w:eastAsia="Times New Roman"/>
          <w:sz w:val="28"/>
          <w:lang w:val="ru-RU"/>
        </w:rPr>
        <w:br/>
      </w:r>
      <w:r>
        <w:rPr>
          <w:rFonts w:eastAsia="Times New Roman"/>
          <w:sz w:val="28"/>
          <w:lang w:val="ru-RU"/>
        </w:rPr>
        <w:br/>
      </w:r>
      <w:proofErr w:type="spellStart"/>
      <w:r w:rsidR="00000000">
        <w:rPr>
          <w:rFonts w:eastAsia="Times New Roman"/>
          <w:sz w:val="28"/>
        </w:rPr>
        <w:t>Ростов-на-Дону</w:t>
      </w:r>
      <w:proofErr w:type="spellEnd"/>
    </w:p>
    <w:p w:rsidR="009E7411" w:rsidRDefault="00000000">
      <w:pPr>
        <w:spacing w:after="0" w:line="240" w:lineRule="auto"/>
        <w:jc w:val="center"/>
      </w:pPr>
      <w:r>
        <w:rPr>
          <w:rFonts w:eastAsia="Times New Roman"/>
          <w:sz w:val="28"/>
        </w:rPr>
        <w:t>2026</w:t>
      </w:r>
    </w:p>
    <w:p w:rsidR="009E7411" w:rsidRDefault="009E7411">
      <w:pPr>
        <w:sectPr w:rsidR="009E7411">
          <w:pgSz w:w="11909" w:h="16834"/>
          <w:pgMar w:top="1138" w:right="850" w:bottom="1138" w:left="1699" w:header="720" w:footer="720" w:gutter="0"/>
          <w:cols w:space="720"/>
          <w:docGrid w:linePitch="360"/>
        </w:sectPr>
      </w:pPr>
    </w:p>
    <w:p>
      <w:pPr>
        <w:pStyle w:val="1"/>
        <w:keepNext/>
        <w:widowControl/>
        <w:spacing w:after="100" w:line="240" w:lineRule="auto" w:before="24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30"/>
        </w:rPr>
        <w:t>Лабораторная работа 2</w:t>
      </w:r>
    </w:p>
    <w:p>
      <w:pPr>
        <w:pStyle w:val="21"/>
        <w:keepNext/>
        <w:widowControl/>
        <w:spacing w:after="100" w:line="240" w:lineRule="auto" w:before="16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>Карточка модели лицензии происхождение данных и анализ рисков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Вариант 13. Аудит исходного манифеста дал 0 ошибок и 1 предупреждение: у item07 отсутствует дата получения. Для него выбран карантин; четыре объекта NonCommercial рассмотрены и приняты с условиями заданного некоммерческого сценария. Подготовлены паспорт набора, карточка генератора и реестр шести рисков с RESULT: PASS.</w:t>
      </w:r>
    </w:p>
    <w:p>
      <w:pPr>
        <w:pStyle w:val="1"/>
        <w:keepNext/>
        <w:widowControl/>
        <w:spacing w:after="100" w:line="240" w:lineRule="auto" w:before="24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30"/>
        </w:rPr>
        <w:t>1 Цель сценарий и предварительные ожидания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Цель — документировать происхождение и условия использования набора и модели, проверить конфликты лицензий, принять решения по находкам и определить меры управления рисками. Вариант 13 соответствует третьему сценарию и первому профилю: 13 = (3 - 1) × 6 + 1. Набор публикуется университетом для открытого учебного некоммерческого использования.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472"/>
        <w:gridCol w:w="4133"/>
      </w:tblGrid>
      <w:tr>
        <w:trPr>
          <w:cantSplit/>
          <w:tblHeader/>
        </w:trPr>
        <w:tc>
          <w:tcPr>
            <w:tcW w:type="dxa" w:w="5472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EDEDED"/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Политика</w:t>
            </w:r>
          </w:p>
        </w:tc>
        <w:tc>
          <w:tcPr>
            <w:tcW w:type="dxa" w:w="4133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EDEDED"/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Значение</w:t>
            </w:r>
          </w:p>
        </w:tc>
      </w:tr>
      <w:tr>
        <w:trPr>
          <w:cantSplit/>
        </w:trPr>
        <w:tc>
          <w:tcPr>
            <w:tcW w:type="dxa" w:w="5472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Коммерческое использование</w:t>
            </w:r>
          </w:p>
        </w:tc>
        <w:tc>
          <w:tcPr>
            <w:tcW w:type="dxa" w:w="4133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Нет</w:t>
            </w:r>
          </w:p>
        </w:tc>
      </w:tr>
      <w:tr>
        <w:trPr>
          <w:cantSplit/>
        </w:trPr>
        <w:tc>
          <w:tcPr>
            <w:tcW w:type="dxa" w:w="5472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Публикация или передача набора</w:t>
            </w:r>
          </w:p>
        </w:tc>
        <w:tc>
          <w:tcPr>
            <w:tcW w:type="dxa" w:w="4133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Да</w:t>
            </w:r>
          </w:p>
        </w:tc>
      </w:tr>
      <w:tr>
        <w:trPr>
          <w:cantSplit/>
        </w:trPr>
        <w:tc>
          <w:tcPr>
            <w:tcW w:type="dxa" w:w="5472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Создание производных</w:t>
            </w:r>
          </w:p>
        </w:tc>
        <w:tc>
          <w:tcPr>
            <w:tcW w:type="dxa" w:w="4133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Да</w:t>
            </w:r>
          </w:p>
        </w:tc>
      </w:tr>
      <w:tr>
        <w:trPr>
          <w:cantSplit/>
        </w:trPr>
        <w:tc>
          <w:tcPr>
            <w:tcW w:type="dxa" w:w="5472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 w:val="0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ShareAlike допустимо</w:t>
            </w:r>
          </w:p>
        </w:tc>
        <w:tc>
          <w:tcPr>
            <w:tcW w:type="dxa" w:w="4133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 w:val="0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Да</w:t>
            </w:r>
          </w:p>
        </w:tc>
      </w:tr>
    </w:tbl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До первого аудита 07.10.2026 в 20:26:51 МСК (UTC+3) прочитаны политика и все 12 записей. Ожидались 0 ошибок и 1 предупреждение R8 у item07; NC у item02, item05, item06, item10 и SA у item06, item10 не должны конфликтовать с политикой. Критерий успеха: решения для всех находок, 7 и 9 заполненных разделов, не менее 5 рисков и 4 категорий с обязательными Data Privacy и Harmful Bias or Homogenization, RESULT: PASS и оговорка о пределах проверки.</w:t>
      </w:r>
    </w:p>
    <w:p>
      <w:pPr>
        <w:pStyle w:val="21"/>
        <w:keepNext/>
        <w:widowControl/>
        <w:spacing w:after="100" w:line="240" w:lineRule="auto" w:before="16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>Среда и происхождение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ЛР02 выполнена 7 октября 2026 года: CPython 3.12.14, macOS-26.6.2-arm64-arm-64bit; пять учебных скриптов используют только стандартную библиотеку. Манифест содержит вымышленные данные; медиафайлы отсутствуют, хеши относятся к строкам. Паспорт ЛР01 от 24 сентября используется только для карточки генератора, а не как источник дат и среды аудита ЛР02.</w:t>
      </w:r>
    </w:p>
    <w:p>
      <w:pPr>
        <w:pStyle w:val="1"/>
        <w:keepNext/>
        <w:widowControl/>
        <w:spacing w:after="100" w:line="240" w:lineRule="auto" w:before="24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30"/>
        </w:rPr>
        <w:t>2 Ход работы аудит и решения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Команды выполнены из lab_02. Исходные скрипты преподавателя не изменялись. Автоматические заготовки сохранены отдельно от завершённых документов. При повторении используется временная папка, чтобы сохранить первоначальные результаты и решения.</w:t>
      </w:r>
    </w:p>
    <w:p>
      <w:pPr>
        <w:keepNext w:val="0"/>
        <w:widowControl/>
        <w:spacing w:after="120" w:line="240" w:lineRule="auto"/>
        <w:ind w:firstLine="0"/>
        <w:jc w:val="left"/>
      </w:pPr>
      <w:r>
        <w:rPr>
          <w:rFonts w:ascii="Courier New" w:hAnsi="Courier New" w:eastAsia="Courier New"/>
          <w:b w:val="0"/>
          <w:color w:val="000000"/>
          <w:sz w:val="20"/>
        </w:rPr>
        <w:t>python src/lab02_make_variant.py --variant 13 --out artifacts/v13</w:t>
      </w:r>
    </w:p>
    <w:p>
      <w:pPr>
        <w:keepNext w:val="0"/>
        <w:widowControl/>
        <w:spacing w:after="120" w:line="240" w:lineRule="auto"/>
        <w:ind w:firstLine="0"/>
        <w:jc w:val="left"/>
      </w:pPr>
      <w:r>
        <w:rPr>
          <w:rFonts w:ascii="Courier New" w:hAnsi="Courier New" w:eastAsia="Courier New"/>
          <w:b w:val="0"/>
          <w:color w:val="000000"/>
          <w:sz w:val="20"/>
        </w:rPr>
        <w:t>python src/lab02_audit.py --manifest artifacts/v13/manifest.csv</w:t>
        <w:br/>
        <w:t xml:space="preserve">  --policy artifacts/v13/policy.json --out artifacts/v13</w:t>
      </w:r>
    </w:p>
    <w:p>
      <w:pPr>
        <w:keepNext w:val="0"/>
        <w:widowControl/>
        <w:spacing w:after="120" w:line="240" w:lineRule="auto"/>
        <w:ind w:firstLine="0"/>
        <w:jc w:val="left"/>
      </w:pPr>
      <w:r>
        <w:rPr>
          <w:rFonts w:ascii="Courier New" w:hAnsi="Courier New" w:eastAsia="Courier New"/>
          <w:b w:val="0"/>
          <w:color w:val="000000"/>
          <w:sz w:val="20"/>
        </w:rPr>
        <w:t>python src/lab02_model_card.py</w:t>
        <w:br/>
        <w:t xml:space="preserve">  --passport docs/input/lab01_passport.json</w:t>
        <w:br/>
        <w:t xml:space="preserve">  --out docs/generated/model_card_original.md</w:t>
        <w:br/>
        <w:t xml:space="preserve">  --owner "Рясной Владимир Олегович — составитель карточки</w:t>
        <w:br/>
        <w:t>и ответственный за учебный эксперимент"</w:t>
      </w:r>
    </w:p>
    <w:p>
      <w:pPr>
        <w:keepNext w:val="0"/>
        <w:widowControl/>
        <w:spacing w:after="120" w:line="240" w:lineRule="auto"/>
        <w:ind w:firstLine="0"/>
        <w:jc w:val="left"/>
      </w:pPr>
      <w:r>
        <w:rPr>
          <w:rFonts w:ascii="Courier New" w:hAnsi="Courier New" w:eastAsia="Courier New"/>
          <w:b w:val="0"/>
          <w:color w:val="000000"/>
          <w:sz w:val="20"/>
        </w:rPr>
        <w:t>python src/lab02_risks.py --template docs/generated/risk_template.csv</w:t>
      </w:r>
    </w:p>
    <w:p>
      <w:pPr>
        <w:keepNext w:val="0"/>
        <w:widowControl/>
        <w:spacing w:after="120" w:line="240" w:lineRule="auto"/>
        <w:ind w:firstLine="0"/>
        <w:jc w:val="left"/>
      </w:pPr>
      <w:r>
        <w:rPr>
          <w:rFonts w:ascii="Courier New" w:hAnsi="Courier New" w:eastAsia="Courier New"/>
          <w:b w:val="0"/>
          <w:color w:val="000000"/>
          <w:sz w:val="20"/>
        </w:rPr>
        <w:t>python src/lab02_risks.py --csv artifacts/risk_register.csv</w:t>
        <w:br/>
        <w:t xml:space="preserve">  --out artifacts/risk_ranking.md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Многострочные команды приведены как единый вызов. В параметре owner указывается составитель карточки и его роль; точное значение сохранено в журнале. Паспорт и карточка дополнены после генерации; шаблон реестра заполнен шестью рисками.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Сценарий: открытый учебный набор университета, некоммерческое использование, публикация, производные, ShareAlike допустимо.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Найдено: ошибок — 0, предупреждений — 1. Решениями покрыта 1 из 1 находок (100%).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080"/>
        <w:gridCol w:w="1152"/>
        <w:gridCol w:w="2232"/>
        <w:gridCol w:w="5141"/>
      </w:tblGrid>
      <w:tr>
        <w:trPr>
          <w:cantSplit/>
          <w:tblHeader/>
        </w:trPr>
        <w:tc>
          <w:tcPr>
            <w:tcW w:type="dxa" w:w="1080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EDEDED"/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Код</w:t>
            </w:r>
          </w:p>
        </w:tc>
        <w:tc>
          <w:tcPr>
            <w:tcW w:type="dxa" w:w="1152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EDEDED"/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Объект</w:t>
            </w:r>
          </w:p>
        </w:tc>
        <w:tc>
          <w:tcPr>
            <w:tcW w:type="dxa" w:w="2232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EDEDED"/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Описание</w:t>
            </w:r>
          </w:p>
        </w:tc>
        <w:tc>
          <w:tcPr>
            <w:tcW w:type="dxa" w:w="5141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EDEDED"/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Решение и обоснование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 w:val="0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R8</w:t>
            </w:r>
          </w:p>
        </w:tc>
        <w:tc>
          <w:tcPr>
            <w:tcW w:type="dxa" w:w="1152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 w:val="0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item07</w:t>
            </w:r>
          </w:p>
        </w:tc>
        <w:tc>
          <w:tcPr>
            <w:tcW w:type="dxa" w:w="2232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 w:val="0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не указана дата получения</w:t>
            </w:r>
          </w:p>
        </w:tc>
        <w:tc>
          <w:tcPr>
            <w:tcW w:type="dxa" w:w="5141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 w:val="0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Карантин до подтверждения даты поставщиком. Дата остаётся неизвестной; не заполняется по догадке. Объект исключён из кандидата выпуска, исходная запись сохранена.</w:t>
            </w:r>
          </w:p>
        </w:tc>
      </w:tr>
    </w:tbl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Сопоставление с ожиданиями: ожидаемые 0 ошибок и 1 предупреждение R8 у item07 подтверждены. Все четыре NC-объекта рассмотрены в decisions.json и nc_decisions.md. Запрос даты — предложенная мера для реального набора; фактически запрос не отправлялся.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Учебная упрощённая модель условий лицензий; не юридическая консультация.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008"/>
        <w:gridCol w:w="2016"/>
        <w:gridCol w:w="1728"/>
        <w:gridCol w:w="4853"/>
      </w:tblGrid>
      <w:tr>
        <w:trPr>
          <w:cantSplit/>
          <w:tblHeader/>
        </w:trPr>
        <w:tc>
          <w:tcPr>
            <w:tcW w:type="dxa" w:w="1008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EDEDED"/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Объект</w:t>
            </w:r>
          </w:p>
        </w:tc>
        <w:tc>
          <w:tcPr>
            <w:tcW w:type="dxa" w:w="201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EDEDED"/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Лицензия</w:t>
            </w:r>
          </w:p>
        </w:tc>
        <w:tc>
          <w:tcPr>
            <w:tcW w:type="dxa" w:w="1728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EDEDED"/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Решение</w:t>
            </w:r>
          </w:p>
        </w:tc>
        <w:tc>
          <w:tcPr>
            <w:tcW w:type="dxa" w:w="4853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EDEDED"/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Обоснование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item02</w:t>
            </w:r>
          </w:p>
        </w:tc>
        <w:tc>
          <w:tcPr>
            <w:tcW w:type="dxa" w:w="201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CC-BY-NC-4.0</w:t>
            </w:r>
          </w:p>
        </w:tc>
        <w:tc>
          <w:tcPr>
            <w:tcW w:type="dxa" w:w="1728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принять с условиями</w:t>
            </w:r>
          </w:p>
        </w:tc>
        <w:tc>
          <w:tcPr>
            <w:tcW w:type="dxa" w:w="4853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NC совместимо с commercial_use=false; сохранить атрибуцию, ссылку на лицензию и отметку изменений.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item05</w:t>
            </w:r>
          </w:p>
        </w:tc>
        <w:tc>
          <w:tcPr>
            <w:tcW w:type="dxa" w:w="201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CC-BY-NC-4.0</w:t>
            </w:r>
          </w:p>
        </w:tc>
        <w:tc>
          <w:tcPr>
            <w:tcW w:type="dxa" w:w="1728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принять с условиями</w:t>
            </w:r>
          </w:p>
        </w:tc>
        <w:tc>
          <w:tcPr>
            <w:tcW w:type="dxa" w:w="4853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NC совместимо с commercial_use=false; сохранить атрибуцию, ссылку на лицензию и отметку изменений.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item06</w:t>
            </w:r>
          </w:p>
        </w:tc>
        <w:tc>
          <w:tcPr>
            <w:tcW w:type="dxa" w:w="201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CC-BY-NC-SA-4.0</w:t>
            </w:r>
          </w:p>
        </w:tc>
        <w:tc>
          <w:tcPr>
            <w:tcW w:type="dxa" w:w="1728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принять с условиями</w:t>
            </w:r>
          </w:p>
        </w:tc>
        <w:tc>
          <w:tcPr>
            <w:tcW w:type="dxa" w:w="4853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NC совместимо с commercial_use=false; сохранить атрибуцию, ссылку на лицензию и отметку изменений. Адаптации распространять с NC-SA; share_alike_acceptable=true.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 w:val="0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item10</w:t>
            </w:r>
          </w:p>
        </w:tc>
        <w:tc>
          <w:tcPr>
            <w:tcW w:type="dxa" w:w="201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 w:val="0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CC-BY-NC-SA-4.0</w:t>
            </w:r>
          </w:p>
        </w:tc>
        <w:tc>
          <w:tcPr>
            <w:tcW w:type="dxa" w:w="1728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 w:val="0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принять с условиями</w:t>
            </w:r>
          </w:p>
        </w:tc>
        <w:tc>
          <w:tcPr>
            <w:tcW w:type="dxa" w:w="4853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 w:val="0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NC совместимо с commercial_use=false; сохранить атрибуцию, ссылку на лицензию и отметку изменений. Адаптации распространять с NC-SA; share_alike_acceptable=true.</w:t>
            </w:r>
          </w:p>
        </w:tc>
      </w:tr>
    </w:tbl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Решения условны по заявленным метаданным. Для реальных объектов проверяются первоисточник, полномочия правообладателя, атрибуция и документы. При commercial_use=true все четыре объекта потребуют исключения, замены или отдельного разрешения.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У остальных объектов лицензионного конфликта по каталогу не обнаружено. Решения и условия для всех 12 объектов записаны в decisions.json. Исходный манифест не менялся. Дополнительно создан manifest_release_candidate.csv без item07: 11 записей, повторный аудит — 0 ошибок и 0 предупреждений. Нулевой счёт не подтверждает действительность прав.</w:t>
      </w:r>
    </w:p>
    <w:p>
      <w:pPr>
        <w:pStyle w:val="1"/>
        <w:keepNext/>
        <w:widowControl/>
        <w:spacing w:after="100" w:line="240" w:lineRule="auto" w:before="24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30"/>
        </w:rPr>
        <w:t>3 Паспорт набора данных</w:t>
      </w:r>
    </w:p>
    <w:p>
      <w:pPr>
        <w:pStyle w:val="21"/>
        <w:keepNext/>
        <w:widowControl/>
        <w:spacing w:after="100" w:line="240" w:lineRule="auto" w:before="16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>1 Motivation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Набор предназначен для обучения проверке происхождения, условий использования и рисков мультимедийных материалов. Пользователи — студенты и преподаватель. Сценарий — открытый учебный набор университета без коммерческого использования, с публикацией и созданием производных, которые допускается передавать на тех же условиях. Документ описывает учебный манифест, а не реально собранный медиакорпус.</w:t>
      </w:r>
    </w:p>
    <w:p>
      <w:pPr>
        <w:pStyle w:val="21"/>
        <w:keepNext/>
        <w:widowControl/>
        <w:spacing w:after="100" w:line="240" w:lineRule="auto" w:before="16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>2 Composition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В исходном манифесте 12 записей: 4 audio, 4 text, 4 image. Каждая содержит id, filename, media_type, source, date_acquired, license, rights_holder, personal_data, consent, sha256. Все шесть лицензий представлены по два раза: CC0-1.0, CC-BY-4.0, CC-BY-NC-4.0, CC-BY-NC-SA-4.0, MIT, Apache-2.0. У 10 объектов каталог требует сохранения сведений об авторстве. Персональные данные отсутствуют: personal_data=no у всех 12, consent=n-a. Дубликатов контрольных сумм нет. Аудит: 0 ошибок и 1 предупреждение R8 для item07. После применения карантина учебный список для выпуска содержит 11 записей, а item07 остаётся в исходном манифесте.</w:t>
      </w:r>
    </w:p>
    <w:p>
      <w:pPr>
        <w:pStyle w:val="21"/>
        <w:keepNext/>
        <w:widowControl/>
        <w:spacing w:after="100" w:line="240" w:lineRule="auto" w:before="16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>3 Collection Process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Записи реально созданы 7 октября 2026 года скриптом lab02_make_variant.py; генератор использует random.Random(1013), то есть 1000 + номер варианта. Указанные в записях даты 2026-01-13–2026-08-25 вымышлены и не являются датами реальной загрузки. У item07 дата неизвестна. Источники example.org/archive/itemNN и правообладатели Автор-NN условны; никаких материалов с этих адресов не скачивали. Контрольная сумма каждой записи вычислена от строки variant13-itemNN, а не от медиабайтов. Файлы WAV, TXT и PNG, перечисленные в манифесте, не существуют в комплекте. Поэтому проверить содержимое, действительность прав и наличие людей по этому набору невозможно.</w:t>
      </w:r>
    </w:p>
    <w:p>
      <w:pPr>
        <w:pStyle w:val="21"/>
        <w:keepNext/>
        <w:widowControl/>
        <w:spacing w:after="100" w:line="240" w:lineRule="auto" w:before="16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>4 Preprocessing cleaning labeling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Исходный manifest.csv сохранён без исправлений. item07 отправлен в карантин: дата не восстановлена по догадке, запрос поставщику сформулирован в журнале, фактический запрос не отправлялся. Файл manifest_release_candidate.csv содержит остальные 11 записей; quarantine.csv содержит item07. Повторный аудит этого кандидата дал 0 ошибок и 0 предупреждений. Объекты с NC не исключены: четыре записи соответствуют текущей политике. Метки media_type, personal_data и consent созданы скриптом, ручной разметки содержимого нет.</w:t>
      </w:r>
    </w:p>
    <w:p>
      <w:pPr>
        <w:pStyle w:val="21"/>
        <w:keepNext/>
        <w:widowControl/>
        <w:spacing w:after="100" w:line="240" w:lineRule="auto" w:before="16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>5 Uses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Предполагается учебная некоммерческая работа. item02 и item05 под CC-BY-NC-4.0 принимаются с сохранением BY и NC; item06 и item10 под CC-BY-NC-SA-4.0 дополнительно требуют сохранения SA при распространении адаптаций. Это инженерная классификация по заявленным метаданным. Коммерческое переиспользование этих четырёх объектов требует отдельного разрешения или замены; при смене сценария аудит повторяется. Набор не подходит для обучения или оценки реальной модели, проверки медиахешей, анализа репрезентативности или утверждения о юридической чистоте.</w:t>
      </w:r>
    </w:p>
    <w:p>
      <w:pPr>
        <w:pStyle w:val="21"/>
        <w:keepNext/>
        <w:widowControl/>
        <w:spacing w:after="100" w:line="240" w:lineRule="auto" w:before="16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>6 Distribution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Публикуются синтетические записи, решения и результаты аудита. Лицензии в manifest.csv относятся к вымышленным объектам и не устанавливают лицензию на отчёт, методичку, код или весь GitHub-репозиторий. Набор не объявляется единообразно лицензированным или свободным для любых целей. Для реальных материалов нужно отдельно приложить автора, источник, ссылку на лицензию, уведомления и перечень изменений. Для MIT и Apache-2.0 четырёх учебных флагов недостаточно: проверяются полный текст лицензии и применимые уведомления. Карантинный объект не включается в предполагаемый выпуск медиакорпуса; его метаданные сохранены как доказательство учебной находки.</w:t>
      </w:r>
    </w:p>
    <w:p>
      <w:pPr>
        <w:pStyle w:val="21"/>
        <w:keepNext/>
        <w:widowControl/>
        <w:spacing w:after="100" w:line="240" w:lineRule="auto" w:before="16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>7 Maintenance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За документацию учебного комплекта отвечает Рясной Владимир Олегович. Предложенный порядок сопровождения реального набора: регистрировать обращения через Issues репозитория, скрывать спорный объект до проверки, сверять лицензию и документы с первоисточником, обновлять манифест, номер версии и журнал решения. Документы с персональными данными не размещаются публично. Для item07 требуется документ поставщика с датой получения и привязкой к объекту; при невозможности подтвердить дату карантин сохраняется. Смена коммерческого статуса или правил распространения требует нового аудита и юридической оценки.</w:t>
      </w:r>
    </w:p>
    <w:p>
      <w:pPr>
        <w:pStyle w:val="1"/>
        <w:keepNext/>
        <w:widowControl/>
        <w:spacing w:after="100" w:line="240" w:lineRule="auto" w:before="24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30"/>
        </w:rPr>
        <w:t>4 Карточка модели</w:t>
      </w:r>
    </w:p>
    <w:p>
      <w:pPr>
        <w:pStyle w:val="21"/>
        <w:keepNext/>
        <w:widowControl/>
        <w:spacing w:after="100" w:line="240" w:lineRule="auto" w:before="16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>1 Model Details</w:t>
      </w:r>
    </w:p>
    <w:p>
      <w:pPr>
        <w:keepNext w:val="0"/>
        <w:widowControl/>
        <w:spacing w:after="120" w:line="240" w:lineRule="auto"/>
        <w:ind w:firstLine="432"/>
        <w:jc w:val="left"/>
      </w:pPr>
      <w:r>
        <w:rPr>
          <w:rFonts w:ascii="Times New Roman" w:hAnsi="Times New Roman" w:eastAsia="Times New Roman"/>
          <w:b w:val="0"/>
          <w:color w:val="000000"/>
          <w:sz w:val="22"/>
        </w:rPr>
        <w:t>lab01_generator.py версии 1.0 — процедурный алгоритм шума значений с несколькими октавами и контекстом marble, а не обучаемая нейросеть. Веса отсутствуют. Источник — собственный паспорт ЛР01 варианта 13 от 24.09.2026 13:46:37 UTC (16:46:37 МСК); его точная копия находится в docs/input/lab01_passport.json. Среда исходного опыта: CPython 3.12.8, macOS-26.6.2-arm64-arm-64bit, zlib 1.2.11; сторонние пакеты не использовались. SHA-256 генератора: 8f07d340a5a765a8e44f1fec407489cf00114ba54216aa7539c4e7116680e152.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Ответственный за эксперимент и составление карточки — Рясной Владимир Олегович; это не утверждение авторства учебного генератора. Лицензия кода в паспорте и исходнике не объявлена. Решение: зафиксировать ограничение и не разрешать внешнее продуктовое применение или перелицензирование до подтверждения преподавателем либо правообладателем. Лицензия весов неприменима, поскольку весов нет. Права на результаты генерации рассматриваются отдельно и не выводятся из лицензий синтетического манифеста ЛР02.</w:t>
      </w:r>
    </w:p>
    <w:p>
      <w:pPr>
        <w:pStyle w:val="21"/>
        <w:keepNext/>
        <w:widowControl/>
        <w:spacing w:after="100" w:line="240" w:lineRule="auto" w:before="16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>2 Intended Use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Учебная проверка воспроизводимости, работы seed и влияния параметров процедурной текстуры. Пользователи — студент и преподаватель. Модель не предназначена для вывода о качестве больших генеративных моделей, принятия значимых решений о людях или выпуска коммерческих изображений без отдельной проверки прав и пригодности.</w:t>
      </w:r>
    </w:p>
    <w:p>
      <w:pPr>
        <w:pStyle w:val="21"/>
        <w:keepNext/>
        <w:widowControl/>
        <w:spacing w:after="100" w:line="240" w:lineRule="auto" w:before="16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>3 Factors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В ЛР01 изменялся только размер: 96 × 96 → 144 × 144 пикселя. Остальные параметры: cell=24, octaves=5, persistence=0.55, quantize=8, interp=smooth. Базовый seed=101, серии seed 101–105, n=5. При смене размера изменяется набор случайных узлов, поэтому сравниваются статистики, а не попиксельное равенство изображений разных размеров. Группы людей и языки неприменимы: входного человеческого контента нет.</w:t>
      </w:r>
    </w:p>
    <w:p>
      <w:pPr>
        <w:pStyle w:val="21"/>
        <w:keepNext/>
        <w:widowControl/>
        <w:spacing w:after="100" w:line="240" w:lineRule="auto" w:before="16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>4 Metrics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Средняя яркость — среднее нормированных значений пикселей; контраст — стандартное отклонение яркости с делителем по числу пикселей; граничная энергия — средняя абсолютная разность горизонтально соседних пикселей, нормированная на 255; энтропия — энтропия гистограммы яркости в битах. Между seed вычисляется выборочное стандартное отклонение s с делителем n−1. Учебный критерий ЛР01: абсолютная разность средних больше 2s базы; это не формальный статистический тест. Метрики не оценивают эстетику, читаемость обложки или безопасность.</w:t>
      </w:r>
    </w:p>
    <w:p>
      <w:pPr>
        <w:pStyle w:val="21"/>
        <w:keepNext/>
        <w:widowControl/>
        <w:spacing w:after="100" w:line="240" w:lineRule="auto" w:before="16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>5 Evaluation Data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Внешнего тестового набора нет. Использованы две серии по пять синтетических изображений с seed 101–105 для размеров 96 и 144. Контрольный протокол ЛР01: seed 101, 101, 1101, 101; EQ_1_2=true, EQ_1_4=true, EQ_1_3=false, EQ_2_4=true. Эти значения перенесены из паспорта и сопоставлены с results.json ЛР01. Манифест из 12 объектов ЛР02 к оценке генератора отношения не имеет; опыт генератора заново для ЛР02 не проводился.</w:t>
      </w:r>
    </w:p>
    <w:p>
      <w:pPr>
        <w:pStyle w:val="21"/>
        <w:keepNext/>
        <w:widowControl/>
        <w:spacing w:after="100" w:line="240" w:lineRule="auto" w:before="16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>6 Training Data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Обучение не выполнялось, обучающих данных, предобученных весов и датасета разметки нет. Случайные узлы процедурного алгоритма создаются во время выполнения. Утверждать, что модель обучена на открытом учебном наборе ЛР02, нельзя.</w:t>
      </w:r>
    </w:p>
    <w:p>
      <w:pPr>
        <w:pStyle w:val="21"/>
        <w:keepNext/>
        <w:widowControl/>
        <w:spacing w:after="100" w:line="240" w:lineRule="auto" w:before="16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>7 Quantitative Analyses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1573"/>
        <w:gridCol w:w="1573"/>
        <w:gridCol w:w="1573"/>
        <w:gridCol w:w="1573"/>
      </w:tblGrid>
      <w:tr>
        <w:trPr>
          <w:cantSplit/>
          <w:tblHeader/>
        </w:trPr>
        <w:tc>
          <w:tcPr>
            <w:tcW w:type="dxa" w:w="3312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EDEDED"/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Метрика</w:t>
            </w:r>
          </w:p>
        </w:tc>
        <w:tc>
          <w:tcPr>
            <w:tcW w:type="dxa" w:w="1573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EDEDED"/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Среднее базы</w:t>
            </w:r>
          </w:p>
        </w:tc>
        <w:tc>
          <w:tcPr>
            <w:tcW w:type="dxa" w:w="1573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EDEDED"/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s базы</w:t>
            </w:r>
          </w:p>
        </w:tc>
        <w:tc>
          <w:tcPr>
            <w:tcW w:type="dxa" w:w="1573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EDEDED"/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Среднее фактора</w:t>
            </w:r>
          </w:p>
        </w:tc>
        <w:tc>
          <w:tcPr>
            <w:tcW w:type="dxa" w:w="1573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EDEDED"/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Разность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Средняя яркость</w:t>
            </w:r>
          </w:p>
        </w:tc>
        <w:tc>
          <w:tcPr>
            <w:tcW w:type="dxa" w:w="1573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0.4943</w:t>
            </w:r>
          </w:p>
        </w:tc>
        <w:tc>
          <w:tcPr>
            <w:tcW w:type="dxa" w:w="1573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0.0134</w:t>
            </w:r>
          </w:p>
        </w:tc>
        <w:tc>
          <w:tcPr>
            <w:tcW w:type="dxa" w:w="1573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0.5038</w:t>
            </w:r>
          </w:p>
        </w:tc>
        <w:tc>
          <w:tcPr>
            <w:tcW w:type="dxa" w:w="1573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+0.0095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Контраст</w:t>
            </w:r>
          </w:p>
        </w:tc>
        <w:tc>
          <w:tcPr>
            <w:tcW w:type="dxa" w:w="1573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0.1162</w:t>
            </w:r>
          </w:p>
        </w:tc>
        <w:tc>
          <w:tcPr>
            <w:tcW w:type="dxa" w:w="1573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0.0102</w:t>
            </w:r>
          </w:p>
        </w:tc>
        <w:tc>
          <w:tcPr>
            <w:tcW w:type="dxa" w:w="1573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0.1181</w:t>
            </w:r>
          </w:p>
        </w:tc>
        <w:tc>
          <w:tcPr>
            <w:tcW w:type="dxa" w:w="1573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+0.0019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Граничная энергия</w:t>
            </w:r>
          </w:p>
        </w:tc>
        <w:tc>
          <w:tcPr>
            <w:tcW w:type="dxa" w:w="1573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0.0198</w:t>
            </w:r>
          </w:p>
        </w:tc>
        <w:tc>
          <w:tcPr>
            <w:tcW w:type="dxa" w:w="1573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0.0005</w:t>
            </w:r>
          </w:p>
        </w:tc>
        <w:tc>
          <w:tcPr>
            <w:tcW w:type="dxa" w:w="1573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0.0199</w:t>
            </w:r>
          </w:p>
        </w:tc>
        <w:tc>
          <w:tcPr>
            <w:tcW w:type="dxa" w:w="1573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+0.0001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 w:val="0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Энтропия бит</w:t>
            </w:r>
          </w:p>
        </w:tc>
        <w:tc>
          <w:tcPr>
            <w:tcW w:type="dxa" w:w="1573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 w:val="0"/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6.8756</w:t>
            </w:r>
          </w:p>
        </w:tc>
        <w:tc>
          <w:tcPr>
            <w:tcW w:type="dxa" w:w="1573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 w:val="0"/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0.1224</w:t>
            </w:r>
          </w:p>
        </w:tc>
        <w:tc>
          <w:tcPr>
            <w:tcW w:type="dxa" w:w="1573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 w:val="0"/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6.9343</w:t>
            </w:r>
          </w:p>
        </w:tc>
        <w:tc>
          <w:tcPr>
            <w:tcW w:type="dxa" w:w="1573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 w:val="0"/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+0.0586</w:t>
            </w:r>
          </w:p>
        </w:tc>
      </w:tr>
    </w:tbl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Отношения абсолютной разности к s базы: 0.71, 0.18, 0.26, 0.48 соответственно. Ни одно не превышает 2. Изменение не обнаружено по учебному критерию при n=5; это не доказательство отсутствия эффекта. Значения относятся к опыту ЛР01 24 сентября, а не к запуску аудита 7 октября.</w:t>
      </w:r>
    </w:p>
    <w:p>
      <w:pPr>
        <w:pStyle w:val="21"/>
        <w:keepNext/>
        <w:widowControl/>
        <w:spacing w:after="100" w:line="240" w:lineRule="auto" w:before="16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>8 Ethical Considerations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Алгоритм не обрабатывает изображения людей, внешние произведения или персональные данные; получаются синтетические текстуры. Это ограничивает некоторые риски, но не подтверждает права на код и не даёт универсальной правовой гарантии для изображений. При описании результата следует раскрывать его процедурное происхождение и не представлять его как фотографию реального материала. Для перехода к реальному медиакорпусу нужен отдельный анализ приватности, репрезентативности и лицензий.</w:t>
      </w:r>
    </w:p>
    <w:p>
      <w:pPr>
        <w:pStyle w:val="21"/>
        <w:keepNext/>
        <w:widowControl/>
        <w:spacing w:after="100" w:line="240" w:lineRule="auto" w:before="16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>9 Caveats and Recommendations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Малая серия n=5 ограничивает оценку разброса; исследованы одна модель и один фактор. Увеличение размера меняет случайную решётку; метрики описывают яркость, не визуальное качество. Паспорт эксперимента позволил заполнить технические разделы, но не установил лицензию кода, ответственного за сопровождение и условия продуктового использования. В карточке назначен ответственный за учебный эксперимент; лицензионный пробел зафиксирован явным ограничением, а не выдуманным SPDX-идентификатором. До внешнего применения требуется подтверждение прав. При переходе к обучаемой модели нужно добавить версию и лицензию весов, происхождение обучающих данных, внешнюю оценку и анализ подгрупп.</w:t>
      </w:r>
    </w:p>
    <w:p>
      <w:pPr>
        <w:pStyle w:val="1"/>
        <w:keepNext/>
        <w:widowControl/>
        <w:spacing w:after="100" w:line="240" w:lineRule="auto" w:before="24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30"/>
        </w:rPr>
        <w:t>5 Реестр рисков и результат проверки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Оценка R = L × I; L и I заданы по шкале 1–5. Это качественные учебные оценки риска до применения мер, без измерения частоты инцидентов. Шесть рисков относятся к шести группам из нумерованного перечня раздела 2 NIST AI 600-1 [7]. Роли в реестре задают предлагаемый процесс реального выпуска; за учебную документацию отвечает составитель.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92"/>
        <w:gridCol w:w="6221"/>
        <w:gridCol w:w="864"/>
        <w:gridCol w:w="864"/>
        <w:gridCol w:w="864"/>
      </w:tblGrid>
      <w:tr>
        <w:trPr>
          <w:cantSplit/>
          <w:tblHeader/>
        </w:trPr>
        <w:tc>
          <w:tcPr>
            <w:tcW w:type="dxa" w:w="792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EDEDED"/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ID</w:t>
            </w:r>
          </w:p>
        </w:tc>
        <w:tc>
          <w:tcPr>
            <w:tcW w:type="dxa" w:w="6221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EDEDED"/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Группа NIST</w:t>
            </w:r>
          </w:p>
        </w:tc>
        <w:tc>
          <w:tcPr>
            <w:tcW w:type="dxa" w:w="864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EDEDED"/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L</w:t>
            </w:r>
          </w:p>
        </w:tc>
        <w:tc>
          <w:tcPr>
            <w:tcW w:type="dxa" w:w="864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EDEDED"/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I</w:t>
            </w:r>
          </w:p>
        </w:tc>
        <w:tc>
          <w:tcPr>
            <w:tcW w:type="dxa" w:w="864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EDEDED"/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R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K01</w:t>
            </w:r>
          </w:p>
        </w:tc>
        <w:tc>
          <w:tcPr>
            <w:tcW w:type="dxa" w:w="6221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Value Chain and Component Integration</w:t>
            </w:r>
          </w:p>
        </w:tc>
        <w:tc>
          <w:tcPr>
            <w:tcW w:type="dxa" w:w="864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4</w:t>
            </w:r>
          </w:p>
        </w:tc>
        <w:tc>
          <w:tcPr>
            <w:tcW w:type="dxa" w:w="864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4</w:t>
            </w:r>
          </w:p>
        </w:tc>
        <w:tc>
          <w:tcPr>
            <w:tcW w:type="dxa" w:w="864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16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K02</w:t>
            </w:r>
          </w:p>
        </w:tc>
        <w:tc>
          <w:tcPr>
            <w:tcW w:type="dxa" w:w="6221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Intellectual Property</w:t>
            </w:r>
          </w:p>
        </w:tc>
        <w:tc>
          <w:tcPr>
            <w:tcW w:type="dxa" w:w="864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3</w:t>
            </w:r>
          </w:p>
        </w:tc>
        <w:tc>
          <w:tcPr>
            <w:tcW w:type="dxa" w:w="864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5</w:t>
            </w:r>
          </w:p>
        </w:tc>
        <w:tc>
          <w:tcPr>
            <w:tcW w:type="dxa" w:w="864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15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K05</w:t>
            </w:r>
          </w:p>
        </w:tc>
        <w:tc>
          <w:tcPr>
            <w:tcW w:type="dxa" w:w="6221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Information Integrity</w:t>
            </w:r>
          </w:p>
        </w:tc>
        <w:tc>
          <w:tcPr>
            <w:tcW w:type="dxa" w:w="864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3</w:t>
            </w:r>
          </w:p>
        </w:tc>
        <w:tc>
          <w:tcPr>
            <w:tcW w:type="dxa" w:w="864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4</w:t>
            </w:r>
          </w:p>
        </w:tc>
        <w:tc>
          <w:tcPr>
            <w:tcW w:type="dxa" w:w="864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12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K06</w:t>
            </w:r>
          </w:p>
        </w:tc>
        <w:tc>
          <w:tcPr>
            <w:tcW w:type="dxa" w:w="6221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Human-AI Configuration</w:t>
            </w:r>
          </w:p>
        </w:tc>
        <w:tc>
          <w:tcPr>
            <w:tcW w:type="dxa" w:w="864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3</w:t>
            </w:r>
          </w:p>
        </w:tc>
        <w:tc>
          <w:tcPr>
            <w:tcW w:type="dxa" w:w="864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4</w:t>
            </w:r>
          </w:p>
        </w:tc>
        <w:tc>
          <w:tcPr>
            <w:tcW w:type="dxa" w:w="864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12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K03</w:t>
            </w:r>
          </w:p>
        </w:tc>
        <w:tc>
          <w:tcPr>
            <w:tcW w:type="dxa" w:w="6221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Data Privacy</w:t>
            </w:r>
          </w:p>
        </w:tc>
        <w:tc>
          <w:tcPr>
            <w:tcW w:type="dxa" w:w="864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2</w:t>
            </w:r>
          </w:p>
        </w:tc>
        <w:tc>
          <w:tcPr>
            <w:tcW w:type="dxa" w:w="864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5</w:t>
            </w:r>
          </w:p>
        </w:tc>
        <w:tc>
          <w:tcPr>
            <w:tcW w:type="dxa" w:w="864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/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 w:val="0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K04</w:t>
            </w:r>
          </w:p>
        </w:tc>
        <w:tc>
          <w:tcPr>
            <w:tcW w:type="dxa" w:w="6221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 w:val="0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Harmful Bias or Homogenization</w:t>
            </w:r>
          </w:p>
        </w:tc>
        <w:tc>
          <w:tcPr>
            <w:tcW w:type="dxa" w:w="864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 w:val="0"/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3</w:t>
            </w:r>
          </w:p>
        </w:tc>
        <w:tc>
          <w:tcPr>
            <w:tcW w:type="dxa" w:w="864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 w:val="0"/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3</w:t>
            </w:r>
          </w:p>
        </w:tc>
        <w:tc>
          <w:tcPr>
            <w:tcW w:type="dxa" w:w="864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keepNext w:val="0"/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9</w:t>
            </w:r>
          </w:p>
        </w:tc>
      </w:tr>
    </w:tbl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</w:r>
    </w:p>
    <w:p>
      <w:pPr>
        <w:pStyle w:val="21"/>
        <w:keepNext/>
        <w:widowControl/>
        <w:spacing w:after="100" w:line="240" w:lineRule="auto" w:before="16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>K01 Value Chain and Component Integration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В выпуск попадает объект с неподтверждённой датой получения, как item07. Мера: Карантин item07; подтверждение даты документом поставщика; запрет догадок. Ответственный: куратор данных. Признак наступления: R8 у объекта в кандидате выпуска или объект включён без документа о дате.</w:t>
      </w:r>
    </w:p>
    <w:p>
      <w:pPr>
        <w:pStyle w:val="21"/>
        <w:keepNext/>
        <w:widowControl/>
        <w:spacing w:after="100" w:line="240" w:lineRule="auto" w:before="16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>K02 Intellectual Property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NC-объекты повторно используются коммерчески либо адаптация NC-SA распространяется без SA. Мера: Сохранить BY/NC/SA; при смене сценария повторить аудит и запросить разрешение либо заменить объект. Ответственный: ответственный за права. Признак наступления: commercial_use=true при наличии item02,item05,item06,item10 или отсутствует NC-SA у адаптации item06/item10.</w:t>
      </w:r>
    </w:p>
    <w:p>
      <w:pPr>
        <w:pStyle w:val="21"/>
        <w:keepNext/>
        <w:widowControl/>
        <w:spacing w:after="100" w:line="240" w:lineRule="auto" w:before="16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>K05 Information Integrity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Синтетические метаданные и хеши строк предъявляются как доказательство реального происхождения. Мера: Маркировать синтетический набор; различать строковые SHA-256 и хеши медиабайтов. Ответственный: составитель документации. Признак наступления: Отчёт называет example.org реальной загрузкой либо хеш записи выдаёт за проверку отсутствующего медиофайла.</w:t>
      </w:r>
    </w:p>
    <w:p>
      <w:pPr>
        <w:pStyle w:val="21"/>
        <w:keepNext/>
        <w:widowControl/>
        <w:spacing w:after="100" w:line="240" w:lineRule="auto" w:before="16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>K06 Human-AI Configuration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Нулевые ошибки аудита ошибочно принимаются как юридическое разрешение. Мера: Сохранять ограничения и человеческую проверку первоисточников перед реальным выпуском. Ответственный: ответственный за выпуск. Признак наступления: Выпуск разрешён только на основании 0 ошибок без решений по предупреждениям и проверки прав.</w:t>
      </w:r>
    </w:p>
    <w:p>
      <w:pPr>
        <w:pStyle w:val="21"/>
        <w:keepNext/>
        <w:widowControl/>
        <w:spacing w:after="100" w:line="240" w:lineRule="auto" w:before="16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>K03 Data Privacy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В будущем реальном корпусе флаг personal_data=no скрывает узнаваемого человека или идентификатор. Мера: Проверять сами материалы и согласия на публикацию; карантин при несовпадении метаданных. Ответственный: куратор данных и юрист проекта. Признак наступления: При просмотре найден человек/идентификатор при personal_data=no либо нет согласия на публикацию.</w:t>
      </w:r>
    </w:p>
    <w:p>
      <w:pPr>
        <w:pStyle w:val="21"/>
        <w:keepNext/>
        <w:widowControl/>
        <w:spacing w:after="100" w:line="240" w:lineRule="auto" w:before="16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>K04 Harmful Bias or Homogenization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Малый или однообразный реальный корпус ошибочно считают репрезентативным для всех групп и языков. Мера: Описывать охват и ограничения; проверять распределения тем, языков и групп до оценки модели. Ответственный: редактор набора. Признак наступления: В заявленном охвате есть группа или язык с нулём примеров, либо серия не проходит проверку разнообразия.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Проверка lab02_risks.py: RESULT: PASS, код возврата 0. Обе обязательные группы варианта присутствуют. Все строки имеют меры, ответственных и наблюдаемые признаки. Полный вывод сохранён в artifacts/risk_validation.log. Риски приватности и смещения относятся к будущему реальному наполнению, а не к установленным инцидентам в вымышленных записях.</w:t>
      </w:r>
    </w:p>
    <w:p>
      <w:pPr>
        <w:pStyle w:val="1"/>
        <w:keepNext/>
        <w:widowControl/>
        <w:spacing w:after="100" w:line="240" w:lineRule="auto" w:before="24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30"/>
        </w:rPr>
        <w:t>6 Анализ ограничений и вывод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Ожидания зафиксированы 07.10.2026 в 20:26:51 МСК (UTC+3) до первого запуска аудита. Ожидались 0 ошибок и 1 предупреждение R8 у item07; фактический результат совпал. Исходный набор имеет 12 записей, одна из которых не содержит дату получения. Решение — карантин item07 до подтверждения даты. Кандидат выпуска содержит 11 записей; его повторный аудит дал 0 ошибок и 0 предупреждений по записанным метаданным.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Все четыре NC-объекта соответствуют некоммерческой политике в учебной модели: item02 и item05 принимаются с BY и NC, item06 и item10 — с BY, NC и SA. Их приём условен: нужно подтвердить действительность лицензий, сохранить атрибуцию и маркировать изменения. ShareAlike относится к распространению адаптаций соответствующих произведений; он не означает автоматического перелицензирования всех независимых элементов коллекции. Открытая доступность набора не даёт права на коммерческое применение NC-материалов. Университетский статус сам по себе также не доказывает некоммерческий характер конкретного использования [1, 2].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Учебный аудит проверяет только значения полей. Он не видит медиабайты, не подтверждает авторство и действительность лицензии, не проверяет согласия, скрытые персональные данные, соответствие хеша файлу, репрезентативность, уведомления MIT/Apache-2.0 и правовой статус производной работы. Для реального набора нужны загрузка и проверка первоисточника, полный текст лицензии, документ поставщика, ручной просмотр содержимого и согласий, хеширование медиабайтов и независимая правовая оценка. В этой работе ничего не запрашивалось у вымышленных правообладателей.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Карантин item07 — более строгая инженерная мера, чем само предупреждение. При другом процессе возможен условный приём с явно неизвестной датой, однако здесь отсутствие подтверждённого происхождения блокирует выпуск объекта. Реестр содержит шесть рисков и шесть разных групп NIST; обязательные Data Privacy и Harmful Bias or Homogenization включены. Наибольшая оценка 16 относится к потере прослеживаемости происхождения. Оценки L и I — качественное учебное суждение до мер, а не измеренные частоты инцидентов. Риски приватности и смещения относятся прежде всего к будущей замене синтетического манифеста реальными данными: в текущем наборе наличие таких нарушений не установлено.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Паспорт данных содержит семь разделов, карточка модели — девять. Технические показатели карточки взяты из собственного опыта ЛР01, а не из демо преподавателя. У генератора нет весов и обучения; лицензия учебного кода не установлена. Назначение ответственного за эксперимент не устраняет отсутствие права на внешнее применение.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Вывод: комплект пригоден для учебного анализа заданного сценария. Для предполагаемого выпуска реального набора item07 исключён из кандидата до подтверждения даты; остальные 11 записей не вызывают правил аудита, но требуют проверки прав и условий в первоисточниках. Проверка реестра дала RESULT: PASS. Отсутствие ошибок не является разрешением на использование. Работа не является юридической консультацией; окончательное решение по реальным материалам принимает ответственный с участием правообладателя и юриста.</w:t>
      </w:r>
    </w:p>
    <w:p>
      <w:pPr>
        <w:pStyle w:val="1"/>
        <w:keepNext/>
        <w:widowControl/>
        <w:spacing w:after="100" w:line="240" w:lineRule="auto" w:before="24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30"/>
        </w:rPr>
        <w:t>7 Ответы на контрольные вопросы</w:t>
      </w:r>
    </w:p>
    <w:p>
      <w:pPr>
        <w:pStyle w:val="21"/>
        <w:keepNext/>
        <w:widowControl/>
        <w:spacing w:after="100" w:line="240" w:lineRule="auto" w:before="16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>1 Данные веса и результат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Лицензия данных регулирует исходные материалы, лицензия весов — использование и распространение параметров модели, а права на результат зависят от применимых норм, содержания и условий инструмента. Пример ошибки: объявить изображение свободным для продажи только потому, что модель обучали на открытых данных. У генератора ЛР01 весов нет, а лицензия кода не установлена; NC в манифесте ЛР02 не устанавливает лицензию текстур генератора.</w:t>
      </w:r>
    </w:p>
    <w:p>
      <w:pPr>
        <w:pStyle w:val="21"/>
        <w:keepNext/>
        <w:widowControl/>
        <w:spacing w:after="100" w:line="240" w:lineRule="auto" w:before="16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>2 Условия Creative Commons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BY требует атрибуции; SA — распространения адаптаций на тех же или совместимых условиях; NC ограничивает коммерческое использование; ND ограничивает распространение адаптаций. В коммерческой афише NC создаёт прямой конфликт, ND препятствует распространению адаптированной афиши, а SA требует решения при несовместимой политике. Учебное R4 упрощено: лицензия CC BY-ND 4.0 допускает создание адаптации для себя, но запрещает её распространение [3].</w:t>
      </w:r>
    </w:p>
    <w:p>
      <w:pPr>
        <w:pStyle w:val="21"/>
        <w:keepNext/>
        <w:widowControl/>
        <w:spacing w:after="100" w:line="240" w:lineRule="auto" w:before="16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>3 Идентификатор лицензии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«CC BY 4» не определяет точную лицензию и её версию в каталоге. Корректный пример SPDX — CC-BY-4.0. Исправление по догадке не подтверждает права: следует запросить первоисточник и точный текст лицензии. R2 использует маленький учебный каталог; отсутствие лицензии в нём не доказывает отсутствие идентификатора в полном списке SPDX [4].</w:t>
      </w:r>
    </w:p>
    <w:p>
      <w:pPr>
        <w:pStyle w:val="21"/>
        <w:keepNext/>
        <w:widowControl/>
        <w:spacing w:after="100" w:line="240" w:lineRule="auto" w:before="16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>4 Две находки для одного объекта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В демо коммерческой афиши CC-BY-NC-SA-4.0 вызывает R3 из-за NC и R5 из-за неприемлемого SA. Исключение объекта снимает обе находки. В варианте 13 ни одна из этих находок не возникает: использование некоммерческое, а SA допускается. Решение принимается по объекту с учётом всех его находок.</w:t>
      </w:r>
    </w:p>
    <w:p>
      <w:pPr>
        <w:pStyle w:val="21"/>
        <w:keepNext/>
        <w:widowControl/>
        <w:spacing w:after="100" w:line="240" w:lineRule="auto" w:before="16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>5 Ошибка и предупреждение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Ошибка означает нарушение условия учебной политики или обязательного поля; предупреждение требует рассмотрения и документированного решения. Пример — R8 у item07: неизвестная дата не является лицензионным конфликтом, но мешает прослеживаемости и привела к карантину. Предупреждение нельзя игнорировать из-за отсутствия ошибок.</w:t>
      </w:r>
    </w:p>
    <w:p>
      <w:pPr>
        <w:pStyle w:val="21"/>
        <w:keepNext/>
        <w:widowControl/>
        <w:spacing w:after="100" w:line="240" w:lineRule="auto" w:before="16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>6 Персональные данные и согласия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При публикации указанные четыре объекта дадут 2 ошибки R6 (none и n-a) и 2 предупреждения R7 (document). Без публикации будут 2 ошибки R6 и 0 предупреждений R7. Это счёт только по правилам приватности; другие дефекты могли бы добавить находки. Наличие document не доказывает охват цели, срок или корректность согласия.</w:t>
      </w:r>
    </w:p>
    <w:p>
      <w:pPr>
        <w:pStyle w:val="21"/>
        <w:keepNext/>
        <w:widowControl/>
        <w:spacing w:after="100" w:line="240" w:lineRule="auto" w:before="16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>7 Оценка риска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При L=3 и I=5 оценка R=15. Для L=4, I=3 получается 12, для L=2, I=5 — 10; первый риск ранжируется выше. Произведение порядковых оценок используется для учебной приоритизации и не является вероятностью ущерба.</w:t>
      </w:r>
    </w:p>
    <w:p>
      <w:pPr>
        <w:pStyle w:val="21"/>
        <w:keepNext/>
        <w:widowControl/>
        <w:spacing w:after="100" w:line="240" w:lineRule="auto" w:before="16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>8 Пробелы паспорта ЛР01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Из паспорта нельзя установить лицензию кода, ответственного за сопровождение и условия продуктового выпуска. В Model Details и Caveats and Recommendations эти пробелы описаны явно: назначен ответственный за учебный эксперимент, внешнее применение ограничено до подтверждения прав. Паспорт воспроизводимости не заменяет документацию прав и управления моделью. Training Data заполнен как неприменимый раздел с объяснением отсутствия обучения.</w:t>
      </w:r>
    </w:p>
    <w:p>
      <w:pPr>
        <w:pStyle w:val="21"/>
        <w:keepNext/>
        <w:widowControl/>
        <w:spacing w:after="100" w:line="240" w:lineRule="auto" w:before="16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>9 Наблюдаемый признак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Без признака наступления нельзя заметить инцидент и проверить, когда требуется мера. Для Data Privacy хороший признак — «при просмотре найден узнаваемый человек или идентификатор, хотя personal_data=no, либо отсутствует согласие на публикацию». Формулировка «возможна утечка» не описывает наблюдаемое событие.</w:t>
      </w:r>
    </w:p>
    <w:p>
      <w:pPr>
        <w:pStyle w:val="21"/>
        <w:keepNext/>
        <w:widowControl/>
        <w:spacing w:after="100" w:line="240" w:lineRule="auto" w:before="16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>10 Пределы автоматизации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Скрипт не устанавливает истинность метаданных, полномочия лицензиара, скрытые персональные данные, юридическую квалификацию адаптации или качество выборки. Недостающие сведения получают из первоисточников, документов правообладателя и согласий, сверяют с самими файлами, затем передают спорные вопросы юристу. Вымышленные адреса example.org этого доказательства не дают.</w:t>
      </w:r>
    </w:p>
    <w:p>
      <w:r>
        <w:br w:type="page"/>
      </w:r>
    </w:p>
    <w:p>
      <w:pPr>
        <w:pStyle w:val="1"/>
        <w:keepNext/>
        <w:widowControl/>
        <w:spacing w:after="100" w:line="240" w:lineRule="auto" w:before="24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30"/>
        </w:rPr>
        <w:t>8 Источники и состав комплекта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Проверка публичных первоисточников выполнена 07.10.2026. Дата проверки не заменяет дату версии документа. Перечень 12 групп NIST сверялся именно с нумерованным перечнем раздела 2, а не с сокращёнными названиями в таблицах действий.</w:t>
      </w:r>
    </w:p>
    <w:p>
      <w:pPr>
        <w:keepNext w:val="0"/>
        <w:widowControl/>
        <w:spacing w:after="120" w:line="240" w:lineRule="auto"/>
        <w:ind w:firstLine="432"/>
        <w:jc w:val="left"/>
      </w:pPr>
      <w:r>
        <w:rPr>
          <w:rFonts w:ascii="Times New Roman" w:hAnsi="Times New Roman" w:eastAsia="Times New Roman"/>
          <w:b w:val="0"/>
          <w:color w:val="000000"/>
          <w:sz w:val="22"/>
        </w:rPr>
        <w:t>1. Creative Commons. CC BY-NC 4.0. https://creativecommons.org/licenses/by-nc/4.0/</w:t>
      </w:r>
    </w:p>
    <w:p>
      <w:pPr>
        <w:keepNext w:val="0"/>
        <w:widowControl/>
        <w:spacing w:after="120" w:line="240" w:lineRule="auto"/>
        <w:ind w:firstLine="432"/>
        <w:jc w:val="left"/>
      </w:pPr>
      <w:r>
        <w:rPr>
          <w:rFonts w:ascii="Times New Roman" w:hAnsi="Times New Roman" w:eastAsia="Times New Roman"/>
          <w:b w:val="0"/>
          <w:color w:val="000000"/>
          <w:sz w:val="22"/>
        </w:rPr>
        <w:t>2. Creative Commons. CC BY-NC-SA 4.0, полный текст. https://creativecommons.org/licenses/by-nc-sa/4.0/legalcode.en</w:t>
      </w:r>
    </w:p>
    <w:p>
      <w:pPr>
        <w:keepNext w:val="0"/>
        <w:widowControl/>
        <w:spacing w:after="120" w:line="240" w:lineRule="auto"/>
        <w:ind w:firstLine="432"/>
        <w:jc w:val="left"/>
      </w:pPr>
      <w:r>
        <w:rPr>
          <w:rFonts w:ascii="Times New Roman" w:hAnsi="Times New Roman" w:eastAsia="Times New Roman"/>
          <w:b w:val="0"/>
          <w:color w:val="000000"/>
          <w:sz w:val="22"/>
        </w:rPr>
        <w:t>3. Creative Commons. CC BY-ND 4.0. https://creativecommons.org/licenses/by-nd/4.0/</w:t>
      </w:r>
    </w:p>
    <w:p>
      <w:pPr>
        <w:keepNext w:val="0"/>
        <w:widowControl/>
        <w:spacing w:after="120" w:line="240" w:lineRule="auto"/>
        <w:ind w:firstLine="432"/>
        <w:jc w:val="left"/>
      </w:pPr>
      <w:r>
        <w:rPr>
          <w:rFonts w:ascii="Times New Roman" w:hAnsi="Times New Roman" w:eastAsia="Times New Roman"/>
          <w:b w:val="0"/>
          <w:color w:val="000000"/>
          <w:sz w:val="22"/>
        </w:rPr>
        <w:t>4. SPDX License List. https://spdx.org/licenses/ — точные идентификаторы; дата/версия учебного каталога сохранены в оригинальном lab02_common.py и не выдаются за текущую версию полного списка.</w:t>
      </w:r>
    </w:p>
    <w:p>
      <w:pPr>
        <w:keepNext w:val="0"/>
        <w:widowControl/>
        <w:spacing w:after="120" w:line="240" w:lineRule="auto"/>
        <w:ind w:firstLine="432"/>
        <w:jc w:val="left"/>
      </w:pPr>
      <w:r>
        <w:rPr>
          <w:rFonts w:ascii="Times New Roman" w:hAnsi="Times New Roman" w:eastAsia="Times New Roman"/>
          <w:b w:val="0"/>
          <w:color w:val="000000"/>
          <w:sz w:val="22"/>
        </w:rPr>
        <w:t>5. Mitchell M. et al. Model Cards for Model Reporting. arXiv:1810.03993, 2018. https://arxiv.org/abs/1810.03993</w:t>
      </w:r>
    </w:p>
    <w:p>
      <w:pPr>
        <w:keepNext w:val="0"/>
        <w:widowControl/>
        <w:spacing w:after="120" w:line="240" w:lineRule="auto"/>
        <w:ind w:firstLine="432"/>
        <w:jc w:val="left"/>
      </w:pPr>
      <w:r>
        <w:rPr>
          <w:rFonts w:ascii="Times New Roman" w:hAnsi="Times New Roman" w:eastAsia="Times New Roman"/>
          <w:b w:val="0"/>
          <w:color w:val="000000"/>
          <w:sz w:val="22"/>
        </w:rPr>
        <w:t>6. Gebru T. et al. Datasheets for Datasets. arXiv:1803.09010, 2018. https://arxiv.org/abs/1803.09010</w:t>
      </w:r>
    </w:p>
    <w:p>
      <w:pPr>
        <w:keepNext w:val="0"/>
        <w:widowControl/>
        <w:spacing w:after="120" w:line="240" w:lineRule="auto"/>
        <w:ind w:firstLine="432"/>
        <w:jc w:val="left"/>
      </w:pPr>
      <w:r>
        <w:rPr>
          <w:rFonts w:ascii="Times New Roman" w:hAnsi="Times New Roman" w:eastAsia="Times New Roman"/>
          <w:b w:val="0"/>
          <w:color w:val="000000"/>
          <w:sz w:val="22"/>
        </w:rPr>
        <w:t>7. NIST AI 600-1. Artificial Intelligence Risk Management Framework: Generative Artificial Intelligence Profile, July 2024, раздел 2. https://nvlpubs.nist.gov/nistpubs/ai/NIST.AI.600-1.pdf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8. Методические указания ЛР02 и пять исходных скриптов из приложенного архива, версия материалов от 19.09.2026. Оригинальные байты скриптов сохранены; материалы преподавателя не перелицензированы.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9. Собственный паспорт ЛР01 варианта 13 от 24.09.2026, docs/input/lab01_passport.json. Среда и результаты карточки относятся к этому опыту.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ИИ-помощь: Codex использован для подготовки кода проверки, документации и отчёта, запуска команд и проверки оформления. Это не изменяет происхождение учебных скриптов и не является подтверждением лицензий вымышленных объектов.</w:t>
      </w:r>
    </w:p>
    <w:p>
      <w:pPr>
        <w:keepNext w:val="0"/>
        <w:widowControl/>
        <w:spacing w:after="120" w:line="240" w:lineRule="auto"/>
        <w:ind w:firstLine="432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Отчёт сопровождают исходный манифест и политика, предварительные ожидания, результаты двух аудитов, решения, паспорт данных, карточка модели, CSV и ранжирование рисков, журналы команд, копия паспорта ЛР01 и проверочные скрипты. Архив содержит первичные артефакты и собственный список SHA-256; DOCX/PDF предоставляются отдельно.</w:t>
      </w:r>
    </w:p>
    <w:p>
      <w:pPr>
        <w:keepNext w:val="0"/>
        <w:widowControl/>
        <w:spacing w:after="120" w:line="240" w:lineRule="auto"/>
        <w:ind w:firstLine="432"/>
        <w:jc w:val="left"/>
      </w:pPr>
      <w:r>
        <w:rPr>
          <w:rFonts w:ascii="Times New Roman" w:hAnsi="Times New Roman" w:eastAsia="Times New Roman"/>
          <w:b w:val="0"/>
          <w:color w:val="000000"/>
          <w:sz w:val="22"/>
        </w:rPr>
        <w:t>Опубликованная работа: https://github.com/riasnoi/creative-ai-labs/tree/main/lab_02</w:t>
      </w:r>
    </w:p>
    <w:p>
      <w:pPr>
        <w:keepNext w:val="0"/>
        <w:widowControl/>
        <w:spacing w:after="120" w:line="240" w:lineRule="auto"/>
        <w:ind w:firstLine="432"/>
        <w:jc w:val="left"/>
      </w:pPr>
      <w:r>
        <w:rPr>
          <w:rFonts w:ascii="Times New Roman" w:hAnsi="Times New Roman" w:eastAsia="Times New Roman"/>
          <w:b w:val="0"/>
          <w:color w:val="000000"/>
          <w:sz w:val="22"/>
        </w:rPr>
        <w:t>Архив артефактов: https://github.com/riasnoi/creative-ai-labs/blob/main/lab_02/artifacts/ЛР02_Вариант_13_Артефакты.zip</w:t>
      </w:r>
    </w:p>
    <w:p>
      <w:pPr>
        <w:keepNext w:val="0"/>
        <w:widowControl/>
        <w:spacing w:after="120" w:line="240" w:lineRule="auto"/>
        <w:ind w:firstLine="432"/>
        <w:jc w:val="left"/>
      </w:pPr>
      <w:r>
        <w:rPr>
          <w:rFonts w:ascii="Times New Roman" w:hAnsi="Times New Roman" w:eastAsia="Times New Roman"/>
          <w:b w:val="0"/>
          <w:color w:val="000000"/>
          <w:sz w:val="22"/>
        </w:rPr>
        <w:t>Локально: artifacts/ЛР02_Вариант_13_Артефакты.zip. Проверка из lab_02: python tools/verify_submission.py. Полный манифест комплекта — MANIFEST.sha256; карта требований и фактические проверки — docs/REVIEW.md и docs/VERIFICATION.md.</w:t>
      </w:r>
    </w:p>
    <w:sectPr w:rsidR="009E7411" w:rsidRPr="00052455" w:rsidSect="00034616">
      <w:footerReference w:type="default" r:id="rId11"/>
      <w:pgSz w:w="11909" w:h="16834"/>
      <w:pgMar w:top="1080" w:right="1080" w:bottom="1008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E76A00" w:rsidRDefault="00E76A00">
      <w:pPr>
        <w:spacing w:after="0" w:line="240" w:lineRule="auto"/>
      </w:pPr>
      <w:r>
        <w:separator/>
      </w:r>
    </w:p>
  </w:endnote>
  <w:endnote w:type="continuationSeparator" w:id="0">
    <w:p w:rsidR="00E76A00" w:rsidRDefault="00E76A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9E7411" w:rsidRDefault="00000000">
    <w:pPr>
      <w:pStyle w:val="a7"/>
      <w:jc w:val="center"/>
    </w:pPr>
    <w:r>
      <w:rPr>
        <w:rFonts w:eastAsia="Times New Roman"/>
        <w:sz w:val="18"/>
      </w:rPr>
      <w:fldChar w:fldCharType="begin"/>
    </w:r>
    <w:r>
      <w:rPr>
        <w:rFonts w:eastAsia="Times New Roman"/>
        <w:sz w:val="18"/>
      </w:rPr>
      <w:instrText>PAGE</w:instrText>
    </w:r>
    <w:r w:rsidR="00052455">
      <w:rPr>
        <w:rFonts w:eastAsia="Times New Roman"/>
        <w:sz w:val="18"/>
      </w:rPr>
      <w:fldChar w:fldCharType="separate"/>
    </w:r>
    <w:r w:rsidR="00052455">
      <w:rPr>
        <w:rFonts w:eastAsia="Times New Roman"/>
        <w:noProof/>
        <w:sz w:val="18"/>
      </w:rPr>
      <w:t>2</w:t>
    </w:r>
    <w:r>
      <w:rPr>
        <w:rFonts w:eastAsia="Times New Roman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E76A00" w:rsidRDefault="00E76A00">
      <w:pPr>
        <w:spacing w:after="0" w:line="240" w:lineRule="auto"/>
      </w:pPr>
      <w:r>
        <w:separator/>
      </w:r>
    </w:p>
  </w:footnote>
  <w:footnote w:type="continuationSeparator" w:id="0">
    <w:p w:rsidR="00E76A00" w:rsidRDefault="00E76A0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96534147">
    <w:abstractNumId w:val="8"/>
  </w:num>
  <w:num w:numId="2" w16cid:durableId="613639278">
    <w:abstractNumId w:val="6"/>
  </w:num>
  <w:num w:numId="3" w16cid:durableId="165827415">
    <w:abstractNumId w:val="5"/>
  </w:num>
  <w:num w:numId="4" w16cid:durableId="476189246">
    <w:abstractNumId w:val="4"/>
  </w:num>
  <w:num w:numId="5" w16cid:durableId="1427994545">
    <w:abstractNumId w:val="7"/>
  </w:num>
  <w:num w:numId="6" w16cid:durableId="1109474643">
    <w:abstractNumId w:val="3"/>
  </w:num>
  <w:num w:numId="7" w16cid:durableId="899093537">
    <w:abstractNumId w:val="2"/>
  </w:num>
  <w:num w:numId="8" w16cid:durableId="1413089801">
    <w:abstractNumId w:val="1"/>
  </w:num>
  <w:num w:numId="9" w16cid:durableId="8002681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455"/>
    <w:rsid w:val="0006063C"/>
    <w:rsid w:val="0015074B"/>
    <w:rsid w:val="0029639D"/>
    <w:rsid w:val="00326F90"/>
    <w:rsid w:val="009E7411"/>
    <w:rsid w:val="00AA1D8D"/>
    <w:rsid w:val="00B47730"/>
    <w:rsid w:val="00CB0664"/>
    <w:rsid w:val="00E41D3C"/>
    <w:rsid w:val="00E76A00"/>
    <w:rsid w:val="00ED109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336CFC5F"/>
  <w14:defaultImageDpi w14:val="300"/>
  <w15:docId w15:val="{9B69DC54-31E2-C848-9D03-325C43EBEBA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052455"/>
    <w:pPr>
      <w:keepNext/>
      <w:keepLines/>
      <w:spacing w:before="480" w:after="0"/>
      <w:outlineLvl w:val="0"/>
    </w:pPr>
    <w:rPr>
      <w:rFonts w:eastAsiaTheme="majorEastAsia" w:cstheme="majorBidi"/>
      <w:b/>
      <w:bCs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052455"/>
    <w:rPr>
      <w:rFonts w:ascii="Times New Roman" w:eastAsiaTheme="majorEastAsia" w:hAnsi="Times New Roman" w:cstheme="majorBidi"/>
      <w:b/>
      <w:bCs/>
      <w:color w:val="000000"/>
      <w:sz w:val="30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0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1192</Words>
  <Characters>8038</Characters>
  <Application>Microsoft Office Word</Application>
  <DocSecurity>0</DocSecurity>
  <Lines>309</Lines>
  <Paragraphs>263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Лабораторная работа 1 Подготовка рабочей среды и паспорт эксперимента</vt:lpstr>
      <vt:lpstr/>
    </vt:vector>
  </TitlesOfParts>
  <Manager/>
  <Company/>
  <LinksUpToDate>false</LinksUpToDate>
  <CharactersWithSpaces>8967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2 Карточка модели лицензии и риски</dc:title>
  <dc:subject>Вариант 13</dc:subject>
  <dc:creator>Рясной Владимир Олегович</dc:creator>
  <cp:keywords/>
  <dc:description/>
  <cp:lastModifiedBy>Рясной Владимир Олегович</cp:lastModifiedBy>
  <cp:revision>2</cp:revision>
  <dcterms:created xsi:type="dcterms:W3CDTF">2013-12-23T23:15:00Z</dcterms:created>
  <dcterms:modified xsi:type="dcterms:W3CDTF">2026-09-24T14:55:00Z</dcterms:modified>
  <cp:category/>
</cp:coreProperties>
</file>